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1E3A8A"/>
          <w:sz w:val="21"/>
        </w:rPr>
        <w:t>Enseignante : Dre. BENDIB H.</w:t>
        <w:br/>
      </w:r>
      <w:r>
        <w:rPr>
          <w:b/>
          <w:color w:val="475569"/>
          <w:sz w:val="20"/>
        </w:rPr>
        <w:t>M1 SCIENCES DU LANGAGE — SOCIOLINGUISTIQUE</w:t>
        <w:br/>
      </w:r>
      <w:r>
        <w:rPr>
          <w:b/>
          <w:color w:val="1E3A8A"/>
          <w:sz w:val="44"/>
        </w:rPr>
        <w:t>Fiche de Travaux Dirigés (TD 1 &amp; TD 2)</w:t>
      </w:r>
    </w:p>
    <w:p>
      <w:pPr>
        <w:spacing w:after="360"/>
      </w:pPr>
      <w:r>
        <w:rPr>
          <w:i/>
          <w:color w:val="475569"/>
          <w:sz w:val="19"/>
        </w:rPr>
        <w:t>Support pédagogique de TD à destination des étudiants — Chapitre 1 : La lutte pour une conception sociale de la langue.</w:t>
      </w:r>
    </w:p>
    <w:p>
      <w:pPr>
        <w:spacing w:after="360"/>
        <w:pBdr>
          <w:bottom w:val="single" w:sz="12" w:space="1" w:color="1E3A8A"/>
        </w:pBdr>
      </w:pPr>
    </w:p>
    <w:p>
      <w:pPr>
        <w:spacing w:before="240" w:after="120"/>
      </w:pPr>
      <w:r>
        <w:rPr>
          <w:b/>
          <w:color w:val="1E3A8A"/>
          <w:sz w:val="32"/>
        </w:rPr>
        <w:t>TD 1 : De l'abstraction saussurienne au « fait social » de Meillet</w:t>
      </w:r>
    </w:p>
    <w:p>
      <w:pPr>
        <w:spacing w:after="240"/>
      </w:pPr>
      <w:r>
        <w:rPr>
          <w:b/>
        </w:rPr>
        <w:t xml:space="preserve">Objectif pédagogique : </w:t>
      </w:r>
      <w:r>
        <w:t>Comprendre la rupture épistémologique entre l'approche structurale (interne) de Saussure et l'approche sociologique (externe) d'Antoine Meillet inspirée par Émile Durkheim.</w:t>
      </w:r>
    </w:p>
    <w:p>
      <w:pPr>
        <w:spacing w:before="200" w:after="80"/>
      </w:pPr>
      <w:r>
        <w:rPr>
          <w:b/>
          <w:color w:val="0284C7"/>
          <w:sz w:val="26"/>
        </w:rPr>
        <w:t>Exercice 1 : Analyse comparative de corpus théoriques (45 min)</w:t>
      </w:r>
    </w:p>
    <w:tbl>
      <w:tblPr>
        <w:tblW w:type="auto" w:w="0"/>
        <w:jc w:val="center"/>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1E3A8A"/>
              <w:bottom w:val="none"/>
              <w:right w:val="none"/>
            </w:tcBorders>
          </w:tcPr>
          <w:p>
            <w:pPr>
              <w:spacing w:before="0" w:after="80"/>
            </w:pPr>
            <w:r>
              <w:rPr>
                <w:rFonts w:ascii="Calibri" w:hAnsi="Calibri"/>
                <w:b/>
                <w:color w:val="1E3A8A"/>
                <w:sz w:val="22"/>
              </w:rPr>
              <w:t>📌 CORPUS DE TEXTES À ANALYSER</w:t>
              <w:br/>
            </w:r>
          </w:p>
          <w:p>
            <w:pPr>
              <w:spacing w:before="0" w:after="80" w:line="276" w:lineRule="auto"/>
            </w:pPr>
            <w:r>
              <w:rPr>
                <w:rFonts w:ascii="Calibri" w:hAnsi="Calibri"/>
                <w:color w:val="1E293B"/>
                <w:sz w:val="20"/>
              </w:rPr>
              <w:t>Texte A (Ferdinand de Saussure, Cours de linguistique générale, 1916) :</w:t>
              <w:br/>
              <w:t>« La linguistique a pour unique et véritable objet la langue envisagée en elle-même et pour elle-même. »</w:t>
            </w:r>
          </w:p>
          <w:p>
            <w:pPr>
              <w:spacing w:before="0" w:after="80" w:line="276" w:lineRule="auto"/>
            </w:pPr>
            <w:r>
              <w:rPr>
                <w:rFonts w:ascii="Calibri" w:hAnsi="Calibri"/>
                <w:color w:val="1E293B"/>
                <w:sz w:val="20"/>
              </w:rPr>
              <w:t>Texte B (Antoine Meillet, Compte rendu du CLG, 1916) :</w:t>
              <w:br/>
              <w:t>« En séparant le changement linguistique des conditions extérieures dont il dépend, Ferdinand de Saussure le prive de réalité ; il le réduit à une abstraction qui est nécessairement inexplicable. »</w:t>
            </w:r>
          </w:p>
          <w:p>
            <w:pPr>
              <w:spacing w:before="0" w:after="80" w:line="276" w:lineRule="auto"/>
            </w:pPr>
            <w:r>
              <w:rPr>
                <w:rFonts w:ascii="Calibri" w:hAnsi="Calibri"/>
                <w:color w:val="1E293B"/>
                <w:sz w:val="20"/>
              </w:rPr>
              <w:t>Texte C (Antoine Meillet, Comment les mots changent de sens, 1906) :</w:t>
              <w:br/>
              <w:t>« Du fait que la langue est un fait social il résulte que la linguistique est une science sociale, et le seul élément variable auquel on puisse recourir pour rendre compte du changement linguistique est le changement social. »</w:t>
            </w:r>
          </w:p>
        </w:tc>
      </w:tr>
    </w:tbl>
    <w:p>
      <w:pPr>
        <w:spacing w:before="0" w:after="120"/>
      </w:pPr>
    </w:p>
    <w:p>
      <w:r>
        <w:rPr>
          <w:b/>
        </w:rPr>
        <w:t>Questions :</w:t>
      </w:r>
    </w:p>
    <w:p>
      <w:pPr>
        <w:pStyle w:val="ListBullet"/>
        <w:spacing w:after="80"/>
      </w:pPr>
      <w:r>
        <w:rPr>
          <w:b/>
        </w:rPr>
        <w:t xml:space="preserve">1. </w:t>
      </w:r>
      <w:r>
        <w:t>En vous appuyant sur le Texte A, définissez la notion de « linguistique interne » chez Saussure. Quelle frontière trace-t-il ainsi pour la science du langage ?</w:t>
      </w:r>
    </w:p>
    <w:p>
      <w:pPr>
        <w:pStyle w:val="ListBullet"/>
        <w:spacing w:after="80"/>
      </w:pPr>
      <w:r>
        <w:rPr>
          <w:b/>
        </w:rPr>
        <w:t xml:space="preserve">2. </w:t>
      </w:r>
      <w:r>
        <w:t>Pourquoi Meillet affirme-t-il dans le Texte B que Saussure réduit le changement linguistique à une « abstraction inexplicable » ?</w:t>
      </w:r>
    </w:p>
    <w:p>
      <w:pPr>
        <w:pStyle w:val="ListBullet"/>
        <w:spacing w:after="80"/>
      </w:pPr>
      <w:r>
        <w:rPr>
          <w:b/>
        </w:rPr>
        <w:t xml:space="preserve">3. </w:t>
      </w:r>
      <w:r>
        <w:t>Dans le Texte C, Meillet définit la langue comme un « fait social ». À quel sociologue emprunte-t-il ce concept ? Quelles caractéristiques fondamentales attribuées à la langue justifient cette appellation ?</w:t>
      </w:r>
    </w:p>
    <w:p>
      <w:pPr>
        <w:pStyle w:val="ListBullet"/>
        <w:spacing w:after="80"/>
      </w:pPr>
      <w:r>
        <w:rPr>
          <w:b/>
        </w:rPr>
        <w:t xml:space="preserve">4. </w:t>
      </w:r>
      <w:r>
        <w:t>Quelle est la conséquence méthodologique majeure de la définition de Meillet pour la linguistique ?</w:t>
      </w:r>
    </w:p>
    <w:p>
      <w:pPr>
        <w:spacing w:before="240" w:after="80"/>
      </w:pPr>
      <w:r>
        <w:rPr>
          <w:b/>
          <w:color w:val="0284C7"/>
          <w:sz w:val="26"/>
        </w:rPr>
        <w:t>Exercice 2 : Évaluation des nuances conceptuelles (30 min)</w:t>
      </w:r>
    </w:p>
    <w:p>
      <w:r>
        <w:rPr>
          <w:b/>
        </w:rPr>
        <w:t>Question de réflexion :</w:t>
      </w:r>
    </w:p>
    <w:p>
      <w:pPr>
        <w:spacing w:after="280"/>
      </w:pPr>
      <w:r>
        <w:t>Saussure affirme pourtant dans le CLG que la langue est une « institution sociale » et la « partie sociale du langage ». Pourquoi le cours qualifie-t-il néanmoins cette affirmation de « flou théorique » par opposition à la posture d'Antoine Meillet ?</w:t>
      </w:r>
    </w:p>
    <w:p>
      <w:pPr>
        <w:spacing w:before="360" w:after="120"/>
      </w:pPr>
      <w:r>
        <w:rPr>
          <w:b/>
          <w:color w:val="1E3A8A"/>
          <w:sz w:val="32"/>
        </w:rPr>
        <w:t>TD 2 : Variabilité, stratification et codes sociolinguistiques</w:t>
      </w:r>
    </w:p>
    <w:p>
      <w:pPr>
        <w:spacing w:after="240"/>
      </w:pPr>
      <w:r>
        <w:rPr>
          <w:b/>
        </w:rPr>
        <w:t xml:space="preserve">Objectif pédagogique : </w:t>
      </w:r>
      <w:r>
        <w:t>Analyser la formalisation des variations sociales à travers l'étude des codes de Basil Bernstein, l'institutionnalisation de la discipline par William Bright et la refondation variationniste de William Labov.</w:t>
      </w:r>
    </w:p>
    <w:p>
      <w:pPr>
        <w:spacing w:before="200" w:after="80"/>
      </w:pPr>
      <w:r>
        <w:rPr>
          <w:b/>
          <w:color w:val="0284C7"/>
          <w:sz w:val="26"/>
        </w:rPr>
        <w:t>Exercice 1 : Étude de cas empirique — La théorie des codes de Bernstein (45 min)</w:t>
      </w:r>
    </w:p>
    <w:tbl>
      <w:tblPr>
        <w:tblW w:type="auto" w:w="0"/>
        <w:jc w:val="center"/>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1E3A8A"/>
              <w:bottom w:val="none"/>
              <w:right w:val="none"/>
            </w:tcBorders>
          </w:tcPr>
          <w:p>
            <w:pPr>
              <w:spacing w:before="0" w:after="80"/>
            </w:pPr>
            <w:r>
              <w:rPr>
                <w:rFonts w:ascii="Calibri" w:hAnsi="Calibri"/>
                <w:b/>
                <w:color w:val="1E3A8A"/>
                <w:sz w:val="22"/>
              </w:rPr>
              <w:t>📌 EXPÉRIENCE EMPIRIQUE DE BERNSTEIN</w:t>
              <w:br/>
            </w:r>
          </w:p>
          <w:p>
            <w:pPr>
              <w:spacing w:before="0" w:after="80" w:line="276" w:lineRule="auto"/>
            </w:pPr>
            <w:r>
              <w:rPr>
                <w:rFonts w:ascii="Calibri" w:hAnsi="Calibri"/>
                <w:color w:val="1E293B"/>
                <w:sz w:val="20"/>
              </w:rPr>
              <w:t>Lors d'une expérience canonique, Basil Bernstein demande à deux enfants d'origine sociale différente de décrire une bande dessinée muette (un ballon brise une fenêtre) :</w:t>
              <w:br/>
              <w:br/>
              <w:t>• Production A : « Ils jouent au football, il shoote, ça casse un carreau, etc. »</w:t>
              <w:br/>
              <w:t>• Production B : « Des enfants jouent au football, l'un shoote, le ballon traverse la fenêtre et casse un carreau, etc. »</w:t>
            </w:r>
          </w:p>
        </w:tc>
      </w:tr>
    </w:tbl>
    <w:p>
      <w:pPr>
        <w:spacing w:before="0" w:after="120"/>
      </w:pPr>
    </w:p>
    <w:p>
      <w:r>
        <w:rPr>
          <w:b/>
        </w:rPr>
        <w:t>Questions d'analyse :</w:t>
      </w:r>
    </w:p>
    <w:p>
      <w:pPr>
        <w:pStyle w:val="ListBullet"/>
        <w:spacing w:after="80"/>
      </w:pPr>
      <w:r>
        <w:rPr>
          <w:b/>
        </w:rPr>
        <w:t xml:space="preserve">1. </w:t>
      </w:r>
      <w:r>
        <w:t>Associez la Production A et la Production B aux concepts de « code restreint » et « code élaboré ». Justifiez sur les plans syntaxique, lexical et explicite/implicite.</w:t>
      </w:r>
    </w:p>
    <w:p>
      <w:pPr>
        <w:pStyle w:val="ListBullet"/>
        <w:spacing w:after="80"/>
      </w:pPr>
      <w:r>
        <w:rPr>
          <w:b/>
        </w:rPr>
        <w:t xml:space="preserve">2. </w:t>
      </w:r>
      <w:r>
        <w:t>Comment Bernstein explique-t-il la genèse de ces codes à travers le milieu familial et la structure sociale ?</w:t>
      </w:r>
    </w:p>
    <w:p>
      <w:pPr>
        <w:pStyle w:val="ListBullet"/>
        <w:spacing w:after="80"/>
      </w:pPr>
      <w:r>
        <w:rPr>
          <w:b/>
        </w:rPr>
        <w:t xml:space="preserve">3. </w:t>
      </w:r>
      <w:r>
        <w:t>Quelles critiques majeures William Labov a-t-il adressées aux conclusions de Bernstein concernant le prétendu « handicap linguistique » des enfants de la working class ?</w:t>
      </w:r>
    </w:p>
    <w:p>
      <w:pPr>
        <w:spacing w:before="240" w:after="80"/>
      </w:pPr>
      <w:r>
        <w:rPr>
          <w:b/>
          <w:color w:val="0284C7"/>
          <w:sz w:val="26"/>
        </w:rPr>
        <w:t>Exercice 2 : La révolution labovienne et la sociolinguistique (30 min)</w:t>
      </w:r>
    </w:p>
    <w:p>
      <w:r>
        <w:rPr>
          <w:b/>
        </w:rPr>
        <w:t>Questions de synthèse théorique :</w:t>
      </w:r>
    </w:p>
    <w:p>
      <w:pPr>
        <w:pStyle w:val="ListBullet"/>
        <w:spacing w:after="80"/>
      </w:pPr>
      <w:r>
        <w:rPr>
          <w:b/>
        </w:rPr>
        <w:t xml:space="preserve">1. </w:t>
      </w:r>
      <w:r>
        <w:t>En 1964, la conférence de William Bright à l'UCLA tente de structurer la sociolinguistique. Quelle était toutefois la limite du statut accordé par Bright à la sociolinguistique ?</w:t>
      </w:r>
    </w:p>
    <w:p>
      <w:pPr>
        <w:pStyle w:val="ListBullet"/>
        <w:spacing w:after="80"/>
      </w:pPr>
      <w:r>
        <w:rPr>
          <w:b/>
        </w:rPr>
        <w:t xml:space="preserve">2. </w:t>
      </w:r>
      <w:r>
        <w:t>Expliquez la célèbre formule de William Labov : « La sociolinguistique est la linguistique ». En quoi rompt-elle définitivement avec le clivage saussurien ?</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