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left"/>
      </w:pPr>
      <w:r>
        <w:rPr>
          <w:b/>
          <w:color w:val="1E3A8A"/>
          <w:sz w:val="21"/>
        </w:rPr>
        <w:t>Enseignante : Dre. BENDIB H.</w:t>
        <w:br/>
      </w:r>
      <w:r>
        <w:rPr>
          <w:b/>
          <w:color w:val="475569"/>
          <w:sz w:val="20"/>
        </w:rPr>
        <w:t>M1 SCIENCES DU LANGAGE — SOCIOLINGUISTIQUE</w:t>
        <w:br/>
      </w:r>
      <w:r>
        <w:rPr>
          <w:b/>
          <w:color w:val="1E3A8A"/>
          <w:sz w:val="44"/>
        </w:rPr>
        <w:t>Résumé de cours : La lutte pour une conception sociale de la langue</w:t>
      </w:r>
    </w:p>
    <w:p>
      <w:pPr>
        <w:spacing w:after="360"/>
      </w:pPr>
      <w:r>
        <w:rPr>
          <w:i/>
          <w:color w:val="475569"/>
          <w:sz w:val="19"/>
        </w:rPr>
        <w:t>Référence bibliographique : Louis-Jean Calvet, La sociolinguistique, Que sais-je ?, PUF.</w:t>
      </w:r>
    </w:p>
    <w:p>
      <w:pPr>
        <w:spacing w:after="360"/>
        <w:pBdr>
          <w:bottom w:val="single" w:sz="12" w:space="1" w:color="1E3A8A"/>
        </w:pBdr>
      </w:pPr>
    </w:p>
    <w:p>
      <w:pPr>
        <w:spacing w:after="240" w:line="276" w:lineRule="auto"/>
      </w:pPr>
      <w:r>
        <w:t>Ce document propose un résumé explicatif et récapitulatif du premier chapitre de sociolinguistique. Il retrace la façon dont la sociolinguistique s'est progressivement affirmée face au structuralisme saussurien pour imposer une vision sociale et contextualisée de la langue.</w:t>
      </w:r>
    </w:p>
    <w:p>
      <w:pPr>
        <w:keepNext/>
        <w:spacing w:before="320" w:after="120"/>
      </w:pPr>
      <w:r>
        <w:rPr>
          <w:b/>
          <w:color w:val="1E3A8A"/>
          <w:sz w:val="28"/>
        </w:rPr>
        <w:t>1. L'origine du conflit : Saussure vs Meillet</w:t>
      </w:r>
    </w:p>
    <w:p>
      <w:pPr>
        <w:spacing w:after="160" w:line="276" w:lineRule="auto"/>
      </w:pPr>
      <w:r>
        <w:t>La linguistique moderne est née avec Ferdinand de Saussure et le Cours de linguistique générale (1916). Bien que Saussure qualifie la langue d'« institution sociale », sa démarche privilégie l'étude de la langue en elle-même et pour elle-même. Il sépare ainsi l'approche interne (la structure formelle abstraite) de l'approche externe (le contexte social et historique), ainsi que la synchronie de la diachronie.</w:t>
      </w:r>
    </w:p>
    <w:p>
      <w:pPr>
        <w:spacing w:after="240" w:line="276" w:lineRule="auto"/>
      </w:pPr>
      <w:r>
        <w:t xml:space="preserve">Très tôt, Antoine Meillet (disciple de Saussure très influencé par le sociologue Émile Durkheim) critique cette abstraction. Selon Meillet, la langue est un </w:t>
      </w:r>
      <w:r>
        <w:rPr>
          <w:b/>
        </w:rPr>
        <w:t>fait social</w:t>
      </w:r>
      <w:r>
        <w:t xml:space="preserve"> caractérisé par l'extériorité et la coercition. Pour lui, le changement linguistique ne peut s'expliquer sans recourir aux variations et mutations de la société. Pendant près d'un demi-siècle, ces deux visions de la linguistique évolueront en parallèle sans réellement se rencontrer.</w:t>
      </w:r>
    </w:p>
    <w:tbl>
      <w:tblPr>
        <w:tblW w:type="auto" w:w="0"/>
        <w:jc w:val="center"/>
        <w:tblLook w:firstColumn="1" w:firstRow="1" w:lastColumn="0" w:lastRow="0" w:noHBand="0" w:noVBand="1" w:val="04A0"/>
      </w:tblPr>
      <w:tblGrid>
        <w:gridCol w:w="9360"/>
      </w:tblGrid>
      <w:tr>
        <w:tc>
          <w:tcPr>
            <w:tcW w:type="dxa" w:w="9360"/>
            <w:shd w:fill="F8FAFC"/>
            <w:tcMar>
              <w:top w:w="140" w:type="dxa"/>
              <w:bottom w:w="140" w:type="dxa"/>
              <w:left w:w="200" w:type="dxa"/>
              <w:right w:w="200" w:type="dxa"/>
            </w:tcMar>
            <w:tcBorders>
              <w:top w:val="none"/>
              <w:left w:val="single" w:sz="36" w:space="0" w:color="1E3A8A"/>
              <w:bottom w:val="none"/>
              <w:right w:val="none"/>
            </w:tcBorders>
          </w:tcPr>
          <w:p>
            <w:pPr>
              <w:spacing w:before="0" w:after="80"/>
            </w:pPr>
            <w:r>
              <w:rPr>
                <w:rFonts w:ascii="Calibri" w:hAnsi="Calibri"/>
                <w:b/>
                <w:color w:val="1E3A8A"/>
                <w:sz w:val="22"/>
              </w:rPr>
              <w:t>📌 POINT CLÉ DE LA DICHOTOMIE</w:t>
              <w:br/>
            </w:r>
            <w:r>
              <w:rPr>
                <w:rFonts w:ascii="Calibri" w:hAnsi="Calibri"/>
                <w:i/>
                <w:color w:val="475569"/>
                <w:sz w:val="21"/>
              </w:rPr>
              <w:t>Pour Saussure, le terme « social » signifie simplement pluri-individuel (partagé par la communauté). Pour Meillet, le social est un facteur explicatif central : la linguistique est fondamentalement une science sociale.</w:t>
            </w:r>
          </w:p>
        </w:tc>
      </w:tr>
    </w:tbl>
    <w:p>
      <w:pPr>
        <w:spacing w:before="0" w:after="120"/>
      </w:pPr>
    </w:p>
    <w:p>
      <w:pPr>
        <w:keepNext/>
        <w:spacing w:before="320" w:after="120"/>
      </w:pPr>
      <w:r>
        <w:rPr>
          <w:b/>
          <w:color w:val="1E3A8A"/>
          <w:sz w:val="28"/>
        </w:rPr>
        <w:t>2. Basil Bernstein et la théorie des handicaps linguistiques</w:t>
      </w:r>
    </w:p>
    <w:p>
      <w:pPr>
        <w:spacing w:after="160" w:line="276" w:lineRule="auto"/>
      </w:pPr>
      <w:r>
        <w:t>Dans les années 1950-1960, le sociologue britannique Basil Bernstein s’intéresse à l'échec scolaire des enfants issus de la classe ouvrière. Il établit un lien direct entre la structure sociale familiale et les productions linguistiques des enfants en distinguant deux codes :</w:t>
      </w:r>
    </w:p>
    <w:p>
      <w:pPr>
        <w:pStyle w:val="ListBullet"/>
        <w:spacing w:after="60"/>
      </w:pPr>
      <w:r>
        <w:rPr>
          <w:b/>
        </w:rPr>
        <w:t xml:space="preserve">Le code restreint : </w:t>
      </w:r>
      <w:r>
        <w:t>Caractérisé par des phrases brèves, une absence de subordination, un vocabulaire limité et un sens dépendant du contexte immédiat (fréquent dans les milieux populaires).</w:t>
      </w:r>
    </w:p>
    <w:p>
      <w:pPr>
        <w:pStyle w:val="ListBullet"/>
        <w:spacing w:after="240"/>
      </w:pPr>
      <w:r>
        <w:rPr>
          <w:b/>
        </w:rPr>
        <w:t xml:space="preserve">Le code élaboré : </w:t>
      </w:r>
      <w:r>
        <w:t>Autonome, explicite, riche sur le plan grammatical et syntaxique, adapté aux exigences du système scolaire (utilisé dans les classes aisées).</w:t>
      </w:r>
    </w:p>
    <w:p>
      <w:pPr>
        <w:spacing w:after="240" w:line="276" w:lineRule="auto"/>
      </w:pPr>
      <w:r>
        <w:t xml:space="preserve">Bien que contestée par la suite pour sa vision binaire et son manque de rigueur linguistique, l'œuvre de Bernstein a servi de </w:t>
      </w:r>
      <w:r>
        <w:rPr>
          <w:b/>
        </w:rPr>
        <w:t>catalyseur</w:t>
      </w:r>
      <w:r>
        <w:t xml:space="preserve"> majeur pour la prise en compte de la stratification sociale dans les études du langage.</w:t>
      </w:r>
    </w:p>
    <w:p>
      <w:pPr>
        <w:keepNext/>
        <w:spacing w:before="320" w:after="120"/>
      </w:pPr>
      <w:r>
        <w:rPr>
          <w:b/>
          <w:color w:val="1E3A8A"/>
          <w:sz w:val="28"/>
        </w:rPr>
        <w:t>3. William Bright : La structuration de la discipline (1964)</w:t>
      </w:r>
    </w:p>
    <w:p>
      <w:pPr>
        <w:spacing w:after="240" w:line="276" w:lineRule="auto"/>
      </w:pPr>
      <w:r>
        <w:t>La conférence organisée par William Bright à Los Angeles en mai 1964 constitue une étape historique dans l'émergence de la sociolinguistique. Bright y définit les grandes dimensions de la discipline et pose que la variation linguistique n'est pas libre ou aléatoire, mais systématiquement corrélée à des facteurs sociaux (identité du locuteur, du destinataire, contexte, etc.). Toutefois, Bright conçoit encore la sociolinguistique comme une branche auxiliaire de la linguistique.</w:t>
      </w:r>
    </w:p>
    <w:p>
      <w:pPr>
        <w:keepNext/>
        <w:spacing w:before="320" w:after="120"/>
      </w:pPr>
      <w:r>
        <w:rPr>
          <w:b/>
          <w:color w:val="1E3A8A"/>
          <w:sz w:val="28"/>
        </w:rPr>
        <w:t>4. William Labov : « La sociolinguistique est la linguistique »</w:t>
      </w:r>
    </w:p>
    <w:p>
      <w:pPr>
        <w:spacing w:after="240" w:line="276" w:lineRule="auto"/>
      </w:pPr>
      <w:r>
        <w:t xml:space="preserve">William Labov apporte la rupture décisive en fondant la </w:t>
      </w:r>
      <w:r>
        <w:rPr>
          <w:b/>
        </w:rPr>
        <w:t>linguistique variationniste</w:t>
      </w:r>
      <w:r>
        <w:t>. En étudiant les productions réelles et concrètes (comme la stratification sociale du /r/ à New York), Labov affirme qu'il n'y a pas lieu de séparer une linguistique générale formelle d'un côté et une sociolinguistique de l'autre. Pour lui, la vraie linguistique doit obligatoirement étudier la langue dans son contexte social.</w:t>
      </w:r>
    </w:p>
    <w:p>
      <w:pPr>
        <w:keepNext/>
        <w:spacing w:before="360" w:after="160"/>
      </w:pPr>
      <w:r>
        <w:rPr>
          <w:b/>
          <w:color w:val="1E3A8A"/>
          <w:sz w:val="26"/>
        </w:rPr>
        <w:t>Synthèse comparative des auteurs clés</w:t>
      </w:r>
    </w:p>
    <w:tbl>
      <w:tblPr>
        <w:tblW w:type="auto" w:w="0"/>
        <w:jc w:val="center"/>
        <w:tblLayout w:type="fixed"/>
        <w:tblLook w:firstColumn="1" w:firstRow="1" w:lastColumn="0" w:lastRow="0" w:noHBand="0" w:noVBand="1" w:val="04A0"/>
      </w:tblPr>
      <w:tblGrid>
        <w:gridCol w:w="3120"/>
        <w:gridCol w:w="3120"/>
        <w:gridCol w:w="3120"/>
      </w:tblGrid>
      <w:tr>
        <w:tc>
          <w:tcPr>
            <w:tcW w:type="dxa" w:w="2592"/>
            <w:shd w:fill="1E3A8A"/>
            <w:tcMar>
              <w:top w:w="100" w:type="dxa"/>
              <w:bottom w:w="100" w:type="dxa"/>
              <w:left w:w="120" w:type="dxa"/>
              <w:right w:w="120" w:type="dxa"/>
            </w:tcMar>
            <w:tcBorders>
              <w:top w:val="single" w:sz="4" w:space="0" w:color="CBD5E1"/>
              <w:bottom w:val="single" w:sz="4" w:space="0" w:color="CBD5E1"/>
              <w:left w:val="none"/>
              <w:right w:val="none"/>
            </w:tcBorders>
          </w:tcPr>
          <w:p>
            <w:r>
              <w:rPr>
                <w:b/>
                <w:color w:val="FFFFFF"/>
                <w:sz w:val="20"/>
              </w:rPr>
              <w:t>Auteur / Figure</w:t>
            </w:r>
          </w:p>
        </w:tc>
        <w:tc>
          <w:tcPr>
            <w:tcW w:type="dxa" w:w="3168"/>
            <w:shd w:fill="1E3A8A"/>
            <w:tcMar>
              <w:top w:w="100" w:type="dxa"/>
              <w:bottom w:w="100" w:type="dxa"/>
              <w:left w:w="120" w:type="dxa"/>
              <w:right w:w="120" w:type="dxa"/>
            </w:tcMar>
            <w:tcBorders>
              <w:top w:val="single" w:sz="4" w:space="0" w:color="CBD5E1"/>
              <w:bottom w:val="single" w:sz="4" w:space="0" w:color="CBD5E1"/>
              <w:left w:val="none"/>
              <w:right w:val="none"/>
            </w:tcBorders>
          </w:tcPr>
          <w:p>
            <w:r>
              <w:rPr>
                <w:b/>
                <w:color w:val="FFFFFF"/>
                <w:sz w:val="20"/>
              </w:rPr>
              <w:t>Concept ou Théorie Clé</w:t>
            </w:r>
          </w:p>
        </w:tc>
        <w:tc>
          <w:tcPr>
            <w:tcW w:type="dxa" w:w="3600"/>
            <w:shd w:fill="1E3A8A"/>
            <w:tcMar>
              <w:top w:w="100" w:type="dxa"/>
              <w:bottom w:w="100" w:type="dxa"/>
              <w:left w:w="120" w:type="dxa"/>
              <w:right w:w="120" w:type="dxa"/>
            </w:tcMar>
            <w:tcBorders>
              <w:top w:val="single" w:sz="4" w:space="0" w:color="CBD5E1"/>
              <w:bottom w:val="single" w:sz="4" w:space="0" w:color="CBD5E1"/>
              <w:left w:val="none"/>
              <w:right w:val="none"/>
            </w:tcBorders>
          </w:tcPr>
          <w:p>
            <w:r>
              <w:rPr>
                <w:b/>
                <w:color w:val="FFFFFF"/>
                <w:sz w:val="20"/>
              </w:rPr>
              <w:t>Apport à la Sociolinguistique</w:t>
            </w:r>
          </w:p>
        </w:tc>
      </w:tr>
      <w:tr>
        <w:tc>
          <w:tcPr>
            <w:tcW w:type="dxa" w:w="2592"/>
            <w:shd w:fill="F8FAFC"/>
            <w:tcMar>
              <w:top w:w="80" w:type="dxa"/>
              <w:bottom w:w="80" w:type="dxa"/>
              <w:left w:w="120" w:type="dxa"/>
              <w:right w:w="120" w:type="dxa"/>
            </w:tcMar>
            <w:tcBorders>
              <w:top w:val="single" w:sz="4" w:space="0" w:color="CBD5E1"/>
              <w:bottom w:val="single" w:sz="4" w:space="0" w:color="CBD5E1"/>
              <w:left w:val="none"/>
              <w:right w:val="none"/>
            </w:tcBorders>
          </w:tcPr>
          <w:p>
            <w:r>
              <w:rPr>
                <w:color w:val="1E293B"/>
                <w:sz w:val="19"/>
              </w:rPr>
              <w:t>F. de Saussure</w:t>
            </w:r>
          </w:p>
        </w:tc>
        <w:tc>
          <w:tcPr>
            <w:tcW w:type="dxa" w:w="3168"/>
            <w:shd w:fill="F8FAFC"/>
            <w:tcMar>
              <w:top w:w="80" w:type="dxa"/>
              <w:bottom w:w="80" w:type="dxa"/>
              <w:left w:w="120" w:type="dxa"/>
              <w:right w:w="120" w:type="dxa"/>
            </w:tcMar>
            <w:tcBorders>
              <w:top w:val="single" w:sz="4" w:space="0" w:color="CBD5E1"/>
              <w:bottom w:val="single" w:sz="4" w:space="0" w:color="CBD5E1"/>
              <w:left w:val="none"/>
              <w:right w:val="none"/>
            </w:tcBorders>
          </w:tcPr>
          <w:p>
            <w:r>
              <w:rPr>
                <w:color w:val="1E293B"/>
                <w:sz w:val="19"/>
              </w:rPr>
              <w:t>Linguistique interne / Système abstrait</w:t>
            </w:r>
          </w:p>
        </w:tc>
        <w:tc>
          <w:tcPr>
            <w:tcW w:type="dxa" w:w="3600"/>
            <w:shd w:fill="F8FAFC"/>
            <w:tcMar>
              <w:top w:w="80" w:type="dxa"/>
              <w:bottom w:w="80" w:type="dxa"/>
              <w:left w:w="120" w:type="dxa"/>
              <w:right w:w="120" w:type="dxa"/>
            </w:tcMar>
            <w:tcBorders>
              <w:top w:val="single" w:sz="4" w:space="0" w:color="CBD5E1"/>
              <w:bottom w:val="single" w:sz="4" w:space="0" w:color="CBD5E1"/>
              <w:left w:val="none"/>
              <w:right w:val="none"/>
            </w:tcBorders>
          </w:tcPr>
          <w:p>
            <w:r>
              <w:rPr>
                <w:color w:val="1E293B"/>
                <w:sz w:val="19"/>
              </w:rPr>
              <w:t>Pose les bases du structuralisme mais isole la langue du contexte social.</w:t>
            </w:r>
          </w:p>
        </w:tc>
      </w:tr>
      <w:tr>
        <w:tc>
          <w:tcPr>
            <w:tcW w:type="dxa" w:w="2592"/>
            <w:shd w:fill="FFFFFF"/>
            <w:tcMar>
              <w:top w:w="80" w:type="dxa"/>
              <w:bottom w:w="80" w:type="dxa"/>
              <w:left w:w="120" w:type="dxa"/>
              <w:right w:w="120" w:type="dxa"/>
            </w:tcMar>
            <w:tcBorders>
              <w:top w:val="single" w:sz="4" w:space="0" w:color="CBD5E1"/>
              <w:bottom w:val="single" w:sz="4" w:space="0" w:color="CBD5E1"/>
              <w:left w:val="none"/>
              <w:right w:val="none"/>
            </w:tcBorders>
          </w:tcPr>
          <w:p>
            <w:r>
              <w:rPr>
                <w:color w:val="1E293B"/>
                <w:sz w:val="19"/>
              </w:rPr>
              <w:t>A. Meillet</w:t>
            </w:r>
          </w:p>
        </w:tc>
        <w:tc>
          <w:tcPr>
            <w:tcW w:type="dxa" w:w="3168"/>
            <w:shd w:fill="FFFFFF"/>
            <w:tcMar>
              <w:top w:w="80" w:type="dxa"/>
              <w:bottom w:w="80" w:type="dxa"/>
              <w:left w:w="120" w:type="dxa"/>
              <w:right w:w="120" w:type="dxa"/>
            </w:tcMar>
            <w:tcBorders>
              <w:top w:val="single" w:sz="4" w:space="0" w:color="CBD5E1"/>
              <w:bottom w:val="single" w:sz="4" w:space="0" w:color="CBD5E1"/>
              <w:left w:val="none"/>
              <w:right w:val="none"/>
            </w:tcBorders>
          </w:tcPr>
          <w:p>
            <w:r>
              <w:rPr>
                <w:color w:val="1E293B"/>
                <w:sz w:val="19"/>
              </w:rPr>
              <w:t>La langue comme « fait social » (Durkheim)</w:t>
            </w:r>
          </w:p>
        </w:tc>
        <w:tc>
          <w:tcPr>
            <w:tcW w:type="dxa" w:w="3600"/>
            <w:shd w:fill="FFFFFF"/>
            <w:tcMar>
              <w:top w:w="80" w:type="dxa"/>
              <w:bottom w:w="80" w:type="dxa"/>
              <w:left w:w="120" w:type="dxa"/>
              <w:right w:w="120" w:type="dxa"/>
            </w:tcMar>
            <w:tcBorders>
              <w:top w:val="single" w:sz="4" w:space="0" w:color="CBD5E1"/>
              <w:bottom w:val="single" w:sz="4" w:space="0" w:color="CBD5E1"/>
              <w:left w:val="none"/>
              <w:right w:val="none"/>
            </w:tcBorders>
          </w:tcPr>
          <w:p>
            <w:r>
              <w:rPr>
                <w:color w:val="1E293B"/>
                <w:sz w:val="19"/>
              </w:rPr>
              <w:t>S'oppose à la pure abstraction et lie le changement linguistique au changement social.</w:t>
            </w:r>
          </w:p>
        </w:tc>
      </w:tr>
      <w:tr>
        <w:tc>
          <w:tcPr>
            <w:tcW w:type="dxa" w:w="2592"/>
            <w:shd w:fill="F8FAFC"/>
            <w:tcMar>
              <w:top w:w="80" w:type="dxa"/>
              <w:bottom w:w="80" w:type="dxa"/>
              <w:left w:w="120" w:type="dxa"/>
              <w:right w:w="120" w:type="dxa"/>
            </w:tcMar>
            <w:tcBorders>
              <w:top w:val="single" w:sz="4" w:space="0" w:color="CBD5E1"/>
              <w:bottom w:val="single" w:sz="4" w:space="0" w:color="CBD5E1"/>
              <w:left w:val="none"/>
              <w:right w:val="none"/>
            </w:tcBorders>
          </w:tcPr>
          <w:p>
            <w:r>
              <w:rPr>
                <w:color w:val="1E293B"/>
                <w:sz w:val="19"/>
              </w:rPr>
              <w:t>B. Bernstein</w:t>
            </w:r>
          </w:p>
        </w:tc>
        <w:tc>
          <w:tcPr>
            <w:tcW w:type="dxa" w:w="3168"/>
            <w:shd w:fill="F8FAFC"/>
            <w:tcMar>
              <w:top w:w="80" w:type="dxa"/>
              <w:bottom w:w="80" w:type="dxa"/>
              <w:left w:w="120" w:type="dxa"/>
              <w:right w:w="120" w:type="dxa"/>
            </w:tcMar>
            <w:tcBorders>
              <w:top w:val="single" w:sz="4" w:space="0" w:color="CBD5E1"/>
              <w:bottom w:val="single" w:sz="4" w:space="0" w:color="CBD5E1"/>
              <w:left w:val="none"/>
              <w:right w:val="none"/>
            </w:tcBorders>
          </w:tcPr>
          <w:p>
            <w:r>
              <w:rPr>
                <w:color w:val="1E293B"/>
                <w:sz w:val="19"/>
              </w:rPr>
              <w:t>Codes restreint et élaboré</w:t>
            </w:r>
          </w:p>
        </w:tc>
        <w:tc>
          <w:tcPr>
            <w:tcW w:type="dxa" w:w="3600"/>
            <w:shd w:fill="F8FAFC"/>
            <w:tcMar>
              <w:top w:w="80" w:type="dxa"/>
              <w:bottom w:w="80" w:type="dxa"/>
              <w:left w:w="120" w:type="dxa"/>
              <w:right w:w="120" w:type="dxa"/>
            </w:tcMar>
            <w:tcBorders>
              <w:top w:val="single" w:sz="4" w:space="0" w:color="CBD5E1"/>
              <w:bottom w:val="single" w:sz="4" w:space="0" w:color="CBD5E1"/>
              <w:left w:val="none"/>
              <w:right w:val="none"/>
            </w:tcBorders>
          </w:tcPr>
          <w:p>
            <w:r>
              <w:rPr>
                <w:color w:val="1E293B"/>
                <w:sz w:val="19"/>
              </w:rPr>
              <w:t>Pionnier de l'analyse des inégalités linguistiques et de l'échec scolaire.</w:t>
            </w:r>
          </w:p>
        </w:tc>
      </w:tr>
      <w:tr>
        <w:tc>
          <w:tcPr>
            <w:tcW w:type="dxa" w:w="2592"/>
            <w:shd w:fill="FFFFFF"/>
            <w:tcMar>
              <w:top w:w="80" w:type="dxa"/>
              <w:bottom w:w="80" w:type="dxa"/>
              <w:left w:w="120" w:type="dxa"/>
              <w:right w:w="120" w:type="dxa"/>
            </w:tcMar>
            <w:tcBorders>
              <w:top w:val="single" w:sz="4" w:space="0" w:color="CBD5E1"/>
              <w:bottom w:val="single" w:sz="4" w:space="0" w:color="CBD5E1"/>
              <w:left w:val="none"/>
              <w:right w:val="none"/>
            </w:tcBorders>
          </w:tcPr>
          <w:p>
            <w:r>
              <w:rPr>
                <w:color w:val="1E293B"/>
                <w:sz w:val="19"/>
              </w:rPr>
              <w:t>W. Labov</w:t>
            </w:r>
          </w:p>
        </w:tc>
        <w:tc>
          <w:tcPr>
            <w:tcW w:type="dxa" w:w="3168"/>
            <w:shd w:fill="FFFFFF"/>
            <w:tcMar>
              <w:top w:w="80" w:type="dxa"/>
              <w:bottom w:w="80" w:type="dxa"/>
              <w:left w:w="120" w:type="dxa"/>
              <w:right w:w="120" w:type="dxa"/>
            </w:tcMar>
            <w:tcBorders>
              <w:top w:val="single" w:sz="4" w:space="0" w:color="CBD5E1"/>
              <w:bottom w:val="single" w:sz="4" w:space="0" w:color="CBD5E1"/>
              <w:left w:val="none"/>
              <w:right w:val="none"/>
            </w:tcBorders>
          </w:tcPr>
          <w:p>
            <w:r>
              <w:rPr>
                <w:color w:val="1E293B"/>
                <w:sz w:val="19"/>
              </w:rPr>
              <w:t>Linguistique variationniste</w:t>
            </w:r>
          </w:p>
        </w:tc>
        <w:tc>
          <w:tcPr>
            <w:tcW w:type="dxa" w:w="3600"/>
            <w:shd w:fill="FFFFFF"/>
            <w:tcMar>
              <w:top w:w="80" w:type="dxa"/>
              <w:bottom w:w="80" w:type="dxa"/>
              <w:left w:w="120" w:type="dxa"/>
              <w:right w:w="120" w:type="dxa"/>
            </w:tcMar>
            <w:tcBorders>
              <w:top w:val="single" w:sz="4" w:space="0" w:color="CBD5E1"/>
              <w:bottom w:val="single" w:sz="4" w:space="0" w:color="CBD5E1"/>
              <w:left w:val="none"/>
              <w:right w:val="none"/>
            </w:tcBorders>
          </w:tcPr>
          <w:p>
            <w:r>
              <w:rPr>
                <w:color w:val="1E293B"/>
                <w:sz w:val="19"/>
              </w:rPr>
              <w:t>Affirme que toute linguistique scientifique est nécessairement sociale.</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