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2E0" w:rsidRPr="00AF627B" w:rsidRDefault="008C4505">
      <w:pPr>
        <w:spacing w:after="40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 xml:space="preserve">Université </w:t>
      </w:r>
      <w:proofErr w:type="spellStart"/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Abdelhafid</w:t>
      </w:r>
      <w:proofErr w:type="spellEnd"/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Boussouf</w:t>
      </w:r>
      <w:proofErr w:type="spellEnd"/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 xml:space="preserve"> — Mila</w:t>
      </w:r>
    </w:p>
    <w:p w:rsidR="00CB72E0" w:rsidRPr="00AF627B" w:rsidRDefault="008C4505" w:rsidP="008E5DF7">
      <w:pPr>
        <w:spacing w:after="200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i/>
          <w:iCs/>
          <w:color w:val="0D0D0D" w:themeColor="text1" w:themeTint="F2"/>
          <w:sz w:val="24"/>
          <w:szCs w:val="24"/>
        </w:rPr>
        <w:t>Master</w:t>
      </w:r>
      <w:r w:rsidR="00AF627B">
        <w:rPr>
          <w:rFonts w:asciiTheme="majorBidi" w:eastAsia="Calibri" w:hAnsiTheme="majorBidi" w:cstheme="majorBidi"/>
          <w:i/>
          <w:iCs/>
          <w:color w:val="0D0D0D" w:themeColor="text1" w:themeTint="F2"/>
          <w:sz w:val="24"/>
          <w:szCs w:val="24"/>
        </w:rPr>
        <w:t xml:space="preserve"> 2</w:t>
      </w:r>
      <w:r w:rsidRPr="00AF627B">
        <w:rPr>
          <w:rFonts w:asciiTheme="majorBidi" w:eastAsia="Calibri" w:hAnsiTheme="majorBidi" w:cstheme="majorBidi"/>
          <w:i/>
          <w:iCs/>
          <w:color w:val="0D0D0D" w:themeColor="text1" w:themeTint="F2"/>
          <w:sz w:val="24"/>
          <w:szCs w:val="24"/>
        </w:rPr>
        <w:t xml:space="preserve"> — Microbiologie / Biotechnologies </w:t>
      </w:r>
      <w:r w:rsidR="008E5DF7" w:rsidRPr="00AF627B">
        <w:rPr>
          <w:rFonts w:asciiTheme="majorBidi" w:eastAsia="Calibri" w:hAnsiTheme="majorBidi" w:cstheme="majorBidi"/>
          <w:i/>
          <w:iCs/>
          <w:color w:val="0D0D0D" w:themeColor="text1" w:themeTint="F2"/>
          <w:sz w:val="24"/>
          <w:szCs w:val="24"/>
        </w:rPr>
        <w:t>microbienne</w:t>
      </w:r>
    </w:p>
    <w:p w:rsidR="00CB72E0" w:rsidRPr="00AF627B" w:rsidRDefault="00AF627B">
      <w:pPr>
        <w:spacing w:after="80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TP N° : 01</w:t>
      </w:r>
    </w:p>
    <w:p w:rsidR="00CB72E0" w:rsidRPr="00AF627B" w:rsidRDefault="008C4505">
      <w:pPr>
        <w:spacing w:after="240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Fermentation en milieu solide : production de vinaigre à partir de déchets de pomme et d'une mère de vinaigre</w:t>
      </w:r>
    </w:p>
    <w:p w:rsidR="00CB72E0" w:rsidRPr="00AF627B" w:rsidRDefault="00CB72E0">
      <w:pPr>
        <w:spacing w:after="20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I. Objectifs pédagogiques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Comprendre l'enchaînement biologique fermentation alcoolique (levures indigènes des déchets de pomme) → fermentation acétique (bactéries acétiques apportées par la mère de vinaigre).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Mettre en œuvre une fermentation en milieu solide à partir d'un déchet agroalimentaire (valorisation des déchets de pomme).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Utiliser le pH comme unique indicateur de suivi d'une fermentation, y compris sur un substrat solide hétérogène.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Établir un calendrier de suivi permettant d'interpréter l'évolution du pH jusqu'à la fin de la fermentation, en dehors des heures de séance.</w:t>
      </w:r>
    </w:p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II. Rappels théoriques</w:t>
      </w:r>
    </w:p>
    <w:p w:rsidR="00CB72E0" w:rsidRPr="00AF627B" w:rsidRDefault="008C4505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Les déchets de pomme (épluchures, trognons, chutes) contiennent des sucres résiduels (fructose, glucose, saccharose) et une flore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levurienne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indigène naturellement présente sur la peau du fruit. En présence d'humidité et à température ambiante, ces levures amorcent spontanément une fermentation alcoolique, transformant une partie des sucres en éthanol et CO</w:t>
      </w:r>
      <w:r w:rsidRPr="00AF627B">
        <w:rPr>
          <w:rFonts w:ascii="Calibri" w:eastAsia="Calibri" w:hAnsi="Calibri" w:cstheme="majorBidi"/>
          <w:color w:val="0D0D0D" w:themeColor="text1" w:themeTint="F2"/>
          <w:sz w:val="24"/>
          <w:szCs w:val="24"/>
        </w:rPr>
        <w:t>₂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.</w:t>
      </w:r>
    </w:p>
    <w:p w:rsidR="008E5DF7" w:rsidRPr="00AF627B" w:rsidRDefault="008E5DF7" w:rsidP="008E5DF7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La fermentation acétique est une oxydation biologique de l'éthanol en acide acétique, réalisée par des bactéries acétiques aérobies strictes selon la réaction globale :</w:t>
      </w:r>
    </w:p>
    <w:p w:rsidR="008E5DF7" w:rsidRPr="00AF627B" w:rsidRDefault="008E5DF7" w:rsidP="008E5DF7">
      <w:pPr>
        <w:spacing w:after="160"/>
        <w:jc w:val="center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CH</w:t>
      </w:r>
      <w:r w:rsidRPr="00AF627B">
        <w:rPr>
          <w:rFonts w:ascii="Calibri" w:eastAsia="Calibri" w:hAnsi="Calibri" w:cstheme="majorBidi"/>
          <w:b/>
          <w:bCs/>
          <w:i/>
          <w:iCs/>
          <w:color w:val="0D0D0D" w:themeColor="text1" w:themeTint="F2"/>
          <w:sz w:val="24"/>
          <w:szCs w:val="24"/>
        </w:rPr>
        <w:t>₃</w:t>
      </w: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CH</w:t>
      </w:r>
      <w:r w:rsidRPr="00AF627B">
        <w:rPr>
          <w:rFonts w:ascii="Calibri" w:eastAsia="Calibri" w:hAnsi="Calibri" w:cstheme="majorBidi"/>
          <w:b/>
          <w:bCs/>
          <w:i/>
          <w:iCs/>
          <w:color w:val="0D0D0D" w:themeColor="text1" w:themeTint="F2"/>
          <w:sz w:val="24"/>
          <w:szCs w:val="24"/>
        </w:rPr>
        <w:t>₂</w:t>
      </w: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OH + O</w:t>
      </w:r>
      <w:r w:rsidRPr="00AF627B">
        <w:rPr>
          <w:rFonts w:ascii="Calibri" w:eastAsia="Calibri" w:hAnsi="Calibri" w:cstheme="majorBidi"/>
          <w:b/>
          <w:bCs/>
          <w:i/>
          <w:iCs/>
          <w:color w:val="0D0D0D" w:themeColor="text1" w:themeTint="F2"/>
          <w:sz w:val="24"/>
          <w:szCs w:val="24"/>
        </w:rPr>
        <w:t>₂</w:t>
      </w: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 xml:space="preserve">  →  CH</w:t>
      </w:r>
      <w:r w:rsidRPr="00AF627B">
        <w:rPr>
          <w:rFonts w:ascii="Calibri" w:eastAsia="Calibri" w:hAnsi="Calibri" w:cstheme="majorBidi"/>
          <w:b/>
          <w:bCs/>
          <w:i/>
          <w:iCs/>
          <w:color w:val="0D0D0D" w:themeColor="text1" w:themeTint="F2"/>
          <w:sz w:val="24"/>
          <w:szCs w:val="24"/>
        </w:rPr>
        <w:t>₃</w:t>
      </w: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COOH + H</w:t>
      </w:r>
      <w:r w:rsidRPr="00AF627B">
        <w:rPr>
          <w:rFonts w:ascii="Calibri" w:eastAsia="Calibri" w:hAnsi="Calibri" w:cstheme="majorBidi"/>
          <w:b/>
          <w:bCs/>
          <w:i/>
          <w:iCs/>
          <w:color w:val="0D0D0D" w:themeColor="text1" w:themeTint="F2"/>
          <w:sz w:val="24"/>
          <w:szCs w:val="24"/>
        </w:rPr>
        <w:t>₂</w:t>
      </w:r>
      <w:r w:rsidRPr="00AF627B">
        <w:rPr>
          <w:rFonts w:asciiTheme="majorBidi" w:eastAsia="Calibri" w:hAnsiTheme="majorBidi" w:cstheme="majorBidi"/>
          <w:b/>
          <w:bCs/>
          <w:i/>
          <w:iCs/>
          <w:color w:val="0D0D0D" w:themeColor="text1" w:themeTint="F2"/>
          <w:sz w:val="24"/>
          <w:szCs w:val="24"/>
        </w:rPr>
        <w:t>O</w:t>
      </w:r>
    </w:p>
    <w:p w:rsidR="008E5DF7" w:rsidRPr="00AF627B" w:rsidRDefault="008E5DF7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8E5DF7" w:rsidRPr="00AF627B" w:rsidRDefault="008E5DF7" w:rsidP="008E5DF7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La « mère de vinaigre » est un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biofilm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de cellulose bactérienne synthétisé par les bactéries acétiques elles-mêmes ; il sert de support de culture naturel, riche en bactéries actives, utilisé traditionnellement comme inoculum. La mère de vinaigre utilisée ici est conservée directement dans du vinaigre : elle apporte donc à la fois des bactéries acétiques actives (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Acetobacter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</w:t>
      </w:r>
      <w:proofErr w:type="spellStart"/>
      <w:proofErr w:type="gram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spp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.,</w:t>
      </w:r>
      <w:proofErr w:type="gram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Gluconacetobacter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spp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.) et un milieu déjà acide, ce qui a un double intérêt pédagogique : accélérer le démarrage de l'acétification dès qu'un peu d'éthanol est disponible, et limiter le développement de micro-organismes indésirables grâce au pH bas apporté dès l'inoculation.</w:t>
      </w:r>
    </w:p>
    <w:p w:rsidR="00CB72E0" w:rsidRPr="00AF627B" w:rsidRDefault="008C4505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Le procédé combine donc, dans le même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, une phase de fermentation alcoolique spontanée suivie (ou concomitante en surface) d'une acétification par les bactéries de la mère : c'est le principe traditionnel du « vinaigre de déchets de pomme » (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scrap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vinegar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).</w:t>
      </w:r>
    </w:p>
    <w:p w:rsidR="00CB72E0" w:rsidRDefault="008C4505" w:rsidP="008E5DF7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Mesure du pH sur un substrat solide : l'électrode d'un pH-mètre standard ne s'insère pas correctement dans une pâte de déchets de pomme. On procède donc par macération diluée : prélever une petite quantité du mélange, la mélanger à de l'eau distillée, agiter, laisser décanter quelques minutes, puis mesurer le pH du surnageant. </w:t>
      </w:r>
    </w:p>
    <w:p w:rsidR="00AF627B" w:rsidRDefault="00AF627B" w:rsidP="008E5DF7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</w:p>
    <w:p w:rsidR="00AF627B" w:rsidRDefault="00AF627B" w:rsidP="008E5DF7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</w:p>
    <w:p w:rsidR="00AF627B" w:rsidRDefault="00AF627B" w:rsidP="008E5DF7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</w:p>
    <w:p w:rsidR="00AF627B" w:rsidRPr="00AF627B" w:rsidRDefault="00AF627B" w:rsidP="008E5DF7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lastRenderedPageBreak/>
        <w:t>III. Matériel et réactifs</w:t>
      </w:r>
    </w:p>
    <w:p w:rsidR="00CB72E0" w:rsidRPr="00AF627B" w:rsidRDefault="008C4505">
      <w:pPr>
        <w:pStyle w:val="Heading2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Substrat et inoculum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Déchets de pomme (épluchures, trognons, chutes) — quantité suffisante pour remplir chaque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au tiers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Mère de vinaigre conservée dans son vinaigre d'origine (inoculum apporté avec son liquide)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Eau distillée (pour les dilutions de mesure du pH et, si besoin, pour ajuster l'humidité du substrat)</w:t>
      </w:r>
    </w:p>
    <w:p w:rsidR="00AF627B" w:rsidRPr="00AF627B" w:rsidRDefault="00AF627B" w:rsidP="00AF627B">
      <w:p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CB72E0" w:rsidRPr="00AF627B" w:rsidRDefault="008C4505">
      <w:pPr>
        <w:pStyle w:val="Heading2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Matériel de laboratoire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Erlenmeyers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250–500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mL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, un par groupe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Gaze ou coton (bouchon perméable à l'air, empêche l'entrée des insectes) + élastique ou ficelle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pH-mètre de paillasse (ou bandelettes de pH à défaut) + solutions tampons d'étalonnage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Balance de paillasse, béchers, agitateur en verre, entonnoir et papier filtre (ou gaze fine) pour le surnageant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Planche à découper, couteau, gants, blouses, alcool à 70° pour désinfection du plan de travail</w:t>
      </w:r>
    </w:p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 xml:space="preserve">IV. Déroulement de la séance encadrée </w:t>
      </w:r>
    </w:p>
    <w:p w:rsidR="00AF627B" w:rsidRDefault="00AF627B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</w:p>
    <w:p w:rsidR="00AF627B" w:rsidRDefault="00AF627B" w:rsidP="008C4505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1- 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Découper les déchets de pomme en petits morceaux  pour augmenter la surface d'échange. Peser une quantité identique pour chaque groupe (ex. 100 g) et l'introduire dans l'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(remplissage au 1/3 maximum, pour laisser un espace d'air suffisant — les bactéries acétiques sont aérobies strictes).</w:t>
      </w:r>
    </w:p>
    <w:p w:rsidR="00AF627B" w:rsidRDefault="00AF627B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2- 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Étalonner avec les solutions tampons (pH 4 et 7) pendant que les substrats reposent.</w:t>
      </w:r>
    </w:p>
    <w:p w:rsidR="00AF627B" w:rsidRDefault="00AF627B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3-  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Prélever ~10 g du mélange de déchets de pomme dans un bécher, ajouter 50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mL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d'eau distillée, agiter 5 min, laisser décanter 5 min, filtrer/décanter puis mesurer le pH du surnageant. Consigner la valeur</w:t>
      </w:r>
    </w:p>
    <w:tbl>
      <w:tblPr>
        <w:tblStyle w:val="Grilledutableau"/>
        <w:tblW w:w="0" w:type="auto"/>
        <w:tblLook w:val="04A0"/>
      </w:tblPr>
      <w:tblGrid>
        <w:gridCol w:w="2461"/>
        <w:gridCol w:w="2461"/>
        <w:gridCol w:w="2462"/>
        <w:gridCol w:w="2462"/>
      </w:tblGrid>
      <w:tr w:rsidR="008C4505" w:rsidTr="008C4505">
        <w:tc>
          <w:tcPr>
            <w:tcW w:w="2461" w:type="dxa"/>
          </w:tcPr>
          <w:p w:rsidR="008C4505" w:rsidRPr="008C4505" w:rsidRDefault="008C4505">
            <w:pPr>
              <w:spacing w:after="120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8C4505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Groupe</w:t>
            </w:r>
          </w:p>
        </w:tc>
        <w:tc>
          <w:tcPr>
            <w:tcW w:w="2461" w:type="dxa"/>
          </w:tcPr>
          <w:p w:rsidR="008C4505" w:rsidRPr="008C4505" w:rsidRDefault="008C4505">
            <w:pPr>
              <w:spacing w:after="120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8C4505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Condition</w:t>
            </w:r>
          </w:p>
        </w:tc>
        <w:tc>
          <w:tcPr>
            <w:tcW w:w="2462" w:type="dxa"/>
          </w:tcPr>
          <w:p w:rsidR="008C4505" w:rsidRPr="008C4505" w:rsidRDefault="008C4505">
            <w:pPr>
              <w:spacing w:after="120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8C4505">
              <w:rPr>
                <w:b/>
                <w:bCs/>
              </w:rPr>
              <w:t>Volume de mère de vinaigre + vinaigre (</w:t>
            </w:r>
            <w:proofErr w:type="spellStart"/>
            <w:r w:rsidRPr="008C4505">
              <w:rPr>
                <w:b/>
                <w:bCs/>
              </w:rPr>
              <w:t>mL</w:t>
            </w:r>
            <w:proofErr w:type="spellEnd"/>
            <w:r w:rsidRPr="008C4505">
              <w:rPr>
                <w:b/>
                <w:bCs/>
              </w:rPr>
              <w:t>)</w:t>
            </w:r>
          </w:p>
        </w:tc>
        <w:tc>
          <w:tcPr>
            <w:tcW w:w="2462" w:type="dxa"/>
          </w:tcPr>
          <w:p w:rsidR="008C4505" w:rsidRPr="008C4505" w:rsidRDefault="008C4505">
            <w:pPr>
              <w:spacing w:after="120"/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</w:pPr>
            <w:r w:rsidRPr="008C4505">
              <w:rPr>
                <w:b/>
                <w:bCs/>
              </w:rPr>
              <w:t>Masse de déchets de pomme (g</w:t>
            </w:r>
          </w:p>
        </w:tc>
      </w:tr>
      <w:tr w:rsidR="008C4505" w:rsidTr="008C4505"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T</w:t>
            </w:r>
          </w:p>
        </w:tc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Sans inoculum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0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100</w:t>
            </w:r>
          </w:p>
        </w:tc>
      </w:tr>
      <w:tr w:rsidR="008C4505" w:rsidTr="008C4505"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E1</w:t>
            </w:r>
          </w:p>
        </w:tc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Dose faible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10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100</w:t>
            </w:r>
          </w:p>
        </w:tc>
      </w:tr>
      <w:tr w:rsidR="008C4505" w:rsidTr="008C4505"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E2</w:t>
            </w:r>
          </w:p>
        </w:tc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Dose moyenne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100</w:t>
            </w:r>
          </w:p>
        </w:tc>
      </w:tr>
      <w:tr w:rsidR="008C4505" w:rsidTr="008C4505"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E3</w:t>
            </w:r>
          </w:p>
        </w:tc>
        <w:tc>
          <w:tcPr>
            <w:tcW w:w="2461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Dose élevée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35</w:t>
            </w:r>
          </w:p>
        </w:tc>
        <w:tc>
          <w:tcPr>
            <w:tcW w:w="2462" w:type="dxa"/>
          </w:tcPr>
          <w:p w:rsidR="008C4505" w:rsidRDefault="008C4505">
            <w:pPr>
              <w:spacing w:after="120"/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100</w:t>
            </w:r>
          </w:p>
        </w:tc>
      </w:tr>
    </w:tbl>
    <w:p w:rsidR="008C4505" w:rsidRDefault="008C4505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</w:p>
    <w:p w:rsidR="00AF627B" w:rsidRDefault="00AF627B" w:rsidP="008C4505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4- 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Ajouter la mère de vinaigre directement dans l'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, avec une partie de son vinaigre de conservation. Mélanger délicatement à l'aide d'une baguette propre pour bien répartir l'inoculum dans le substrat.</w:t>
      </w:r>
    </w:p>
    <w:p w:rsidR="00AF627B" w:rsidRDefault="00AF627B">
      <w:pPr>
        <w:spacing w:after="120"/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</w:pPr>
      <w:r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5- </w:t>
      </w: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Fermer chaque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avec de la gaze ou du coton (jamais de bouchon hermétique) maintenu par un élastique. Étiqueter (groupe, date, contenu). Peser l'ensemble comme masse de référence.</w:t>
      </w:r>
    </w:p>
    <w:p w:rsidR="00AF627B" w:rsidRPr="00AF627B" w:rsidRDefault="00AF627B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</w:p>
    <w:p w:rsidR="00CB72E0" w:rsidRPr="00AF627B" w:rsidRDefault="008C4505">
      <w:pPr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hAnsiTheme="majorBidi" w:cstheme="majorBidi"/>
          <w:color w:val="0D0D0D" w:themeColor="text1" w:themeTint="F2"/>
          <w:sz w:val="24"/>
          <w:szCs w:val="24"/>
        </w:rPr>
        <w:br w:type="page"/>
      </w:r>
    </w:p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lastRenderedPageBreak/>
        <w:t>V. Fiche de résultats — mesure initiale (t0)</w:t>
      </w:r>
    </w:p>
    <w:p w:rsidR="00CB72E0" w:rsidRPr="00AF627B" w:rsidRDefault="008C4505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À remplir en séance, avant inoculation, pour chaque groupe :</w:t>
      </w:r>
    </w:p>
    <w:tbl>
      <w:tblPr>
        <w:tblW w:w="8800" w:type="dxa"/>
        <w:tblInd w:w="90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CellMar>
          <w:left w:w="10" w:type="dxa"/>
          <w:right w:w="10" w:type="dxa"/>
        </w:tblCellMar>
        <w:tblLook w:val="0000"/>
      </w:tblPr>
      <w:tblGrid>
        <w:gridCol w:w="4799"/>
        <w:gridCol w:w="4001"/>
      </w:tblGrid>
      <w:tr w:rsidR="00CB72E0" w:rsidRPr="00AF627B">
        <w:tc>
          <w:tcPr>
            <w:tcW w:w="4200" w:type="dxa"/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Paramètre</w:t>
            </w:r>
          </w:p>
        </w:tc>
        <w:tc>
          <w:tcPr>
            <w:tcW w:w="4600" w:type="dxa"/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Valeur (t0)</w:t>
            </w: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Masse de déchets de pomme introduite (g)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CB72E0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Masse totale de l'</w:t>
            </w:r>
            <w:proofErr w:type="spellStart"/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Erlenmeyer</w:t>
            </w:r>
            <w:proofErr w:type="spellEnd"/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 xml:space="preserve"> (substrat + inoculum) (g)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CB72E0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 xml:space="preserve">pH du surnageant (dilution 10 g / 50 </w:t>
            </w:r>
            <w:proofErr w:type="spellStart"/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mL</w:t>
            </w:r>
            <w:proofErr w:type="spellEnd"/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 xml:space="preserve"> eau distillée)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CB72E0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Aspect (couleur, texture)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CB72E0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Odeur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CB72E0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</w:p>
        </w:tc>
      </w:tr>
    </w:tbl>
    <w:p w:rsidR="00CB72E0" w:rsidRPr="00AF627B" w:rsidRDefault="008C4505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VI. Suivi de la fermentation (hors séance)</w:t>
      </w:r>
    </w:p>
    <w:p w:rsidR="00CB72E0" w:rsidRPr="00AF627B" w:rsidRDefault="008C4505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Les résultats définitifs ne sont pas lus en séance : le pH est relevé selon le calendrier ci-dessous, en reproduisant à chaque fois la méthode de dilution (prélèvement ~10 g + 50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mL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eau distillée + mesure du surnageant) :</w:t>
      </w:r>
    </w:p>
    <w:tbl>
      <w:tblPr>
        <w:tblW w:w="9300" w:type="dxa"/>
        <w:tblInd w:w="90" w:type="dxa"/>
        <w:tblBorders>
          <w:top w:val="single" w:sz="2" w:space="0" w:color="AAAAAA"/>
          <w:left w:val="single" w:sz="2" w:space="0" w:color="AAAAAA"/>
          <w:bottom w:val="single" w:sz="2" w:space="0" w:color="AAAAAA"/>
          <w:right w:val="single" w:sz="2" w:space="0" w:color="AAAAAA"/>
          <w:insideH w:val="single" w:sz="2" w:space="0" w:color="AAAAAA"/>
          <w:insideV w:val="single" w:sz="2" w:space="0" w:color="AAAAAA"/>
        </w:tblBorders>
        <w:tblCellMar>
          <w:left w:w="10" w:type="dxa"/>
          <w:right w:w="10" w:type="dxa"/>
        </w:tblCellMar>
        <w:tblLook w:val="0000"/>
      </w:tblPr>
      <w:tblGrid>
        <w:gridCol w:w="1313"/>
        <w:gridCol w:w="2018"/>
        <w:gridCol w:w="5969"/>
      </w:tblGrid>
      <w:tr w:rsidR="00CB72E0" w:rsidRPr="00AF627B" w:rsidTr="00AF627B">
        <w:tc>
          <w:tcPr>
            <w:tcW w:w="1313" w:type="dxa"/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Jour</w:t>
            </w:r>
          </w:p>
        </w:tc>
        <w:tc>
          <w:tcPr>
            <w:tcW w:w="2018" w:type="dxa"/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Mesure</w:t>
            </w:r>
          </w:p>
        </w:tc>
        <w:tc>
          <w:tcPr>
            <w:tcW w:w="5969" w:type="dxa"/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4"/>
                <w:szCs w:val="24"/>
              </w:rPr>
              <w:t>Ce qu'on observe habituellement</w:t>
            </w: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J0 (séance)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pH, masse, aspect, odeur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Valeurs de référence</w:t>
            </w: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J7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pH, aspect, odeur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Début de baisse du pH, apparition progressive de l'odeur vinaigrée</w:t>
            </w:r>
          </w:p>
        </w:tc>
      </w:tr>
      <w:tr w:rsidR="00CB72E0" w:rsidRPr="00AF627B"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J15–J20 (ou fin)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pH final + comparaison à t0</w:t>
            </w:r>
          </w:p>
        </w:tc>
        <w:tc>
          <w:tcPr>
            <w:tcW w:w="0" w:type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B72E0" w:rsidRPr="00AF627B" w:rsidRDefault="008C4505">
            <w:pPr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F627B">
              <w:rPr>
                <w:rFonts w:asciiTheme="majorBidi" w:eastAsia="Calibri" w:hAnsiTheme="majorBidi" w:cstheme="majorBidi"/>
                <w:color w:val="0D0D0D" w:themeColor="text1" w:themeTint="F2"/>
                <w:sz w:val="24"/>
                <w:szCs w:val="24"/>
              </w:rPr>
              <w:t>Fermentation considérée achevée quand le pH se stabilise (variation &lt; 0,1–0,2 unité) sur deux mesures espacées de 2–3 jours</w:t>
            </w:r>
          </w:p>
        </w:tc>
      </w:tr>
    </w:tbl>
    <w:p w:rsidR="00CB72E0" w:rsidRPr="00AF627B" w:rsidRDefault="008C4505">
      <w:pPr>
        <w:spacing w:after="12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i/>
          <w:iCs/>
          <w:color w:val="0D0D0D" w:themeColor="text1" w:themeTint="F2"/>
          <w:sz w:val="24"/>
          <w:szCs w:val="24"/>
        </w:rPr>
        <w:t>Le vinaigre obtenu peut ensuite être filtré (gaze fine ou papier filtre) pour séparer la phase liquide des résidus solides de pomme, avant observation finale et dégustation encadrée.</w:t>
      </w:r>
    </w:p>
    <w:p w:rsidR="00CB72E0" w:rsidRPr="00AF627B" w:rsidRDefault="008C4505" w:rsidP="00AF627B">
      <w:pPr>
        <w:pStyle w:val="Heading1"/>
        <w:spacing w:before="280" w:after="14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b/>
          <w:bCs/>
          <w:color w:val="0D0D0D" w:themeColor="text1" w:themeTint="F2"/>
          <w:sz w:val="24"/>
          <w:szCs w:val="24"/>
        </w:rPr>
        <w:t>VII. Questions pour le compte rendu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Pourquoi utilise-t-on une dilution (10 g + 50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mL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d'eau distillée) plutôt que de mesurer le pH directement dans la pâte de déchets de pomme ?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Pourquoi la mère de vinaigre, conservée dans du vinaigre, permet-elle de limiter les contaminations dès l'inoculation ?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Expliquer pourquoi une fermentation alcoolique spontanée peut précéder l'acétification dans ce protocole, alors qu'aucun alcool n'a été ajouté.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Pourquoi ne faut-il jamais fermer hermétiquement l'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Erlenmeyer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 pendant la fermentation ?</w:t>
      </w:r>
    </w:p>
    <w:p w:rsidR="00CB72E0" w:rsidRPr="00AF627B" w:rsidRDefault="008C4505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En l'absence de </w:t>
      </w:r>
      <w:proofErr w:type="spellStart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titration</w:t>
      </w:r>
      <w:proofErr w:type="spellEnd"/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>, quelles limites cela impose-t-il à l'interprétation quantitative des résultats (le pH seul renseigne-t-il sur la concentration exacte en acide acétique) ?</w:t>
      </w:r>
    </w:p>
    <w:p w:rsidR="00CB72E0" w:rsidRPr="00AF627B" w:rsidRDefault="008C4505" w:rsidP="00AF627B">
      <w:pPr>
        <w:pStyle w:val="Paragraphedeliste"/>
        <w:numPr>
          <w:ilvl w:val="0"/>
          <w:numId w:val="2"/>
        </w:numPr>
        <w:spacing w:after="60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AF627B">
        <w:rPr>
          <w:rFonts w:asciiTheme="majorBidi" w:eastAsia="Calibri" w:hAnsiTheme="majorBidi" w:cstheme="majorBidi"/>
          <w:color w:val="0D0D0D" w:themeColor="text1" w:themeTint="F2"/>
          <w:sz w:val="24"/>
          <w:szCs w:val="24"/>
        </w:rPr>
        <w:t xml:space="preserve">Proposer une amélioration du protocole </w:t>
      </w:r>
    </w:p>
    <w:sectPr w:rsidR="00CB72E0" w:rsidRPr="00AF627B" w:rsidSect="00CB72E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D1058"/>
    <w:multiLevelType w:val="hybridMultilevel"/>
    <w:tmpl w:val="406257EE"/>
    <w:lvl w:ilvl="0" w:tplc="ACAAA566">
      <w:start w:val="1"/>
      <w:numFmt w:val="bullet"/>
      <w:lvlText w:val="•"/>
      <w:lvlJc w:val="left"/>
      <w:pPr>
        <w:ind w:left="400" w:hanging="260"/>
      </w:pPr>
    </w:lvl>
    <w:lvl w:ilvl="1" w:tplc="C6509D18">
      <w:start w:val="1"/>
      <w:numFmt w:val="bullet"/>
      <w:lvlText w:val="◦"/>
      <w:lvlJc w:val="left"/>
      <w:pPr>
        <w:ind w:left="800" w:hanging="260"/>
      </w:pPr>
    </w:lvl>
    <w:lvl w:ilvl="2" w:tplc="4508AF1E">
      <w:numFmt w:val="decimal"/>
      <w:lvlText w:val=""/>
      <w:lvlJc w:val="left"/>
    </w:lvl>
    <w:lvl w:ilvl="3" w:tplc="AFEA1082">
      <w:numFmt w:val="decimal"/>
      <w:lvlText w:val=""/>
      <w:lvlJc w:val="left"/>
    </w:lvl>
    <w:lvl w:ilvl="4" w:tplc="985EF67C">
      <w:numFmt w:val="decimal"/>
      <w:lvlText w:val=""/>
      <w:lvlJc w:val="left"/>
    </w:lvl>
    <w:lvl w:ilvl="5" w:tplc="85CEC7BE">
      <w:numFmt w:val="decimal"/>
      <w:lvlText w:val=""/>
      <w:lvlJc w:val="left"/>
    </w:lvl>
    <w:lvl w:ilvl="6" w:tplc="458C9C8A">
      <w:numFmt w:val="decimal"/>
      <w:lvlText w:val=""/>
      <w:lvlJc w:val="left"/>
    </w:lvl>
    <w:lvl w:ilvl="7" w:tplc="FECEDC42">
      <w:numFmt w:val="decimal"/>
      <w:lvlText w:val=""/>
      <w:lvlJc w:val="left"/>
    </w:lvl>
    <w:lvl w:ilvl="8" w:tplc="57EEBE68">
      <w:numFmt w:val="decimal"/>
      <w:lvlText w:val=""/>
      <w:lvlJc w:val="left"/>
    </w:lvl>
  </w:abstractNum>
  <w:abstractNum w:abstractNumId="1">
    <w:nsid w:val="55887792"/>
    <w:multiLevelType w:val="hybridMultilevel"/>
    <w:tmpl w:val="C0367FEE"/>
    <w:lvl w:ilvl="0" w:tplc="3AAC3898">
      <w:start w:val="1"/>
      <w:numFmt w:val="bullet"/>
      <w:lvlText w:val="●"/>
      <w:lvlJc w:val="left"/>
      <w:pPr>
        <w:ind w:left="720" w:hanging="360"/>
      </w:pPr>
    </w:lvl>
    <w:lvl w:ilvl="1" w:tplc="8506C2A6">
      <w:start w:val="1"/>
      <w:numFmt w:val="bullet"/>
      <w:lvlText w:val="○"/>
      <w:lvlJc w:val="left"/>
      <w:pPr>
        <w:ind w:left="1440" w:hanging="360"/>
      </w:pPr>
    </w:lvl>
    <w:lvl w:ilvl="2" w:tplc="0E38F040">
      <w:start w:val="1"/>
      <w:numFmt w:val="bullet"/>
      <w:lvlText w:val="■"/>
      <w:lvlJc w:val="left"/>
      <w:pPr>
        <w:ind w:left="2160" w:hanging="360"/>
      </w:pPr>
    </w:lvl>
    <w:lvl w:ilvl="3" w:tplc="66C0464E">
      <w:start w:val="1"/>
      <w:numFmt w:val="bullet"/>
      <w:lvlText w:val="●"/>
      <w:lvlJc w:val="left"/>
      <w:pPr>
        <w:ind w:left="2880" w:hanging="360"/>
      </w:pPr>
    </w:lvl>
    <w:lvl w:ilvl="4" w:tplc="B26A2246">
      <w:start w:val="1"/>
      <w:numFmt w:val="bullet"/>
      <w:lvlText w:val="○"/>
      <w:lvlJc w:val="left"/>
      <w:pPr>
        <w:ind w:left="3600" w:hanging="360"/>
      </w:pPr>
    </w:lvl>
    <w:lvl w:ilvl="5" w:tplc="3AA677D2">
      <w:start w:val="1"/>
      <w:numFmt w:val="bullet"/>
      <w:lvlText w:val="■"/>
      <w:lvlJc w:val="left"/>
      <w:pPr>
        <w:ind w:left="4320" w:hanging="360"/>
      </w:pPr>
    </w:lvl>
    <w:lvl w:ilvl="6" w:tplc="3C1ECE70">
      <w:start w:val="1"/>
      <w:numFmt w:val="bullet"/>
      <w:lvlText w:val="●"/>
      <w:lvlJc w:val="left"/>
      <w:pPr>
        <w:ind w:left="5040" w:hanging="360"/>
      </w:pPr>
    </w:lvl>
    <w:lvl w:ilvl="7" w:tplc="1C3EE18A">
      <w:start w:val="1"/>
      <w:numFmt w:val="bullet"/>
      <w:lvlText w:val="●"/>
      <w:lvlJc w:val="left"/>
      <w:pPr>
        <w:ind w:left="5760" w:hanging="360"/>
      </w:pPr>
    </w:lvl>
    <w:lvl w:ilvl="8" w:tplc="2EB8B9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CB72E0"/>
    <w:rsid w:val="00434436"/>
    <w:rsid w:val="008C4505"/>
    <w:rsid w:val="008E5DF7"/>
    <w:rsid w:val="00941021"/>
    <w:rsid w:val="00AF627B"/>
    <w:rsid w:val="00CB7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0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sid w:val="00CB72E0"/>
    <w:rPr>
      <w:sz w:val="56"/>
      <w:szCs w:val="56"/>
    </w:rPr>
  </w:style>
  <w:style w:type="paragraph" w:customStyle="1" w:styleId="Heading1">
    <w:name w:val="Heading 1"/>
    <w:qFormat/>
    <w:rsid w:val="00CB72E0"/>
    <w:rPr>
      <w:color w:val="2E74B5"/>
      <w:sz w:val="32"/>
      <w:szCs w:val="32"/>
    </w:rPr>
  </w:style>
  <w:style w:type="paragraph" w:customStyle="1" w:styleId="Heading2">
    <w:name w:val="Heading 2"/>
    <w:qFormat/>
    <w:rsid w:val="00CB72E0"/>
    <w:rPr>
      <w:color w:val="2E74B5"/>
      <w:sz w:val="26"/>
      <w:szCs w:val="26"/>
    </w:rPr>
  </w:style>
  <w:style w:type="paragraph" w:customStyle="1" w:styleId="Heading3">
    <w:name w:val="Heading 3"/>
    <w:qFormat/>
    <w:rsid w:val="00CB72E0"/>
    <w:rPr>
      <w:color w:val="1F4D78"/>
      <w:sz w:val="24"/>
      <w:szCs w:val="24"/>
    </w:rPr>
  </w:style>
  <w:style w:type="paragraph" w:customStyle="1" w:styleId="Heading4">
    <w:name w:val="Heading 4"/>
    <w:qFormat/>
    <w:rsid w:val="00CB72E0"/>
    <w:rPr>
      <w:i/>
      <w:iCs/>
      <w:color w:val="2E74B5"/>
    </w:rPr>
  </w:style>
  <w:style w:type="paragraph" w:customStyle="1" w:styleId="Heading5">
    <w:name w:val="Heading 5"/>
    <w:qFormat/>
    <w:rsid w:val="00CB72E0"/>
    <w:rPr>
      <w:color w:val="2E74B5"/>
    </w:rPr>
  </w:style>
  <w:style w:type="paragraph" w:customStyle="1" w:styleId="Heading6">
    <w:name w:val="Heading 6"/>
    <w:qFormat/>
    <w:rsid w:val="00CB72E0"/>
    <w:rPr>
      <w:color w:val="1F4D78"/>
    </w:rPr>
  </w:style>
  <w:style w:type="paragraph" w:customStyle="1" w:styleId="lev1">
    <w:name w:val="Élevé1"/>
    <w:qFormat/>
    <w:rsid w:val="00CB72E0"/>
    <w:rPr>
      <w:b/>
      <w:bCs/>
    </w:rPr>
  </w:style>
  <w:style w:type="paragraph" w:styleId="Paragraphedeliste">
    <w:name w:val="List Paragraph"/>
    <w:qFormat/>
    <w:rsid w:val="00CB72E0"/>
  </w:style>
  <w:style w:type="character" w:styleId="Lienhypertexte">
    <w:name w:val="Hyperlink"/>
    <w:uiPriority w:val="99"/>
    <w:unhideWhenUsed/>
    <w:rsid w:val="00CB72E0"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sid w:val="00CB72E0"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CB72E0"/>
  </w:style>
  <w:style w:type="character" w:customStyle="1" w:styleId="NotedebasdepageCar">
    <w:name w:val="Note de bas de page Car"/>
    <w:link w:val="Notedebasdepage"/>
    <w:uiPriority w:val="99"/>
    <w:semiHidden/>
    <w:unhideWhenUsed/>
    <w:rsid w:val="00CB72E0"/>
    <w:rPr>
      <w:sz w:val="20"/>
      <w:szCs w:val="20"/>
    </w:rPr>
  </w:style>
  <w:style w:type="character" w:styleId="Appeldenotedefin">
    <w:name w:val="endnote reference"/>
    <w:uiPriority w:val="99"/>
    <w:semiHidden/>
    <w:unhideWhenUsed/>
    <w:rsid w:val="00CB72E0"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sid w:val="00CB72E0"/>
  </w:style>
  <w:style w:type="character" w:customStyle="1" w:styleId="NotedefinCar">
    <w:name w:val="Note de fin Car"/>
    <w:link w:val="Notedefin"/>
    <w:uiPriority w:val="99"/>
    <w:semiHidden/>
    <w:unhideWhenUsed/>
    <w:rsid w:val="00CB72E0"/>
    <w:rPr>
      <w:sz w:val="20"/>
      <w:szCs w:val="20"/>
    </w:rPr>
  </w:style>
  <w:style w:type="table" w:styleId="Grilledutableau">
    <w:name w:val="Table Grid"/>
    <w:basedOn w:val="TableauNormal"/>
    <w:uiPriority w:val="59"/>
    <w:rsid w:val="008C45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81789-0AAD-45DE-B58A-3997B27E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1010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Tis Info</cp:lastModifiedBy>
  <cp:revision>3</cp:revision>
  <dcterms:created xsi:type="dcterms:W3CDTF">2026-09-22T10:20:00Z</dcterms:created>
  <dcterms:modified xsi:type="dcterms:W3CDTF">2026-10-03T11:34:00Z</dcterms:modified>
</cp:coreProperties>
</file>