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C347C" w14:textId="77777777" w:rsidR="0056131B" w:rsidRPr="0056131B" w:rsidRDefault="0056131B" w:rsidP="001D04E9">
      <w:pPr>
        <w:spacing w:after="0"/>
        <w:rPr>
          <w:rFonts w:asciiTheme="majorBidi" w:hAnsiTheme="majorBidi" w:cstheme="majorBidi"/>
          <w:sz w:val="28"/>
          <w:szCs w:val="28"/>
        </w:rPr>
      </w:pPr>
    </w:p>
    <w:p w14:paraId="7ED642C6" w14:textId="77777777" w:rsidR="0056131B" w:rsidRPr="0056131B" w:rsidRDefault="0056131B" w:rsidP="001D04E9">
      <w:pPr>
        <w:spacing w:after="0"/>
        <w:rPr>
          <w:rFonts w:asciiTheme="majorBidi" w:hAnsiTheme="majorBidi" w:cstheme="majorBidi"/>
          <w:sz w:val="28"/>
          <w:szCs w:val="28"/>
        </w:rPr>
      </w:pPr>
    </w:p>
    <w:p w14:paraId="508749B0" w14:textId="51585926" w:rsidR="0056131B" w:rsidRPr="00B14BFC" w:rsidRDefault="0056131B" w:rsidP="00B14BF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14BFC">
        <w:rPr>
          <w:rFonts w:asciiTheme="majorBidi" w:hAnsiTheme="majorBidi" w:cstheme="majorBidi"/>
          <w:b/>
          <w:bCs/>
          <w:sz w:val="32"/>
          <w:szCs w:val="32"/>
        </w:rPr>
        <w:t>Introduction &amp; bases</w:t>
      </w:r>
      <w:r w:rsidR="00B14BFC" w:rsidRPr="00B14BF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14BFC">
        <w:rPr>
          <w:rFonts w:asciiTheme="majorBidi" w:hAnsiTheme="majorBidi" w:cstheme="majorBidi"/>
          <w:b/>
          <w:bCs/>
          <w:sz w:val="32"/>
          <w:szCs w:val="32"/>
        </w:rPr>
        <w:t>théoriques</w:t>
      </w:r>
    </w:p>
    <w:p w14:paraId="7122B662" w14:textId="77777777" w:rsidR="0056131B" w:rsidRP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t>• Présentation de la matière</w:t>
      </w:r>
    </w:p>
    <w:p w14:paraId="5BBBB873" w14:textId="77777777" w:rsidR="0056131B" w:rsidRP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t>+ Notion de texte</w:t>
      </w:r>
    </w:p>
    <w:p w14:paraId="518E1685" w14:textId="6D1C0A8D" w:rsidR="0056131B" w:rsidRP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t>• Notion de paratexte :</w:t>
      </w:r>
      <w:r w:rsidR="00B14BFC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(péritexte/épitexte)</w:t>
      </w:r>
    </w:p>
    <w:p w14:paraId="5302BA9E" w14:textId="77777777" w:rsid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t>• Notion de cotexte &amp; contexte</w:t>
      </w:r>
    </w:p>
    <w:p w14:paraId="1B7B8647" w14:textId="302E17B4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b/>
          <w:bCs/>
          <w:sz w:val="28"/>
          <w:szCs w:val="28"/>
        </w:rPr>
        <w:t>Présentation du Module de Lecture et Étude de Texte</w:t>
      </w:r>
      <w:r>
        <w:rPr>
          <w:rFonts w:asciiTheme="majorBidi" w:hAnsiTheme="majorBidi" w:cstheme="majorBidi"/>
          <w:sz w:val="28"/>
          <w:szCs w:val="28"/>
        </w:rPr>
        <w:t> :</w:t>
      </w:r>
    </w:p>
    <w:p w14:paraId="6CDB1FDE" w14:textId="735017C0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>Le module de Lecture et Étude de Texte en première année de Licence de Français est</w:t>
      </w:r>
      <w:r>
        <w:rPr>
          <w:rFonts w:asciiTheme="majorBidi" w:hAnsiTheme="majorBidi" w:cstheme="majorBidi"/>
          <w:sz w:val="28"/>
          <w:szCs w:val="28"/>
        </w:rPr>
        <w:t xml:space="preserve"> un module </w:t>
      </w:r>
      <w:r w:rsidRPr="006B0B4D">
        <w:rPr>
          <w:rFonts w:asciiTheme="majorBidi" w:hAnsiTheme="majorBidi" w:cstheme="majorBidi"/>
          <w:sz w:val="28"/>
          <w:szCs w:val="28"/>
        </w:rPr>
        <w:t>fondamental. Il vise à vous doter des méthodes et outils essentiels pour aborder, comprendre et analyser de manière critique différents types de textes, qu'ils soient littéraires ou non.</w:t>
      </w:r>
    </w:p>
    <w:p w14:paraId="2D626BD4" w14:textId="77777777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>Pour ce qui est du crédit de ce module il est de 4 avec un coefficient de 2</w:t>
      </w:r>
    </w:p>
    <w:p w14:paraId="33CF7850" w14:textId="7C6B5125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1.</w:t>
      </w:r>
      <w:r w:rsidRPr="006B0B4D">
        <w:rPr>
          <w:rFonts w:asciiTheme="majorBidi" w:hAnsiTheme="majorBidi" w:cstheme="majorBidi"/>
          <w:sz w:val="28"/>
          <w:szCs w:val="28"/>
        </w:rPr>
        <w:t>Objectifs Généraux :</w:t>
      </w:r>
    </w:p>
    <w:p w14:paraId="394755CD" w14:textId="77777777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 xml:space="preserve">Le but principal de ce module est de transformer l'étudiant d'un simple lecteur à un lecteur actif et analyste. </w:t>
      </w:r>
    </w:p>
    <w:p w14:paraId="00B370EB" w14:textId="0C543B1A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>Les objectifs : au terme de cette première année d'étude l'étudiant devra être capable de :</w:t>
      </w:r>
    </w:p>
    <w:p w14:paraId="7EFF99DF" w14:textId="77777777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>-Développer la compétence en lecture/compréhension : Savoir saisir le sens explicite et implicite des textes.</w:t>
      </w:r>
    </w:p>
    <w:p w14:paraId="2EBEEA30" w14:textId="77777777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 xml:space="preserve">-lire et interpréter différents discours </w:t>
      </w:r>
    </w:p>
    <w:p w14:paraId="6D2B0149" w14:textId="77777777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>-connaître les enjeux discursifs textuel et linguistique de différents supports</w:t>
      </w:r>
    </w:p>
    <w:p w14:paraId="25DD4329" w14:textId="77777777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>- trier les informations</w:t>
      </w:r>
    </w:p>
    <w:p w14:paraId="34663644" w14:textId="4A5BD030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2.</w:t>
      </w:r>
      <w:r w:rsidRPr="006B0B4D">
        <w:rPr>
          <w:rFonts w:asciiTheme="majorBidi" w:hAnsiTheme="majorBidi" w:cstheme="majorBidi"/>
          <w:sz w:val="28"/>
          <w:szCs w:val="28"/>
        </w:rPr>
        <w:t>Les objectifs spécifiques :</w:t>
      </w:r>
    </w:p>
    <w:p w14:paraId="503C9549" w14:textId="77777777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 xml:space="preserve">-Maîtriser les outils d'analyse textuelle : </w:t>
      </w:r>
    </w:p>
    <w:p w14:paraId="3F37EF68" w14:textId="77777777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>-Acquérir les notions nécessaires pour décortiquer la structure, le sens et les enjeux d'un texte.</w:t>
      </w:r>
    </w:p>
    <w:p w14:paraId="5FE8331C" w14:textId="77777777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>Situer le texte : Apprendre à contextualiser un texte (culturel, littéraire, etc.) et à identifier les intentions de l'auteur.</w:t>
      </w:r>
    </w:p>
    <w:p w14:paraId="69FD9A34" w14:textId="77777777" w:rsidR="006B0B4D" w:rsidRPr="006B0B4D" w:rsidRDefault="006B0B4D" w:rsidP="006B0B4D">
      <w:pPr>
        <w:spacing w:after="0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>-Améliorer les compétences de production : Utiliser l'analyse pour développer les capacités de synthèse, de reformulation et d'argumentation (à l'écrit comme à l'oral).</w:t>
      </w:r>
    </w:p>
    <w:p w14:paraId="25B8C4DB" w14:textId="41119F59" w:rsidR="006B0B4D" w:rsidRDefault="006B0B4D" w:rsidP="006B0B4D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6B0B4D">
        <w:rPr>
          <w:rFonts w:asciiTheme="majorBidi" w:hAnsiTheme="majorBidi" w:cstheme="majorBidi"/>
          <w:sz w:val="28"/>
          <w:szCs w:val="28"/>
        </w:rPr>
        <w:t>-Initier aux genres littéraires : Distinguer et reconnaître les spécificités des différents types de textes (narratif, dramatique, poétique, argumentatif, etc.).</w:t>
      </w:r>
    </w:p>
    <w:p w14:paraId="040C270B" w14:textId="77777777" w:rsidR="006B0B4D" w:rsidRDefault="006B0B4D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488A833A" w14:textId="77777777" w:rsidR="006B0B4D" w:rsidRDefault="006B0B4D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4E48B9FE" w14:textId="77777777" w:rsidR="006B0B4D" w:rsidRDefault="006B0B4D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4DB848DF" w14:textId="5DDE14EC" w:rsidR="00370885" w:rsidRPr="0056131B" w:rsidRDefault="00370885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370885">
        <w:rPr>
          <w:rFonts w:asciiTheme="majorBidi" w:hAnsiTheme="majorBidi" w:cstheme="majorBidi"/>
          <w:b/>
          <w:bCs/>
          <w:sz w:val="28"/>
          <w:szCs w:val="28"/>
        </w:rPr>
        <w:lastRenderedPageBreak/>
        <w:t>I. Définition</w:t>
      </w:r>
      <w:r>
        <w:rPr>
          <w:rFonts w:asciiTheme="majorBidi" w:hAnsiTheme="majorBidi" w:cstheme="majorBidi"/>
          <w:sz w:val="28"/>
          <w:szCs w:val="28"/>
        </w:rPr>
        <w:t> :</w:t>
      </w:r>
    </w:p>
    <w:p w14:paraId="691AB59E" w14:textId="5AF5C79A" w:rsidR="00B14BFC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Un</w:t>
      </w:r>
      <w:r w:rsidR="0056131B" w:rsidRPr="0056131B">
        <w:rPr>
          <w:rFonts w:asciiTheme="majorBidi" w:hAnsiTheme="majorBidi" w:cstheme="majorBidi"/>
          <w:sz w:val="28"/>
          <w:szCs w:val="28"/>
        </w:rPr>
        <w:t xml:space="preserve"> texte est un ensemble organisé de</w:t>
      </w:r>
      <w:r w:rsidR="001D04E9"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signes linguistiques (mots, phrases,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paragraphes)</w:t>
      </w:r>
      <w:r w:rsidR="00370885">
        <w:rPr>
          <w:rFonts w:asciiTheme="majorBidi" w:hAnsiTheme="majorBidi" w:cstheme="majorBidi"/>
          <w:sz w:val="28"/>
          <w:szCs w:val="28"/>
        </w:rPr>
        <w:t>.</w:t>
      </w:r>
      <w:r w:rsidR="0056131B" w:rsidRPr="0056131B">
        <w:rPr>
          <w:rFonts w:asciiTheme="majorBidi" w:hAnsiTheme="majorBidi" w:cstheme="majorBidi"/>
          <w:sz w:val="28"/>
          <w:szCs w:val="28"/>
        </w:rPr>
        <w:t xml:space="preserve"> </w:t>
      </w:r>
      <w:r w:rsidR="00370885">
        <w:rPr>
          <w:rFonts w:asciiTheme="majorBidi" w:hAnsiTheme="majorBidi" w:cstheme="majorBidi"/>
          <w:sz w:val="28"/>
          <w:szCs w:val="28"/>
        </w:rPr>
        <w:t xml:space="preserve">Il </w:t>
      </w:r>
      <w:r w:rsidR="00370885" w:rsidRPr="00370885">
        <w:rPr>
          <w:rFonts w:asciiTheme="majorBidi" w:hAnsiTheme="majorBidi" w:cstheme="majorBidi"/>
          <w:sz w:val="28"/>
          <w:szCs w:val="28"/>
        </w:rPr>
        <w:t>est</w:t>
      </w:r>
      <w:r w:rsidR="00370885">
        <w:rPr>
          <w:rFonts w:asciiTheme="majorBidi" w:hAnsiTheme="majorBidi" w:cstheme="majorBidi"/>
          <w:sz w:val="28"/>
          <w:szCs w:val="28"/>
        </w:rPr>
        <w:t>, aussi</w:t>
      </w:r>
      <w:r w:rsidR="00370885" w:rsidRPr="00370885">
        <w:rPr>
          <w:rFonts w:asciiTheme="majorBidi" w:hAnsiTheme="majorBidi" w:cstheme="majorBidi"/>
          <w:sz w:val="28"/>
          <w:szCs w:val="28"/>
        </w:rPr>
        <w:t xml:space="preserve"> une unité linguistique de communication, orale ou écrite, considérée comme complète et cohérente</w:t>
      </w:r>
      <w:r w:rsidR="00370885">
        <w:rPr>
          <w:rFonts w:asciiTheme="majorBidi" w:hAnsiTheme="majorBidi" w:cstheme="majorBidi"/>
          <w:sz w:val="28"/>
          <w:szCs w:val="28"/>
        </w:rPr>
        <w:t>,</w:t>
      </w:r>
      <w:r w:rsidR="00370885" w:rsidRPr="00370885">
        <w:rPr>
          <w:rFonts w:asciiTheme="majorBidi" w:hAnsiTheme="majorBidi" w:cstheme="majorBidi"/>
          <w:sz w:val="28"/>
          <w:szCs w:val="28"/>
        </w:rPr>
        <w:t xml:space="preserve"> structuré</w:t>
      </w:r>
      <w:r w:rsidR="00370885">
        <w:rPr>
          <w:rFonts w:asciiTheme="majorBidi" w:hAnsiTheme="majorBidi" w:cstheme="majorBidi"/>
          <w:sz w:val="28"/>
          <w:szCs w:val="28"/>
        </w:rPr>
        <w:t>e</w:t>
      </w:r>
      <w:r w:rsidR="00370885" w:rsidRPr="00370885">
        <w:rPr>
          <w:rFonts w:asciiTheme="majorBidi" w:hAnsiTheme="majorBidi" w:cstheme="majorBidi"/>
          <w:sz w:val="28"/>
          <w:szCs w:val="28"/>
        </w:rPr>
        <w:t xml:space="preserve"> selon des règles grammaticales, sémantiques ou pragmatiques. Un texte porte un message ou un sens.</w:t>
      </w:r>
      <w:r w:rsidR="001D04E9">
        <w:rPr>
          <w:rFonts w:asciiTheme="majorBidi" w:hAnsiTheme="majorBidi" w:cstheme="majorBidi"/>
          <w:sz w:val="28"/>
          <w:szCs w:val="28"/>
        </w:rPr>
        <w:t xml:space="preserve"> </w:t>
      </w:r>
    </w:p>
    <w:p w14:paraId="539FD4FE" w14:textId="514AE6DB" w:rsidR="0056131B" w:rsidRPr="0056131B" w:rsidRDefault="00370885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Le texte</w:t>
      </w:r>
      <w:r w:rsidR="0056131B" w:rsidRPr="0056131B">
        <w:rPr>
          <w:rFonts w:asciiTheme="majorBidi" w:hAnsiTheme="majorBidi" w:cstheme="majorBidi"/>
          <w:sz w:val="28"/>
          <w:szCs w:val="28"/>
        </w:rPr>
        <w:t xml:space="preserve"> n’est pas seulement une suite de</w:t>
      </w:r>
      <w:r w:rsidR="001D04E9"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phrases, mais une unité de communication</w:t>
      </w:r>
      <w:r w:rsidR="001D04E9"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cohérente qui possède :</w:t>
      </w:r>
    </w:p>
    <w:p w14:paraId="61BA8445" w14:textId="4BFCBBAF" w:rsidR="0056131B" w:rsidRPr="0056131B" w:rsidRDefault="001D04E9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une cohésion interne (liens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grammaticaux, lexicaux, logiques) ;</w:t>
      </w:r>
    </w:p>
    <w:p w14:paraId="532535F7" w14:textId="6CE36E24" w:rsidR="0056131B" w:rsidRPr="0056131B" w:rsidRDefault="001D04E9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une cohérence (idée générale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compréhensible par le lecteur) ;</w:t>
      </w:r>
    </w:p>
    <w:p w14:paraId="771EFA70" w14:textId="6C055AAE" w:rsidR="0056131B" w:rsidRPr="0056131B" w:rsidRDefault="001D04E9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une intention de communication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(informer, raconter, convaincre,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émouvoir, instruire, etc.) ;</w:t>
      </w:r>
    </w:p>
    <w:p w14:paraId="6F395799" w14:textId="625D2BD7" w:rsidR="0056131B" w:rsidRPr="0056131B" w:rsidRDefault="001D04E9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un ancrage contextuel (produit par un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auteur, pour un destinataire, dans une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situation donnée).</w:t>
      </w:r>
    </w:p>
    <w:p w14:paraId="1308896C" w14:textId="36A7D002" w:rsid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t>En didactique, on dit souvent :« Le texte</w:t>
      </w:r>
      <w:r w:rsidR="001D04E9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est l’unité de base de la communication</w:t>
      </w:r>
      <w:r w:rsidR="001D04E9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écrite, composée d’énoncés organisés qui</w:t>
      </w:r>
      <w:r w:rsidR="001D04E9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remplissent une fonction et prennent sens</w:t>
      </w:r>
      <w:r w:rsidR="001D04E9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dans un contexte. »</w:t>
      </w:r>
    </w:p>
    <w:p w14:paraId="5012E599" w14:textId="77777777" w:rsidR="006B0B4D" w:rsidRDefault="006B0B4D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6EB70F4B" w14:textId="77777777" w:rsidR="006B0B4D" w:rsidRDefault="006B0B4D" w:rsidP="006B0B4D">
      <w:pPr>
        <w:rPr>
          <w:rFonts w:asciiTheme="majorBidi" w:hAnsiTheme="majorBidi" w:cstheme="majorBidi"/>
          <w:sz w:val="28"/>
          <w:szCs w:val="28"/>
        </w:rPr>
      </w:pPr>
      <w:r w:rsidRPr="00EF1C0A">
        <w:rPr>
          <w:rFonts w:asciiTheme="majorBidi" w:hAnsiTheme="majorBidi" w:cstheme="majorBidi"/>
          <w:b/>
          <w:bCs/>
          <w:sz w:val="28"/>
          <w:szCs w:val="28"/>
        </w:rPr>
        <w:t xml:space="preserve">II. Les Types de </w:t>
      </w:r>
      <w:proofErr w:type="gramStart"/>
      <w:r w:rsidRPr="00EF1C0A">
        <w:rPr>
          <w:rFonts w:asciiTheme="majorBidi" w:hAnsiTheme="majorBidi" w:cstheme="majorBidi"/>
          <w:b/>
          <w:bCs/>
          <w:sz w:val="28"/>
          <w:szCs w:val="28"/>
        </w:rPr>
        <w:t>Texte</w:t>
      </w:r>
      <w:r>
        <w:rPr>
          <w:rFonts w:asciiTheme="majorBidi" w:hAnsiTheme="majorBidi" w:cstheme="majorBidi"/>
          <w:sz w:val="28"/>
          <w:szCs w:val="28"/>
        </w:rPr>
        <w:t>:</w:t>
      </w:r>
      <w:proofErr w:type="gramEnd"/>
    </w:p>
    <w:p w14:paraId="516B8381" w14:textId="3E6974EA" w:rsidR="006B0B4D" w:rsidRDefault="006B0B4D" w:rsidP="006B0B4D">
      <w:pPr>
        <w:rPr>
          <w:rFonts w:asciiTheme="majorBidi" w:hAnsiTheme="majorBidi" w:cstheme="majorBidi"/>
          <w:sz w:val="28"/>
          <w:szCs w:val="28"/>
        </w:rPr>
      </w:pPr>
      <w:r w:rsidRPr="00AF73BF">
        <w:rPr>
          <w:rFonts w:asciiTheme="majorBidi" w:hAnsiTheme="majorBidi" w:cstheme="majorBidi"/>
          <w:sz w:val="28"/>
          <w:szCs w:val="28"/>
        </w:rPr>
        <w:t>Les types de textes (ou formes de discours) sont des catégories fondamentales qui classifient les écrits selon leur visée communicative dominante et leurs caractéristiques structurelles et linguistiques.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85"/>
        <w:gridCol w:w="2420"/>
        <w:gridCol w:w="2640"/>
        <w:gridCol w:w="2043"/>
      </w:tblGrid>
      <w:tr w:rsidR="006B0B4D" w14:paraId="19EEA884" w14:textId="77777777" w:rsidTr="00BE284A">
        <w:tc>
          <w:tcPr>
            <w:tcW w:w="2185" w:type="dxa"/>
          </w:tcPr>
          <w:p w14:paraId="24A0C135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Type de Texte</w:t>
            </w:r>
          </w:p>
        </w:tc>
        <w:tc>
          <w:tcPr>
            <w:tcW w:w="2420" w:type="dxa"/>
          </w:tcPr>
          <w:p w14:paraId="4620E3D2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Visée / Fonction Dominante</w:t>
            </w:r>
          </w:p>
        </w:tc>
        <w:tc>
          <w:tcPr>
            <w:tcW w:w="2640" w:type="dxa"/>
          </w:tcPr>
          <w:p w14:paraId="76D0D9C2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Caractéristiques Principales</w:t>
            </w:r>
          </w:p>
        </w:tc>
        <w:tc>
          <w:tcPr>
            <w:tcW w:w="2043" w:type="dxa"/>
          </w:tcPr>
          <w:p w14:paraId="453EEBF3" w14:textId="77777777" w:rsidR="006B0B4D" w:rsidRPr="00AF73BF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Exemples</w:t>
            </w:r>
          </w:p>
        </w:tc>
      </w:tr>
      <w:tr w:rsidR="006B0B4D" w14:paraId="66803AEE" w14:textId="77777777" w:rsidTr="00BE284A">
        <w:tc>
          <w:tcPr>
            <w:tcW w:w="2185" w:type="dxa"/>
          </w:tcPr>
          <w:p w14:paraId="73C37E42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Narratif</w:t>
            </w:r>
          </w:p>
        </w:tc>
        <w:tc>
          <w:tcPr>
            <w:tcW w:w="2420" w:type="dxa"/>
          </w:tcPr>
          <w:p w14:paraId="2DCF8D8F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Raconter une histoire, des événements (réels ou fictifs).</w:t>
            </w:r>
          </w:p>
        </w:tc>
        <w:tc>
          <w:tcPr>
            <w:tcW w:w="2640" w:type="dxa"/>
          </w:tcPr>
          <w:p w14:paraId="0E7669DD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Prédominance du passé simple/composé, présence de personnages, d'un schéma narratif (situation initiale, péripéties, résolution), indicateurs de temps.</w:t>
            </w:r>
          </w:p>
        </w:tc>
        <w:tc>
          <w:tcPr>
            <w:tcW w:w="2043" w:type="dxa"/>
          </w:tcPr>
          <w:p w14:paraId="6FC7FEA0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Roman, nouvelle, fait divers.</w:t>
            </w:r>
          </w:p>
        </w:tc>
      </w:tr>
      <w:tr w:rsidR="006B0B4D" w14:paraId="284B38E1" w14:textId="77777777" w:rsidTr="00BE284A">
        <w:tc>
          <w:tcPr>
            <w:tcW w:w="2185" w:type="dxa"/>
          </w:tcPr>
          <w:p w14:paraId="6061B192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Descriptif</w:t>
            </w:r>
          </w:p>
        </w:tc>
        <w:tc>
          <w:tcPr>
            <w:tcW w:w="2420" w:type="dxa"/>
          </w:tcPr>
          <w:p w14:paraId="1EE62A92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Décrire des êtres, des objets, des lieux, des ambiances.</w:t>
            </w:r>
          </w:p>
        </w:tc>
        <w:tc>
          <w:tcPr>
            <w:tcW w:w="2640" w:type="dxa"/>
          </w:tcPr>
          <w:p w14:paraId="7EFBF887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 xml:space="preserve">Emploi fréquent de l'imparfait, des adjectifs qualificatifs, des </w:t>
            </w:r>
            <w:r w:rsidRPr="00AF73BF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expansions du nom (compléments du nom, propositions subordonnées relatives), organisation spatiale.</w:t>
            </w:r>
          </w:p>
        </w:tc>
        <w:tc>
          <w:tcPr>
            <w:tcW w:w="2043" w:type="dxa"/>
          </w:tcPr>
          <w:p w14:paraId="237A5CEA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lastRenderedPageBreak/>
              <w:t xml:space="preserve">Portrait, inventaire, passage descriptif dans </w:t>
            </w:r>
            <w:r w:rsidRPr="00AF73BF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un roman.</w:t>
            </w:r>
          </w:p>
        </w:tc>
      </w:tr>
      <w:tr w:rsidR="006B0B4D" w14:paraId="7F982D52" w14:textId="77777777" w:rsidTr="00BE284A">
        <w:tc>
          <w:tcPr>
            <w:tcW w:w="2185" w:type="dxa"/>
          </w:tcPr>
          <w:p w14:paraId="68D1C83B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Argumentatif</w:t>
            </w:r>
          </w:p>
        </w:tc>
        <w:tc>
          <w:tcPr>
            <w:tcW w:w="2420" w:type="dxa"/>
          </w:tcPr>
          <w:p w14:paraId="52FB7DFD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Convaincre ou persuader le destinataire d'adopter une opinion (thèse).</w:t>
            </w:r>
          </w:p>
        </w:tc>
        <w:tc>
          <w:tcPr>
            <w:tcW w:w="2640" w:type="dxa"/>
          </w:tcPr>
          <w:p w14:paraId="151D24BC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Utilisation de connecteurs logiques (cause, conséquence, opposition), lexique de l'évaluation (jugement), présence d'une thèse et d'arguments, recours à l'énonciation subjective.</w:t>
            </w:r>
          </w:p>
        </w:tc>
        <w:tc>
          <w:tcPr>
            <w:tcW w:w="2043" w:type="dxa"/>
          </w:tcPr>
          <w:p w14:paraId="1A170143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9B613D">
              <w:rPr>
                <w:rFonts w:asciiTheme="majorBidi" w:hAnsiTheme="majorBidi" w:cstheme="majorBidi"/>
                <w:sz w:val="28"/>
                <w:szCs w:val="28"/>
              </w:rPr>
              <w:t>Essai, éditorial, plaidoyer, critique.</w:t>
            </w:r>
          </w:p>
        </w:tc>
      </w:tr>
      <w:tr w:rsidR="006B0B4D" w14:paraId="59E32296" w14:textId="77777777" w:rsidTr="00BE284A">
        <w:tc>
          <w:tcPr>
            <w:tcW w:w="2185" w:type="dxa"/>
          </w:tcPr>
          <w:p w14:paraId="0C0F95A8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Injonctif</w:t>
            </w:r>
          </w:p>
        </w:tc>
        <w:tc>
          <w:tcPr>
            <w:tcW w:w="2420" w:type="dxa"/>
          </w:tcPr>
          <w:p w14:paraId="4CED130A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9B613D">
              <w:rPr>
                <w:rFonts w:asciiTheme="majorBidi" w:hAnsiTheme="majorBidi" w:cstheme="majorBidi"/>
                <w:sz w:val="28"/>
                <w:szCs w:val="28"/>
              </w:rPr>
              <w:t>Donner des ordres, des conseils, des instructions, inciter à agir.</w:t>
            </w:r>
          </w:p>
        </w:tc>
        <w:tc>
          <w:tcPr>
            <w:tcW w:w="2640" w:type="dxa"/>
          </w:tcPr>
          <w:p w14:paraId="3E004BA3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9B613D">
              <w:rPr>
                <w:rFonts w:asciiTheme="majorBidi" w:hAnsiTheme="majorBidi" w:cstheme="majorBidi"/>
                <w:sz w:val="28"/>
                <w:szCs w:val="28"/>
              </w:rPr>
              <w:t>Emploi de l'impératif, de l'infinitif, du futur à valeur injonctive ou de tournures impersonnelles.</w:t>
            </w:r>
          </w:p>
        </w:tc>
        <w:tc>
          <w:tcPr>
            <w:tcW w:w="2043" w:type="dxa"/>
          </w:tcPr>
          <w:p w14:paraId="2C62805C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9B613D">
              <w:rPr>
                <w:rFonts w:asciiTheme="majorBidi" w:hAnsiTheme="majorBidi" w:cstheme="majorBidi"/>
                <w:sz w:val="28"/>
                <w:szCs w:val="28"/>
              </w:rPr>
              <w:t xml:space="preserve">Langage précis et </w:t>
            </w:r>
            <w:proofErr w:type="gramStart"/>
            <w:r w:rsidRPr="009B613D">
              <w:rPr>
                <w:rFonts w:asciiTheme="majorBidi" w:hAnsiTheme="majorBidi" w:cstheme="majorBidi"/>
                <w:sz w:val="28"/>
                <w:szCs w:val="28"/>
              </w:rPr>
              <w:t>concis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 ,</w:t>
            </w:r>
            <w:r w:rsidRPr="009B613D">
              <w:rPr>
                <w:rFonts w:asciiTheme="majorBidi" w:hAnsiTheme="majorBidi" w:cstheme="majorBidi"/>
                <w:sz w:val="28"/>
                <w:szCs w:val="28"/>
              </w:rPr>
              <w:t>Recette</w:t>
            </w:r>
            <w:proofErr w:type="gramEnd"/>
            <w:r w:rsidRPr="009B613D">
              <w:rPr>
                <w:rFonts w:asciiTheme="majorBidi" w:hAnsiTheme="majorBidi" w:cstheme="majorBidi"/>
                <w:sz w:val="28"/>
                <w:szCs w:val="28"/>
              </w:rPr>
              <w:t xml:space="preserve"> de cuisine, notice de montage, règle de jeu.</w:t>
            </w:r>
          </w:p>
        </w:tc>
      </w:tr>
      <w:tr w:rsidR="006B0B4D" w14:paraId="517A73E0" w14:textId="77777777" w:rsidTr="00BE284A">
        <w:tc>
          <w:tcPr>
            <w:tcW w:w="2185" w:type="dxa"/>
          </w:tcPr>
          <w:p w14:paraId="79B2B42C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Explicatif / Informatif</w:t>
            </w:r>
          </w:p>
        </w:tc>
        <w:tc>
          <w:tcPr>
            <w:tcW w:w="2420" w:type="dxa"/>
          </w:tcPr>
          <w:p w14:paraId="57B6FA76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Faire comprendre ou informer sur un sujet, sans intention de convaincre.</w:t>
            </w:r>
            <w:r w:rsidRPr="00AF73BF">
              <w:rPr>
                <w:rFonts w:asciiTheme="majorBidi" w:hAnsiTheme="majorBidi" w:cstheme="majorBidi"/>
                <w:sz w:val="28"/>
                <w:szCs w:val="28"/>
              </w:rPr>
              <w:tab/>
            </w:r>
          </w:p>
        </w:tc>
        <w:tc>
          <w:tcPr>
            <w:tcW w:w="2640" w:type="dxa"/>
          </w:tcPr>
          <w:p w14:paraId="21B37216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Vocabulaire spécialisé, objectivité apparente, recours à la définition, à l'exemple, à la reformulation. Organisation souvent thématique</w:t>
            </w:r>
          </w:p>
        </w:tc>
        <w:tc>
          <w:tcPr>
            <w:tcW w:w="2043" w:type="dxa"/>
          </w:tcPr>
          <w:p w14:paraId="7C2C7B13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Manuel scolaire, article encyclopédique, rapport scientifique.</w:t>
            </w:r>
          </w:p>
        </w:tc>
      </w:tr>
      <w:tr w:rsidR="006B0B4D" w14:paraId="4FE010A1" w14:textId="77777777" w:rsidTr="00BE284A">
        <w:tc>
          <w:tcPr>
            <w:tcW w:w="2185" w:type="dxa"/>
          </w:tcPr>
          <w:p w14:paraId="61BC2879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Dialogal</w:t>
            </w:r>
          </w:p>
        </w:tc>
        <w:tc>
          <w:tcPr>
            <w:tcW w:w="2420" w:type="dxa"/>
          </w:tcPr>
          <w:p w14:paraId="0A698A78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Transcrire un échange verbal entre au moins deux interlocuteurs.</w:t>
            </w:r>
          </w:p>
        </w:tc>
        <w:tc>
          <w:tcPr>
            <w:tcW w:w="2640" w:type="dxa"/>
          </w:tcPr>
          <w:p w14:paraId="0DF1CF46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Utilisation du discours direct, marques du dialogue (tirets, guillemets), verbes de parole.</w:t>
            </w:r>
          </w:p>
        </w:tc>
        <w:tc>
          <w:tcPr>
            <w:tcW w:w="2043" w:type="dxa"/>
          </w:tcPr>
          <w:p w14:paraId="10A97451" w14:textId="77777777" w:rsidR="006B0B4D" w:rsidRDefault="006B0B4D" w:rsidP="00BE284A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F73BF">
              <w:rPr>
                <w:rFonts w:asciiTheme="majorBidi" w:hAnsiTheme="majorBidi" w:cstheme="majorBidi"/>
                <w:sz w:val="28"/>
                <w:szCs w:val="28"/>
              </w:rPr>
              <w:t>Pièce de théâtre, répliques de dialogue dans un roman, interview.</w:t>
            </w:r>
          </w:p>
        </w:tc>
      </w:tr>
    </w:tbl>
    <w:p w14:paraId="61EADC15" w14:textId="77777777" w:rsidR="006B0B4D" w:rsidRPr="0056131B" w:rsidRDefault="006B0B4D" w:rsidP="006B0B4D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1B27401A" w14:textId="77777777" w:rsidR="006B0B4D" w:rsidRDefault="006B0B4D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7228A8F1" w14:textId="77777777" w:rsidR="006B0B4D" w:rsidRDefault="006B0B4D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731504B0" w14:textId="77777777" w:rsidR="006B0B4D" w:rsidRDefault="006B0B4D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2A8A6C9E" w14:textId="77777777" w:rsidR="006B0B4D" w:rsidRDefault="006B0B4D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14:paraId="11A12561" w14:textId="6B41EE14" w:rsidR="00370885" w:rsidRDefault="00370885" w:rsidP="00370885">
      <w:pPr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370885">
        <w:rPr>
          <w:rFonts w:asciiTheme="majorBidi" w:hAnsiTheme="majorBidi" w:cstheme="majorBidi"/>
          <w:b/>
          <w:bCs/>
          <w:sz w:val="28"/>
          <w:szCs w:val="28"/>
        </w:rPr>
        <w:lastRenderedPageBreak/>
        <w:t>II. Les Éléments Périphériques du Texte</w:t>
      </w:r>
      <w:r>
        <w:rPr>
          <w:rFonts w:asciiTheme="majorBidi" w:hAnsiTheme="majorBidi" w:cstheme="majorBidi"/>
          <w:b/>
          <w:bCs/>
          <w:sz w:val="28"/>
          <w:szCs w:val="28"/>
        </w:rPr>
        <w:t> :</w:t>
      </w:r>
    </w:p>
    <w:p w14:paraId="53248127" w14:textId="3166CEDD" w:rsidR="00FF608A" w:rsidRDefault="00760D43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1.</w:t>
      </w:r>
      <w:r w:rsidR="00370885" w:rsidRPr="00370885">
        <w:rPr>
          <w:rFonts w:asciiTheme="majorBidi" w:hAnsiTheme="majorBidi" w:cstheme="majorBidi"/>
          <w:sz w:val="28"/>
          <w:szCs w:val="28"/>
        </w:rPr>
        <w:t>Le paratexte</w:t>
      </w:r>
      <w:r w:rsidR="00370885">
        <w:rPr>
          <w:rFonts w:asciiTheme="majorBidi" w:hAnsiTheme="majorBidi" w:cstheme="majorBidi"/>
          <w:sz w:val="28"/>
          <w:szCs w:val="28"/>
        </w:rPr>
        <w:t xml:space="preserve">, </w:t>
      </w:r>
      <w:r>
        <w:rPr>
          <w:rFonts w:asciiTheme="majorBidi" w:hAnsiTheme="majorBidi" w:cstheme="majorBidi"/>
          <w:sz w:val="28"/>
          <w:szCs w:val="28"/>
        </w:rPr>
        <w:t xml:space="preserve">vient </w:t>
      </w:r>
      <w:r w:rsidRPr="00370885">
        <w:rPr>
          <w:rFonts w:asciiTheme="majorBidi" w:hAnsiTheme="majorBidi" w:cstheme="majorBidi"/>
          <w:sz w:val="28"/>
          <w:szCs w:val="28"/>
        </w:rPr>
        <w:t xml:space="preserve">du grec para- </w:t>
      </w:r>
      <w:r>
        <w:rPr>
          <w:rFonts w:asciiTheme="majorBidi" w:hAnsiTheme="majorBidi" w:cstheme="majorBidi"/>
          <w:sz w:val="28"/>
          <w:szCs w:val="28"/>
        </w:rPr>
        <w:t xml:space="preserve">qui signifie </w:t>
      </w:r>
      <w:r w:rsidRPr="00370885">
        <w:rPr>
          <w:rFonts w:asciiTheme="majorBidi" w:hAnsiTheme="majorBidi" w:cstheme="majorBidi"/>
          <w:sz w:val="28"/>
          <w:szCs w:val="28"/>
        </w:rPr>
        <w:t>à côté de</w:t>
      </w:r>
      <w:r>
        <w:rPr>
          <w:rFonts w:asciiTheme="majorBidi" w:hAnsiTheme="majorBidi" w:cstheme="majorBidi"/>
          <w:sz w:val="28"/>
          <w:szCs w:val="28"/>
        </w:rPr>
        <w:t>, pour</w:t>
      </w:r>
      <w:r w:rsidRPr="00FF608A">
        <w:rPr>
          <w:rFonts w:asciiTheme="majorBidi" w:hAnsiTheme="majorBidi" w:cstheme="majorBidi"/>
          <w:sz w:val="28"/>
          <w:szCs w:val="28"/>
        </w:rPr>
        <w:t xml:space="preserve"> </w:t>
      </w:r>
      <w:r w:rsidR="00FF608A" w:rsidRPr="00FF608A">
        <w:rPr>
          <w:rFonts w:asciiTheme="majorBidi" w:hAnsiTheme="majorBidi" w:cstheme="majorBidi"/>
          <w:sz w:val="28"/>
          <w:szCs w:val="28"/>
        </w:rPr>
        <w:t>désigne</w:t>
      </w:r>
      <w:r>
        <w:rPr>
          <w:rFonts w:asciiTheme="majorBidi" w:hAnsiTheme="majorBidi" w:cstheme="majorBidi"/>
          <w:sz w:val="28"/>
          <w:szCs w:val="28"/>
        </w:rPr>
        <w:t>r</w:t>
      </w:r>
      <w:r w:rsidR="00FF608A" w:rsidRPr="00FF608A">
        <w:rPr>
          <w:rFonts w:asciiTheme="majorBidi" w:hAnsiTheme="majorBidi" w:cstheme="majorBidi"/>
          <w:sz w:val="28"/>
          <w:szCs w:val="28"/>
        </w:rPr>
        <w:t xml:space="preserve"> l'ensemble des éléments qui entourent un texte sans en faire directement partie mais qui influencent grandement sa compréhension.</w:t>
      </w:r>
      <w:r w:rsidR="00FF608A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Ces éléments </w:t>
      </w:r>
      <w:r w:rsidR="00370885" w:rsidRPr="00370885">
        <w:rPr>
          <w:rFonts w:asciiTheme="majorBidi" w:hAnsiTheme="majorBidi" w:cstheme="majorBidi"/>
          <w:sz w:val="28"/>
          <w:szCs w:val="28"/>
        </w:rPr>
        <w:t xml:space="preserve">sont mis à disposition du lecteur pour l'aider à l'interpréter, à l'appréhender </w:t>
      </w:r>
      <w:r w:rsidR="00370885">
        <w:rPr>
          <w:rFonts w:asciiTheme="majorBidi" w:hAnsiTheme="majorBidi" w:cstheme="majorBidi"/>
          <w:sz w:val="28"/>
          <w:szCs w:val="28"/>
        </w:rPr>
        <w:t>ou</w:t>
      </w:r>
      <w:r w:rsidR="00370885" w:rsidRPr="00370885">
        <w:rPr>
          <w:rFonts w:asciiTheme="majorBidi" w:hAnsiTheme="majorBidi" w:cstheme="majorBidi"/>
          <w:sz w:val="28"/>
          <w:szCs w:val="28"/>
        </w:rPr>
        <w:t xml:space="preserve"> à le situer. Il a une fonction de seuil</w:t>
      </w:r>
      <w:r w:rsidR="00370885">
        <w:rPr>
          <w:rStyle w:val="Appelnotedebasdep"/>
          <w:rFonts w:asciiTheme="majorBidi" w:hAnsiTheme="majorBidi" w:cstheme="majorBidi"/>
          <w:sz w:val="28"/>
          <w:szCs w:val="28"/>
        </w:rPr>
        <w:footnoteReference w:id="1"/>
      </w:r>
      <w:r w:rsidR="00370885" w:rsidRPr="00370885">
        <w:rPr>
          <w:rFonts w:asciiTheme="majorBidi" w:hAnsiTheme="majorBidi" w:cstheme="majorBidi"/>
          <w:sz w:val="28"/>
          <w:szCs w:val="28"/>
        </w:rPr>
        <w:t>.</w:t>
      </w:r>
    </w:p>
    <w:p w14:paraId="0E534112" w14:textId="141D4BA0" w:rsidR="00370885" w:rsidRPr="00370885" w:rsidRDefault="00FF608A" w:rsidP="00FF608A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FF608A">
        <w:rPr>
          <w:rFonts w:asciiTheme="majorBidi" w:hAnsiTheme="majorBidi" w:cstheme="majorBidi"/>
          <w:sz w:val="28"/>
          <w:szCs w:val="28"/>
        </w:rPr>
        <w:t>Deux catégories structurent le paratexte</w:t>
      </w:r>
      <w:r>
        <w:rPr>
          <w:rFonts w:asciiTheme="majorBidi" w:hAnsiTheme="majorBidi" w:cstheme="majorBidi"/>
          <w:sz w:val="28"/>
          <w:szCs w:val="28"/>
        </w:rPr>
        <w:t>,</w:t>
      </w:r>
      <w:r w:rsidR="00370885" w:rsidRPr="00370885">
        <w:rPr>
          <w:rFonts w:asciiTheme="majorBidi" w:hAnsiTheme="majorBidi" w:cstheme="majorBidi"/>
          <w:sz w:val="28"/>
          <w:szCs w:val="28"/>
        </w:rPr>
        <w:t xml:space="preserve"> </w:t>
      </w:r>
      <w:r w:rsidR="00760D43">
        <w:rPr>
          <w:rFonts w:asciiTheme="majorBidi" w:hAnsiTheme="majorBidi" w:cstheme="majorBidi"/>
          <w:sz w:val="28"/>
          <w:szCs w:val="28"/>
        </w:rPr>
        <w:t xml:space="preserve">selon </w:t>
      </w:r>
      <w:r w:rsidR="00370885" w:rsidRPr="00370885">
        <w:rPr>
          <w:rFonts w:asciiTheme="majorBidi" w:hAnsiTheme="majorBidi" w:cstheme="majorBidi"/>
          <w:sz w:val="28"/>
          <w:szCs w:val="28"/>
        </w:rPr>
        <w:t>Genette</w:t>
      </w:r>
      <w:r w:rsidR="00370885">
        <w:rPr>
          <w:rFonts w:asciiTheme="majorBidi" w:hAnsiTheme="majorBidi" w:cstheme="majorBidi"/>
          <w:sz w:val="28"/>
          <w:szCs w:val="28"/>
        </w:rPr>
        <w:t xml:space="preserve">, </w:t>
      </w:r>
      <w:r w:rsidR="00760D43">
        <w:rPr>
          <w:rFonts w:asciiTheme="majorBidi" w:hAnsiTheme="majorBidi" w:cstheme="majorBidi"/>
          <w:sz w:val="28"/>
          <w:szCs w:val="28"/>
        </w:rPr>
        <w:t xml:space="preserve">il </w:t>
      </w:r>
      <w:r w:rsidR="00370885" w:rsidRPr="00370885">
        <w:rPr>
          <w:rFonts w:asciiTheme="majorBidi" w:hAnsiTheme="majorBidi" w:cstheme="majorBidi"/>
          <w:sz w:val="28"/>
          <w:szCs w:val="28"/>
        </w:rPr>
        <w:t xml:space="preserve">le divise en deux composantes, soit : </w:t>
      </w:r>
    </w:p>
    <w:p w14:paraId="632A9562" w14:textId="1A5E6238" w:rsidR="00370885" w:rsidRDefault="00FF608A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</w:t>
      </w:r>
      <w:r w:rsidR="00370885" w:rsidRPr="00370885">
        <w:rPr>
          <w:rFonts w:asciiTheme="majorBidi" w:hAnsiTheme="majorBidi" w:cstheme="majorBidi"/>
          <w:sz w:val="28"/>
          <w:szCs w:val="28"/>
        </w:rPr>
        <w:t xml:space="preserve">A. </w:t>
      </w:r>
      <w:r w:rsidR="00370885" w:rsidRPr="00370885">
        <w:rPr>
          <w:rFonts w:asciiTheme="majorBidi" w:hAnsiTheme="majorBidi" w:cstheme="majorBidi"/>
          <w:sz w:val="28"/>
          <w:szCs w:val="28"/>
          <w:u w:val="single"/>
        </w:rPr>
        <w:t>Le Péritexte</w:t>
      </w:r>
      <w:r w:rsidR="00370885" w:rsidRPr="00370885">
        <w:rPr>
          <w:rFonts w:asciiTheme="majorBidi" w:hAnsiTheme="majorBidi" w:cstheme="majorBidi"/>
          <w:sz w:val="28"/>
          <w:szCs w:val="28"/>
        </w:rPr>
        <w:t xml:space="preserve"> : le péritexte (du grec </w:t>
      </w:r>
      <w:proofErr w:type="spellStart"/>
      <w:r w:rsidR="00370885" w:rsidRPr="00370885">
        <w:rPr>
          <w:rFonts w:asciiTheme="majorBidi" w:hAnsiTheme="majorBidi" w:cstheme="majorBidi"/>
          <w:sz w:val="28"/>
          <w:szCs w:val="28"/>
        </w:rPr>
        <w:t>peri</w:t>
      </w:r>
      <w:proofErr w:type="spellEnd"/>
      <w:r w:rsidR="00370885" w:rsidRPr="00370885">
        <w:rPr>
          <w:rFonts w:asciiTheme="majorBidi" w:hAnsiTheme="majorBidi" w:cstheme="majorBidi"/>
          <w:sz w:val="28"/>
          <w:szCs w:val="28"/>
        </w:rPr>
        <w:t>- : autour) regroupe les éléments para-textuels qui se trouvent dans le livre lui-même ou qui sont matériellement annexés au texte comme : le titre, le nom de l'auteur, la préface, la dédicace, l'épigraphe</w:t>
      </w:r>
      <w:r w:rsidR="00370885">
        <w:rPr>
          <w:rStyle w:val="Appelnotedebasdep"/>
          <w:rFonts w:asciiTheme="majorBidi" w:hAnsiTheme="majorBidi" w:cstheme="majorBidi"/>
          <w:sz w:val="28"/>
          <w:szCs w:val="28"/>
        </w:rPr>
        <w:footnoteReference w:id="2"/>
      </w:r>
      <w:r w:rsidR="00370885" w:rsidRPr="00370885">
        <w:rPr>
          <w:rFonts w:asciiTheme="majorBidi" w:hAnsiTheme="majorBidi" w:cstheme="majorBidi"/>
          <w:sz w:val="28"/>
          <w:szCs w:val="28"/>
        </w:rPr>
        <w:t>, la table des matières, les notes de bas de page, les intertitres, les illustrations, la page de titre,</w:t>
      </w:r>
      <w:r w:rsidR="00760D43" w:rsidRPr="00760D43">
        <w:t xml:space="preserve"> </w:t>
      </w:r>
      <w:r w:rsidR="00370885" w:rsidRPr="00370885">
        <w:rPr>
          <w:rFonts w:asciiTheme="majorBidi" w:hAnsiTheme="majorBidi" w:cstheme="majorBidi"/>
          <w:sz w:val="28"/>
          <w:szCs w:val="28"/>
        </w:rPr>
        <w:t>la quatrième de couverture, le prière</w:t>
      </w:r>
      <w:r>
        <w:rPr>
          <w:rStyle w:val="Appelnotedebasdep"/>
          <w:rFonts w:asciiTheme="majorBidi" w:hAnsiTheme="majorBidi" w:cstheme="majorBidi"/>
          <w:sz w:val="28"/>
          <w:szCs w:val="28"/>
        </w:rPr>
        <w:footnoteReference w:id="3"/>
      </w:r>
      <w:r w:rsidR="00370885" w:rsidRPr="00370885">
        <w:rPr>
          <w:rFonts w:asciiTheme="majorBidi" w:hAnsiTheme="majorBidi" w:cstheme="majorBidi"/>
          <w:sz w:val="28"/>
          <w:szCs w:val="28"/>
        </w:rPr>
        <w:t xml:space="preserve"> d'insérer</w:t>
      </w:r>
      <w:r w:rsidR="00760D43">
        <w:rPr>
          <w:rFonts w:asciiTheme="majorBidi" w:hAnsiTheme="majorBidi" w:cstheme="majorBidi"/>
          <w:sz w:val="28"/>
          <w:szCs w:val="28"/>
        </w:rPr>
        <w:t>,</w:t>
      </w:r>
      <w:r w:rsidR="00760D43" w:rsidRPr="00760D43">
        <w:rPr>
          <w:rFonts w:asciiTheme="majorBidi" w:hAnsiTheme="majorBidi" w:cstheme="majorBidi"/>
          <w:sz w:val="28"/>
          <w:szCs w:val="28"/>
        </w:rPr>
        <w:t xml:space="preserve"> chapitres, annexes</w:t>
      </w:r>
      <w:r w:rsidR="00760D43">
        <w:rPr>
          <w:rFonts w:asciiTheme="majorBidi" w:hAnsiTheme="majorBidi" w:cstheme="majorBidi"/>
          <w:sz w:val="28"/>
          <w:szCs w:val="28"/>
        </w:rPr>
        <w:t>.</w:t>
      </w:r>
    </w:p>
    <w:p w14:paraId="52BDE168" w14:textId="22F12506" w:rsidR="00FF608A" w:rsidRPr="00370885" w:rsidRDefault="00760D43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</w:t>
      </w:r>
      <w:r w:rsidR="00FF608A" w:rsidRPr="00FF608A">
        <w:rPr>
          <w:rFonts w:asciiTheme="majorBidi" w:hAnsiTheme="majorBidi" w:cstheme="majorBidi"/>
          <w:sz w:val="28"/>
          <w:szCs w:val="28"/>
        </w:rPr>
        <w:t xml:space="preserve">B. </w:t>
      </w:r>
      <w:r w:rsidR="00FF608A" w:rsidRPr="00FF608A">
        <w:rPr>
          <w:rFonts w:asciiTheme="majorBidi" w:hAnsiTheme="majorBidi" w:cstheme="majorBidi"/>
          <w:sz w:val="28"/>
          <w:szCs w:val="28"/>
          <w:u w:val="single"/>
        </w:rPr>
        <w:t>L'Épitexte</w:t>
      </w:r>
      <w:r w:rsidR="00FF608A" w:rsidRPr="00FF608A">
        <w:rPr>
          <w:rFonts w:asciiTheme="majorBidi" w:hAnsiTheme="majorBidi" w:cstheme="majorBidi"/>
          <w:sz w:val="28"/>
          <w:szCs w:val="28"/>
        </w:rPr>
        <w:t xml:space="preserve"> : l’épitexte (du grec </w:t>
      </w:r>
      <w:proofErr w:type="spellStart"/>
      <w:r w:rsidR="00FF608A" w:rsidRPr="00FF608A">
        <w:rPr>
          <w:rFonts w:asciiTheme="majorBidi" w:hAnsiTheme="majorBidi" w:cstheme="majorBidi"/>
          <w:sz w:val="28"/>
          <w:szCs w:val="28"/>
        </w:rPr>
        <w:t>epi</w:t>
      </w:r>
      <w:proofErr w:type="spellEnd"/>
      <w:r w:rsidR="00FF608A" w:rsidRPr="00FF608A">
        <w:rPr>
          <w:rFonts w:asciiTheme="majorBidi" w:hAnsiTheme="majorBidi" w:cstheme="majorBidi"/>
          <w:sz w:val="28"/>
          <w:szCs w:val="28"/>
        </w:rPr>
        <w:t>- : sur/hors de) regroupe les éléments para-textuels qui se trouvent en dehors du livre, mais qui le concernent et qui sont de nature à influencer sa réception, tels : les entretiens avec l'auteur, la correspondance de l'auteur, les critiques journalistiques, les articles universitaires, les publicités autour de l'œuvre, les journaux intimes de l'auteur (non publiés dans l'ouvrage).</w:t>
      </w:r>
    </w:p>
    <w:p w14:paraId="46B64924" w14:textId="23FAE037" w:rsidR="0056131B" w:rsidRP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t>L'analyse du paratexte apporte du contexte et complète</w:t>
      </w:r>
      <w:r w:rsidR="00B14BFC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l'interprétation en révélant les intentions de l'auteur et les choix</w:t>
      </w:r>
      <w:r w:rsidR="00B14BFC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stylistiques.</w:t>
      </w:r>
    </w:p>
    <w:p w14:paraId="38CEE01A" w14:textId="2521A3F2" w:rsidR="0056131B" w:rsidRP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t>Des stratégies simples pour lire le paratexte : titre et sous-titres,</w:t>
      </w:r>
      <w:r w:rsidR="00B14BFC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préfaces et introductions, notes de bas de page et annexes.</w:t>
      </w:r>
    </w:p>
    <w:p w14:paraId="5F330946" w14:textId="78FB8048" w:rsidR="0056131B" w:rsidRPr="00760D43" w:rsidRDefault="00760D43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760D43">
        <w:rPr>
          <w:rFonts w:asciiTheme="majorBidi" w:hAnsiTheme="majorBidi" w:cstheme="majorBidi"/>
          <w:sz w:val="28"/>
          <w:szCs w:val="28"/>
        </w:rPr>
        <w:t>2.</w:t>
      </w:r>
      <w:r w:rsidR="0056131B" w:rsidRPr="00760D43">
        <w:rPr>
          <w:rFonts w:asciiTheme="majorBidi" w:hAnsiTheme="majorBidi" w:cstheme="majorBidi"/>
          <w:sz w:val="28"/>
          <w:szCs w:val="28"/>
        </w:rPr>
        <w:t>Notions de cotexte</w:t>
      </w:r>
      <w:r w:rsidR="00B14BFC" w:rsidRPr="00760D4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</w:t>
      </w:r>
      <w:r w:rsidR="0056131B" w:rsidRPr="00760D43">
        <w:rPr>
          <w:rFonts w:asciiTheme="majorBidi" w:hAnsiTheme="majorBidi" w:cstheme="majorBidi"/>
          <w:sz w:val="28"/>
          <w:szCs w:val="28"/>
        </w:rPr>
        <w:t xml:space="preserve"> de contexte</w:t>
      </w:r>
      <w:r w:rsidR="00B14BFC" w:rsidRPr="00760D43">
        <w:rPr>
          <w:rFonts w:asciiTheme="majorBidi" w:hAnsiTheme="majorBidi" w:cstheme="majorBidi"/>
          <w:sz w:val="28"/>
          <w:szCs w:val="28"/>
        </w:rPr>
        <w:t> :</w:t>
      </w:r>
    </w:p>
    <w:p w14:paraId="7DA933A3" w14:textId="687E1650" w:rsidR="00760D43" w:rsidRPr="00760D43" w:rsidRDefault="00760D43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760D43">
        <w:rPr>
          <w:rFonts w:asciiTheme="majorBidi" w:hAnsiTheme="majorBidi" w:cstheme="majorBidi"/>
          <w:sz w:val="28"/>
          <w:szCs w:val="28"/>
        </w:rPr>
        <w:t>Ces deux notions sont essentielles pour la compréhension et l'interprétation du sens.</w:t>
      </w:r>
    </w:p>
    <w:p w14:paraId="5497EA3C" w14:textId="7149BBC3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1.</w:t>
      </w:r>
      <w:r w:rsidR="0056131B" w:rsidRPr="0056131B">
        <w:rPr>
          <w:rFonts w:asciiTheme="majorBidi" w:hAnsiTheme="majorBidi" w:cstheme="majorBidi"/>
          <w:sz w:val="28"/>
          <w:szCs w:val="28"/>
        </w:rPr>
        <w:t>Le cotexte correspond à l'environnement textuel immédiat d'un mot,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d'une phrase ou d'un passage. Il inclut les phrases précédentes et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suivantes, ainsi que les paragraphes adjacents.</w:t>
      </w:r>
    </w:p>
    <w:p w14:paraId="5BE9D2A6" w14:textId="23CB4B62" w:rsidR="0056131B" w:rsidRP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t>Le cotexte joue un rôle clé dans l'interprétation locale et globale d'un</w:t>
      </w:r>
      <w:r w:rsidR="00B14BFC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texte. Il permet de :</w:t>
      </w:r>
    </w:p>
    <w:p w14:paraId="344312C1" w14:textId="48F705AC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Clarifier le sens d'un mot polysémique ou ambigu (par exemple, le mot</w:t>
      </w:r>
    </w:p>
    <w:p w14:paraId="0C3357E6" w14:textId="77777777" w:rsidR="0056131B" w:rsidRP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lastRenderedPageBreak/>
        <w:t>"bâton" peut signifier une canne ou une baguette selon le cotexte).</w:t>
      </w:r>
    </w:p>
    <w:p w14:paraId="60594FDC" w14:textId="2B296D36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Identifier les liens logiques entre les idées (grâce aux connecteurs ou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aux reprises anaphoriques).</w:t>
      </w:r>
    </w:p>
    <w:p w14:paraId="527CEE04" w14:textId="05B28929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Comprendre les références internes (par exemple, les pronoms ou les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déterminants).</w:t>
      </w:r>
    </w:p>
    <w:p w14:paraId="524FA245" w14:textId="4CEF44DD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2.</w:t>
      </w:r>
      <w:r w:rsidR="0056131B" w:rsidRPr="0056131B">
        <w:rPr>
          <w:rFonts w:asciiTheme="majorBidi" w:hAnsiTheme="majorBidi" w:cstheme="majorBidi"/>
          <w:sz w:val="28"/>
          <w:szCs w:val="28"/>
        </w:rPr>
        <w:t>Le contexte d'un texte regroupe l'ensemble des circonstances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externes</w:t>
      </w:r>
      <w:r w:rsidR="00760D43">
        <w:rPr>
          <w:rFonts w:asciiTheme="majorBidi" w:hAnsiTheme="majorBidi" w:cstheme="majorBidi"/>
          <w:sz w:val="28"/>
          <w:szCs w:val="28"/>
        </w:rPr>
        <w:t>/</w:t>
      </w:r>
      <w:r w:rsidR="00760D43" w:rsidRPr="00760D43">
        <w:t xml:space="preserve"> </w:t>
      </w:r>
      <w:r w:rsidR="00760D43" w:rsidRPr="00760D43">
        <w:rPr>
          <w:rFonts w:asciiTheme="majorBidi" w:hAnsiTheme="majorBidi" w:cstheme="majorBidi"/>
          <w:sz w:val="28"/>
          <w:szCs w:val="28"/>
        </w:rPr>
        <w:t>extralinguistiques</w:t>
      </w:r>
      <w:r w:rsidR="00760D43">
        <w:rPr>
          <w:rFonts w:asciiTheme="majorBidi" w:hAnsiTheme="majorBidi" w:cstheme="majorBidi"/>
          <w:sz w:val="28"/>
          <w:szCs w:val="28"/>
        </w:rPr>
        <w:t xml:space="preserve"> (</w:t>
      </w:r>
      <w:r w:rsidR="0056131B" w:rsidRPr="0056131B">
        <w:rPr>
          <w:rFonts w:asciiTheme="majorBidi" w:hAnsiTheme="majorBidi" w:cstheme="majorBidi"/>
          <w:sz w:val="28"/>
          <w:szCs w:val="28"/>
        </w:rPr>
        <w:t>historiques, culturelles, sociales et politiques</w:t>
      </w:r>
      <w:r w:rsidR="00760D43">
        <w:rPr>
          <w:rFonts w:asciiTheme="majorBidi" w:hAnsiTheme="majorBidi" w:cstheme="majorBidi"/>
          <w:sz w:val="28"/>
          <w:szCs w:val="28"/>
        </w:rPr>
        <w:t>)</w:t>
      </w:r>
      <w:r w:rsidR="0056131B" w:rsidRPr="0056131B">
        <w:rPr>
          <w:rFonts w:asciiTheme="majorBidi" w:hAnsiTheme="majorBidi" w:cstheme="majorBidi"/>
          <w:sz w:val="28"/>
          <w:szCs w:val="28"/>
        </w:rPr>
        <w:t xml:space="preserve"> qui influencent sa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production et sa réception. Il peut inclure des éléments tels que :</w:t>
      </w:r>
    </w:p>
    <w:p w14:paraId="54111399" w14:textId="3E3C3AE0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Le lieu et le moment de la communication ;</w:t>
      </w:r>
    </w:p>
    <w:p w14:paraId="2E29A8F4" w14:textId="64B49AF6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 xml:space="preserve">Le statut social et culturel des participants à la communication </w:t>
      </w:r>
    </w:p>
    <w:p w14:paraId="0F43605A" w14:textId="5BBA4C07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Le rôle social des participants ;</w:t>
      </w:r>
    </w:p>
    <w:p w14:paraId="26D409A7" w14:textId="46CA1462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L’âge et le sexe des participants ;</w:t>
      </w:r>
    </w:p>
    <w:p w14:paraId="2F8324E9" w14:textId="6727A494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Les informations détenues par les participants ;</w:t>
      </w:r>
    </w:p>
    <w:p w14:paraId="552BBEEF" w14:textId="6BF3834C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56131B" w:rsidRPr="0056131B">
        <w:rPr>
          <w:rFonts w:asciiTheme="majorBidi" w:hAnsiTheme="majorBidi" w:cstheme="majorBidi"/>
          <w:sz w:val="28"/>
          <w:szCs w:val="28"/>
        </w:rPr>
        <w:t>Les intentions, les motivations et les attitudes des participants.</w:t>
      </w:r>
    </w:p>
    <w:p w14:paraId="667B0F1A" w14:textId="6728F098" w:rsidR="0056131B" w:rsidRP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t>Le contexte est donc bien plus vaste que le cotexte linguistique d’un</w:t>
      </w:r>
      <w:r w:rsidR="00B14BFC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fait de langue. Il aide à comprendre les allusions, les thèmes ou les</w:t>
      </w:r>
      <w:r w:rsidR="00B14BFC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références d'un texte. Il permet d'éviter les contresens et d'apprécier la</w:t>
      </w:r>
      <w:r w:rsidR="00B14BFC">
        <w:rPr>
          <w:rFonts w:asciiTheme="majorBidi" w:hAnsiTheme="majorBidi" w:cstheme="majorBidi"/>
          <w:sz w:val="28"/>
          <w:szCs w:val="28"/>
        </w:rPr>
        <w:t xml:space="preserve"> </w:t>
      </w:r>
      <w:r w:rsidRPr="0056131B">
        <w:rPr>
          <w:rFonts w:asciiTheme="majorBidi" w:hAnsiTheme="majorBidi" w:cstheme="majorBidi"/>
          <w:sz w:val="28"/>
          <w:szCs w:val="28"/>
        </w:rPr>
        <w:t>richesse du propos.</w:t>
      </w:r>
    </w:p>
    <w:p w14:paraId="19FF50B5" w14:textId="77777777" w:rsidR="0056131B" w:rsidRPr="0056131B" w:rsidRDefault="0056131B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56131B">
        <w:rPr>
          <w:rFonts w:asciiTheme="majorBidi" w:hAnsiTheme="majorBidi" w:cstheme="majorBidi"/>
          <w:sz w:val="28"/>
          <w:szCs w:val="28"/>
        </w:rPr>
        <w:t>Il existe différents types de contextes :</w:t>
      </w:r>
    </w:p>
    <w:p w14:paraId="50A4716C" w14:textId="6CE2FD47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a) </w:t>
      </w:r>
      <w:r w:rsidR="0056131B" w:rsidRPr="0056131B">
        <w:rPr>
          <w:rFonts w:asciiTheme="majorBidi" w:hAnsiTheme="majorBidi" w:cstheme="majorBidi"/>
          <w:sz w:val="28"/>
          <w:szCs w:val="28"/>
        </w:rPr>
        <w:t>Contexte historique : Les événements ou époques qui influencent le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contenu ou le style d'un texte (par exemple, la Révolution française pour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les écrits de Rousseau).</w:t>
      </w:r>
    </w:p>
    <w:p w14:paraId="4EA0845D" w14:textId="559C3D67" w:rsidR="0056131B" w:rsidRP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b)</w:t>
      </w:r>
      <w:r w:rsidRPr="0056131B">
        <w:rPr>
          <w:rFonts w:asciiTheme="majorBidi" w:hAnsiTheme="majorBidi" w:cstheme="majorBidi"/>
          <w:sz w:val="28"/>
          <w:szCs w:val="28"/>
        </w:rPr>
        <w:t xml:space="preserve"> Contexte</w:t>
      </w:r>
      <w:r w:rsidR="0056131B" w:rsidRPr="0056131B">
        <w:rPr>
          <w:rFonts w:asciiTheme="majorBidi" w:hAnsiTheme="majorBidi" w:cstheme="majorBidi"/>
          <w:sz w:val="28"/>
          <w:szCs w:val="28"/>
        </w:rPr>
        <w:t xml:space="preserve"> culturel : Les traditions, croyances ou pratiques qui imprègnent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le texte.</w:t>
      </w:r>
    </w:p>
    <w:p w14:paraId="26AD3ABF" w14:textId="0EB695DE" w:rsidR="0056131B" w:rsidRDefault="00B14BFC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c) </w:t>
      </w:r>
      <w:r w:rsidR="0056131B" w:rsidRPr="0056131B">
        <w:rPr>
          <w:rFonts w:asciiTheme="majorBidi" w:hAnsiTheme="majorBidi" w:cstheme="majorBidi"/>
          <w:sz w:val="28"/>
          <w:szCs w:val="28"/>
        </w:rPr>
        <w:t>Contexte biographique : La vie et les expériences personnelles de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6131B" w:rsidRPr="0056131B">
        <w:rPr>
          <w:rFonts w:asciiTheme="majorBidi" w:hAnsiTheme="majorBidi" w:cstheme="majorBidi"/>
          <w:sz w:val="28"/>
          <w:szCs w:val="28"/>
        </w:rPr>
        <w:t>l'auteur, qui peuvent être reflétées dans son œuvre.</w:t>
      </w:r>
    </w:p>
    <w:p w14:paraId="4DFED74F" w14:textId="23FD9723" w:rsidR="00760D43" w:rsidRDefault="00C17FED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C17FED">
        <w:rPr>
          <w:rFonts w:asciiTheme="majorBidi" w:hAnsiTheme="majorBidi" w:cstheme="majorBidi"/>
          <w:sz w:val="28"/>
          <w:szCs w:val="28"/>
          <w:u w:val="single"/>
        </w:rPr>
        <w:t>Activité</w:t>
      </w:r>
      <w:r>
        <w:rPr>
          <w:rFonts w:asciiTheme="majorBidi" w:hAnsiTheme="majorBidi" w:cstheme="majorBidi"/>
          <w:sz w:val="28"/>
          <w:szCs w:val="28"/>
        </w:rPr>
        <w:t> :</w:t>
      </w:r>
    </w:p>
    <w:p w14:paraId="42B06DB5" w14:textId="5762378F" w:rsidR="00C17FED" w:rsidRPr="0056131B" w:rsidRDefault="00C17FED" w:rsidP="00370885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Identifier les éléments de paratexte dans ce livre</w:t>
      </w:r>
      <w:proofErr w:type="gramStart"/>
      <w:r>
        <w:rPr>
          <w:rFonts w:asciiTheme="majorBidi" w:hAnsiTheme="majorBidi" w:cstheme="majorBidi"/>
          <w:sz w:val="28"/>
          <w:szCs w:val="28"/>
        </w:rPr>
        <w:t> :roman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de</w:t>
      </w:r>
      <w:r>
        <w:rPr>
          <w:rFonts w:asciiTheme="majorBidi" w:hAnsiTheme="majorBidi" w:cstheme="majorBidi"/>
          <w:sz w:val="28"/>
          <w:szCs w:val="28"/>
        </w:rPr>
        <w:t> « </w:t>
      </w:r>
      <w:r>
        <w:rPr>
          <w:rFonts w:asciiTheme="majorBidi" w:hAnsiTheme="majorBidi" w:cstheme="majorBidi"/>
          <w:sz w:val="28"/>
          <w:szCs w:val="28"/>
        </w:rPr>
        <w:t xml:space="preserve"> Malek Haddad »</w:t>
      </w:r>
    </w:p>
    <w:sectPr w:rsidR="00C17FED" w:rsidRPr="00561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BBA1B" w14:textId="77777777" w:rsidR="00E11ACF" w:rsidRDefault="00E11ACF" w:rsidP="00370885">
      <w:pPr>
        <w:spacing w:after="0" w:line="240" w:lineRule="auto"/>
      </w:pPr>
      <w:r>
        <w:separator/>
      </w:r>
    </w:p>
  </w:endnote>
  <w:endnote w:type="continuationSeparator" w:id="0">
    <w:p w14:paraId="02D144FB" w14:textId="77777777" w:rsidR="00E11ACF" w:rsidRDefault="00E11ACF" w:rsidP="00370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1DB94" w14:textId="77777777" w:rsidR="00E11ACF" w:rsidRDefault="00E11ACF" w:rsidP="00370885">
      <w:pPr>
        <w:spacing w:after="0" w:line="240" w:lineRule="auto"/>
      </w:pPr>
      <w:r>
        <w:separator/>
      </w:r>
    </w:p>
  </w:footnote>
  <w:footnote w:type="continuationSeparator" w:id="0">
    <w:p w14:paraId="6289267D" w14:textId="77777777" w:rsidR="00E11ACF" w:rsidRDefault="00E11ACF" w:rsidP="00370885">
      <w:pPr>
        <w:spacing w:after="0" w:line="240" w:lineRule="auto"/>
      </w:pPr>
      <w:r>
        <w:continuationSeparator/>
      </w:r>
    </w:p>
  </w:footnote>
  <w:footnote w:id="1">
    <w:p w14:paraId="50EDE82E" w14:textId="26FD8BB3" w:rsidR="00370885" w:rsidRDefault="00370885">
      <w:pPr>
        <w:pStyle w:val="Notedebasdepage"/>
      </w:pPr>
      <w:r>
        <w:rPr>
          <w:rStyle w:val="Appelnotedebasdep"/>
        </w:rPr>
        <w:footnoteRef/>
      </w:r>
      <w:r>
        <w:t xml:space="preserve"> .</w:t>
      </w:r>
      <w:r w:rsidRPr="00370885">
        <w:t xml:space="preserve"> Seuil est le titre de l'ouvrage de Genette sur le sujet</w:t>
      </w:r>
    </w:p>
  </w:footnote>
  <w:footnote w:id="2">
    <w:p w14:paraId="40776604" w14:textId="2A9FC6A6" w:rsidR="00370885" w:rsidRDefault="00370885">
      <w:pPr>
        <w:pStyle w:val="Notedebasdepage"/>
      </w:pPr>
      <w:r>
        <w:rPr>
          <w:rStyle w:val="Appelnotedebasdep"/>
        </w:rPr>
        <w:footnoteRef/>
      </w:r>
      <w:r>
        <w:t xml:space="preserve"> .</w:t>
      </w:r>
      <w:r w:rsidRPr="00370885">
        <w:t xml:space="preserve"> Une courte citation (ou une sentence, une pensée, un proverbe, un extrait de poème, etc. placée en tête d'un ouvrage</w:t>
      </w:r>
    </w:p>
  </w:footnote>
  <w:footnote w:id="3">
    <w:p w14:paraId="09FA80C7" w14:textId="00BB9A90" w:rsidR="00FF608A" w:rsidRDefault="00FF608A">
      <w:pPr>
        <w:pStyle w:val="Notedebasdepage"/>
      </w:pPr>
      <w:r>
        <w:rPr>
          <w:rStyle w:val="Appelnotedebasdep"/>
        </w:rPr>
        <w:footnoteRef/>
      </w:r>
      <w:r>
        <w:t xml:space="preserve"> .</w:t>
      </w:r>
      <w:r w:rsidRPr="00FF608A">
        <w:t xml:space="preserve"> Sorte de notice que les éditeurs de livres adressent aux journalistes pour promouvoir l'ouvrage et son </w:t>
      </w:r>
      <w:proofErr w:type="gramStart"/>
      <w:r w:rsidRPr="00FF608A">
        <w:t>auteur.</w:t>
      </w:r>
      <w:r>
        <w:t>(</w:t>
      </w:r>
      <w:proofErr w:type="gramEnd"/>
      <w:r w:rsidRPr="00FF608A">
        <w:t xml:space="preserve"> https://fr.wiktionary.org/wiki/pri%C3%A8re_d%E2%80%99ins%C3%A9rer</w:t>
      </w:r>
      <w:r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25D3A"/>
    <w:rsid w:val="00125D3A"/>
    <w:rsid w:val="001D04E9"/>
    <w:rsid w:val="001F3692"/>
    <w:rsid w:val="001F5F19"/>
    <w:rsid w:val="002D4658"/>
    <w:rsid w:val="00370885"/>
    <w:rsid w:val="0049168C"/>
    <w:rsid w:val="0056131B"/>
    <w:rsid w:val="00635E3C"/>
    <w:rsid w:val="006B0B4D"/>
    <w:rsid w:val="00760D43"/>
    <w:rsid w:val="00826CDC"/>
    <w:rsid w:val="009768F0"/>
    <w:rsid w:val="00B14BFC"/>
    <w:rsid w:val="00C17FED"/>
    <w:rsid w:val="00CB43C5"/>
    <w:rsid w:val="00E11ACF"/>
    <w:rsid w:val="00EF1C0A"/>
    <w:rsid w:val="00F50035"/>
    <w:rsid w:val="00FF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8E1D5"/>
  <w15:chartTrackingRefBased/>
  <w15:docId w15:val="{C473A044-6C86-4AB0-9577-E4ECFE2EB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14BFC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7088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7088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70885"/>
    <w:rPr>
      <w:vertAlign w:val="superscript"/>
    </w:rPr>
  </w:style>
  <w:style w:type="table" w:styleId="Grilledutableau">
    <w:name w:val="Table Grid"/>
    <w:basedOn w:val="TableauNormal"/>
    <w:uiPriority w:val="59"/>
    <w:rsid w:val="00EF1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ABC0B-044A-4A3D-9B50-97FCAD747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1258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2025-12-12T16:54:00Z</dcterms:created>
  <dcterms:modified xsi:type="dcterms:W3CDTF">2025-12-20T19:49:00Z</dcterms:modified>
</cp:coreProperties>
</file>