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841" w:rsidRDefault="00893047">
      <w:pPr>
        <w:pStyle w:val="Titre1"/>
        <w:spacing w:before="78"/>
        <w:ind w:right="94"/>
        <w:jc w:val="right"/>
      </w:pPr>
      <w:r>
        <w:rPr>
          <w:spacing w:val="-2"/>
        </w:rPr>
        <w:t xml:space="preserve"> </w:t>
      </w:r>
      <w:bookmarkStart w:id="0" w:name="_GoBack"/>
      <w:bookmarkEnd w:id="0"/>
    </w:p>
    <w:p w:rsidR="006D6841" w:rsidRDefault="00981C4C">
      <w:pPr>
        <w:spacing w:before="243"/>
        <w:ind w:left="1320"/>
        <w:rPr>
          <w:b/>
          <w:i/>
          <w:sz w:val="24"/>
        </w:rPr>
      </w:pPr>
      <w:r>
        <w:rPr>
          <w:b/>
          <w:sz w:val="24"/>
        </w:rPr>
        <w:t>Selected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Quotes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Joseph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Conrad’s </w:t>
      </w:r>
      <w:r>
        <w:rPr>
          <w:b/>
          <w:i/>
          <w:sz w:val="24"/>
        </w:rPr>
        <w:t>Heart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of </w:t>
      </w:r>
      <w:r>
        <w:rPr>
          <w:b/>
          <w:i/>
          <w:spacing w:val="-2"/>
          <w:sz w:val="24"/>
        </w:rPr>
        <w:t>Darkness</w:t>
      </w:r>
    </w:p>
    <w:p w:rsidR="006D6841" w:rsidRDefault="00893047" w:rsidP="00893047">
      <w:pPr>
        <w:pStyle w:val="Titre1"/>
        <w:spacing w:before="243" w:line="446" w:lineRule="auto"/>
        <w:ind w:left="2491" w:right="2166" w:firstLine="893"/>
        <w:jc w:val="center"/>
      </w:pPr>
      <w:r>
        <w:t>Prof</w:t>
      </w:r>
      <w:r w:rsidR="00981C4C">
        <w:t>. Leila Bellour</w:t>
      </w:r>
    </w:p>
    <w:p w:rsidR="006D6841" w:rsidRDefault="00893047" w:rsidP="00893047">
      <w:pPr>
        <w:spacing w:before="5"/>
        <w:ind w:left="2708"/>
        <w:rPr>
          <w:b/>
          <w:sz w:val="24"/>
        </w:rPr>
      </w:pPr>
      <w:r>
        <w:rPr>
          <w:b/>
          <w:sz w:val="24"/>
        </w:rPr>
        <w:t xml:space="preserve">                    Mila University  </w:t>
      </w:r>
    </w:p>
    <w:p w:rsidR="006D6841" w:rsidRDefault="00981C4C">
      <w:pPr>
        <w:pStyle w:val="Corpsdetexte"/>
        <w:spacing w:before="238" w:line="276" w:lineRule="auto"/>
        <w:ind w:right="103"/>
      </w:pPr>
      <w:r>
        <w:t>Marlow states: “I was thinking of very old times, when the Romans first came here, nineteen hundred years ago-the other day…Light came out of this river (Thames River) since”</w:t>
      </w:r>
    </w:p>
    <w:p w:rsidR="006D6841" w:rsidRDefault="00981C4C">
      <w:pPr>
        <w:pStyle w:val="Corpsdetexte"/>
        <w:spacing w:before="200" w:line="276" w:lineRule="auto"/>
        <w:ind w:right="101"/>
      </w:pPr>
      <w:r>
        <w:t>Marlow</w:t>
      </w:r>
      <w:r>
        <w:rPr>
          <w:spacing w:val="-3"/>
        </w:rPr>
        <w:t xml:space="preserve"> </w:t>
      </w:r>
      <w:r>
        <w:t>says: “The</w:t>
      </w:r>
      <w:r>
        <w:rPr>
          <w:spacing w:val="-3"/>
        </w:rPr>
        <w:t xml:space="preserve"> </w:t>
      </w:r>
      <w:r>
        <w:t>conquest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earth, which</w:t>
      </w:r>
      <w:r>
        <w:rPr>
          <w:spacing w:val="-2"/>
        </w:rPr>
        <w:t xml:space="preserve"> </w:t>
      </w:r>
      <w:r>
        <w:t>mostly</w:t>
      </w:r>
      <w:r>
        <w:rPr>
          <w:spacing w:val="-2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taking it away</w:t>
      </w:r>
      <w:r>
        <w:rPr>
          <w:spacing w:val="-7"/>
        </w:rPr>
        <w:t xml:space="preserve"> </w:t>
      </w:r>
      <w:r>
        <w:t>fr</w:t>
      </w:r>
      <w:r>
        <w:t>om those who have a different complexion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slightly flatter noses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ourselves, is</w:t>
      </w:r>
      <w:r>
        <w:rPr>
          <w:spacing w:val="-1"/>
        </w:rPr>
        <w:t xml:space="preserve"> </w:t>
      </w:r>
      <w:r>
        <w:t>not a pretty thing when you look into it too much”</w:t>
      </w:r>
    </w:p>
    <w:p w:rsidR="006D6841" w:rsidRDefault="00981C4C">
      <w:pPr>
        <w:pStyle w:val="Corpsdetexte"/>
        <w:spacing w:line="276" w:lineRule="auto"/>
        <w:ind w:right="98"/>
      </w:pPr>
      <w:r>
        <w:t>In his description of the map of Africa, Marlow says: “But there was in it one river [the Congo River] especially, a mighty big river, that you could see on the map, resembling an immense snake uncoiled, with its head in the sea, its body at rest curving a</w:t>
      </w:r>
      <w:r>
        <w:t>far over a vast country, and its tail lost in the depth of the land […] The snake had charmed me”</w:t>
      </w:r>
    </w:p>
    <w:p w:rsidR="006D6841" w:rsidRDefault="00981C4C">
      <w:pPr>
        <w:pStyle w:val="Corpsdetexte"/>
        <w:spacing w:before="199" w:line="276" w:lineRule="auto"/>
        <w:ind w:right="98"/>
      </w:pPr>
      <w:r>
        <w:t>Marlow says, in his description of the natives: “Now and then a boat from the shore gave one a momentary contact with reality. It was paddled by black fellows</w:t>
      </w:r>
      <w:r>
        <w:t>. You could see from afar the white of their eyeballs glistening. They shouted, sang; their bodies screamed with perspiration; they had faces like grotesque masks-these chaps, but they had bones, muscle, a wild vitality, an immense energy</w:t>
      </w:r>
      <w:r>
        <w:rPr>
          <w:spacing w:val="-1"/>
        </w:rPr>
        <w:t xml:space="preserve"> </w:t>
      </w:r>
      <w:r>
        <w:t>of movement..”</w:t>
      </w:r>
    </w:p>
    <w:p w:rsidR="006D6841" w:rsidRDefault="00981C4C">
      <w:pPr>
        <w:pStyle w:val="Corpsdetexte"/>
        <w:spacing w:before="204"/>
      </w:pPr>
      <w:r>
        <w:t>“T</w:t>
      </w:r>
      <w:r>
        <w:t>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camp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natives;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rPr>
          <w:spacing w:val="-2"/>
        </w:rPr>
        <w:t>enemies!”</w:t>
      </w:r>
    </w:p>
    <w:p w:rsidR="006D6841" w:rsidRDefault="00981C4C">
      <w:pPr>
        <w:pStyle w:val="Corpsdetexte"/>
        <w:spacing w:before="237" w:line="276" w:lineRule="auto"/>
        <w:ind w:right="101"/>
      </w:pPr>
      <w:r>
        <w:t xml:space="preserve">In his description of the jungle, Marlow says: “It looked at you with a vengeful </w:t>
      </w:r>
      <w:r>
        <w:rPr>
          <w:spacing w:val="-2"/>
        </w:rPr>
        <w:t>aspect.”</w:t>
      </w:r>
    </w:p>
    <w:p w:rsidR="006D6841" w:rsidRDefault="00981C4C">
      <w:pPr>
        <w:pStyle w:val="Corpsdetexte"/>
        <w:spacing w:line="276" w:lineRule="auto"/>
        <w:ind w:right="96"/>
      </w:pPr>
      <w:r>
        <w:t>For Marlow, Kurtz fell prey</w:t>
      </w:r>
      <w:r>
        <w:rPr>
          <w:spacing w:val="-1"/>
        </w:rPr>
        <w:t xml:space="preserve"> </w:t>
      </w:r>
      <w:r>
        <w:t>to the jungle. He took part in “inconceivable ceremonies and unspeakable rites .” Mar</w:t>
      </w:r>
      <w:r>
        <w:t>low added that “the powers of darkness claimed him for their own,” and he took “a high seat among the devils of the land”</w:t>
      </w:r>
    </w:p>
    <w:p w:rsidR="006D6841" w:rsidRDefault="00981C4C">
      <w:pPr>
        <w:pStyle w:val="Corpsdetexte"/>
        <w:spacing w:line="276" w:lineRule="auto"/>
        <w:ind w:right="95"/>
      </w:pPr>
      <w:r>
        <w:t>Describing the Africans, Marlow says: “They</w:t>
      </w:r>
      <w:r>
        <w:rPr>
          <w:spacing w:val="-4"/>
        </w:rPr>
        <w:t xml:space="preserve"> </w:t>
      </w:r>
      <w:r>
        <w:t>howled and leaped, and spun, and made horrid faces; but what thrilled you was just the tho</w:t>
      </w:r>
      <w:r>
        <w:t>ught of their humanity-like yours- the thought of your remote kinship with this remote and passionate uproar”</w:t>
      </w:r>
    </w:p>
    <w:p w:rsidR="006D6841" w:rsidRDefault="00981C4C">
      <w:pPr>
        <w:pStyle w:val="Corpsdetexte"/>
        <w:spacing w:before="200" w:line="276" w:lineRule="auto"/>
        <w:ind w:right="105"/>
      </w:pPr>
      <w:r>
        <w:t>“The other day I took up a man who hanged himself! Why, in God’s name? I cried….Who knows? The sun too much for him or the country perhaps”</w:t>
      </w:r>
    </w:p>
    <w:p w:rsidR="006D6841" w:rsidRDefault="00981C4C">
      <w:pPr>
        <w:pStyle w:val="Corpsdetexte"/>
      </w:pPr>
      <w:r>
        <w:t>Marlow</w:t>
      </w:r>
      <w:r>
        <w:rPr>
          <w:spacing w:val="-6"/>
        </w:rPr>
        <w:t xml:space="preserve"> </w:t>
      </w:r>
      <w:r>
        <w:t>says:</w:t>
      </w:r>
      <w:r>
        <w:rPr>
          <w:spacing w:val="-2"/>
        </w:rPr>
        <w:t xml:space="preserve"> </w:t>
      </w:r>
      <w:r>
        <w:t>“A</w:t>
      </w:r>
      <w:r>
        <w:rPr>
          <w:spacing w:val="-3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people,</w:t>
      </w:r>
      <w:r>
        <w:rPr>
          <w:spacing w:val="4"/>
        </w:rPr>
        <w:t xml:space="preserve"> </w:t>
      </w:r>
      <w:r>
        <w:t>mostly</w:t>
      </w:r>
      <w:r>
        <w:rPr>
          <w:spacing w:val="-7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naked, moved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ants.”</w:t>
      </w:r>
    </w:p>
    <w:p w:rsidR="006D6841" w:rsidRDefault="006D6841">
      <w:pPr>
        <w:pStyle w:val="Corpsdetexte"/>
        <w:sectPr w:rsidR="006D6841">
          <w:footerReference w:type="default" r:id="rId6"/>
          <w:type w:val="continuous"/>
          <w:pgSz w:w="11910" w:h="16840"/>
          <w:pgMar w:top="1340" w:right="1700" w:bottom="1200" w:left="1700" w:header="0" w:footer="1008" w:gutter="0"/>
          <w:pgNumType w:start="1"/>
          <w:cols w:space="720"/>
        </w:sectPr>
      </w:pPr>
    </w:p>
    <w:p w:rsidR="006D6841" w:rsidRDefault="00981C4C">
      <w:pPr>
        <w:pStyle w:val="Corpsdetexte"/>
        <w:spacing w:before="74" w:line="276" w:lineRule="auto"/>
        <w:ind w:right="95"/>
      </w:pPr>
      <w:r>
        <w:lastRenderedPageBreak/>
        <w:t xml:space="preserve">Kurtz was described as the “emissary of pity, science, and progress”. Marlow comments that his voice “electrified large meetings” He is also seen as a “universal </w:t>
      </w:r>
      <w:r>
        <w:rPr>
          <w:spacing w:val="-2"/>
        </w:rPr>
        <w:t>genius.”</w:t>
      </w:r>
    </w:p>
    <w:p w:rsidR="006D6841" w:rsidRDefault="00981C4C">
      <w:pPr>
        <w:pStyle w:val="Corpsdetexte"/>
        <w:spacing w:before="200" w:line="451" w:lineRule="auto"/>
        <w:ind w:right="320"/>
        <w:jc w:val="left"/>
      </w:pPr>
      <w:r>
        <w:t>Talking</w:t>
      </w:r>
      <w:r>
        <w:rPr>
          <w:spacing w:val="-6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Kurtz,</w:t>
      </w:r>
      <w:r>
        <w:rPr>
          <w:spacing w:val="-8"/>
        </w:rPr>
        <w:t xml:space="preserve"> </w:t>
      </w:r>
      <w:r>
        <w:t>Marlow</w:t>
      </w:r>
      <w:r>
        <w:rPr>
          <w:spacing w:val="-6"/>
        </w:rPr>
        <w:t xml:space="preserve"> </w:t>
      </w:r>
      <w:r>
        <w:t>says:</w:t>
      </w:r>
      <w:r>
        <w:rPr>
          <w:spacing w:val="-1"/>
        </w:rPr>
        <w:t xml:space="preserve"> </w:t>
      </w:r>
      <w:r>
        <w:t>“Whatever he</w:t>
      </w:r>
      <w:r>
        <w:rPr>
          <w:spacing w:val="-6"/>
        </w:rPr>
        <w:t xml:space="preserve"> </w:t>
      </w:r>
      <w:r>
        <w:t>was,</w:t>
      </w:r>
      <w:r>
        <w:rPr>
          <w:spacing w:val="-4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common.” Marlow says t</w:t>
      </w:r>
      <w:r>
        <w:t>hat the wilderness “loved [Kurtz], embraced him”</w:t>
      </w:r>
    </w:p>
    <w:p w:rsidR="006D6841" w:rsidRDefault="00981C4C">
      <w:pPr>
        <w:pStyle w:val="Corpsdetexte"/>
        <w:spacing w:before="0" w:line="275" w:lineRule="exact"/>
        <w:jc w:val="left"/>
      </w:pPr>
      <w:r>
        <w:t>Kurtz</w:t>
      </w:r>
      <w:r>
        <w:rPr>
          <w:spacing w:val="-6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Kurtz’s</w:t>
      </w:r>
      <w:r>
        <w:rPr>
          <w:spacing w:val="-1"/>
        </w:rPr>
        <w:t xml:space="preserve"> </w:t>
      </w:r>
      <w:r>
        <w:t>mistress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“wild</w:t>
      </w:r>
      <w:r>
        <w:rPr>
          <w:spacing w:val="-2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gorgeous,”</w:t>
      </w:r>
      <w:r>
        <w:rPr>
          <w:spacing w:val="-3"/>
        </w:rPr>
        <w:t xml:space="preserve"> </w:t>
      </w:r>
      <w:r>
        <w:t>“savage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superb.”</w:t>
      </w:r>
    </w:p>
    <w:p w:rsidR="006D6841" w:rsidRDefault="00981C4C">
      <w:pPr>
        <w:pStyle w:val="Corpsdetexte"/>
        <w:spacing w:before="238" w:line="280" w:lineRule="auto"/>
        <w:ind w:right="106"/>
      </w:pPr>
      <w:r>
        <w:t>In</w:t>
      </w:r>
      <w:r>
        <w:rPr>
          <w:spacing w:val="-6"/>
        </w:rPr>
        <w:t xml:space="preserve"> </w:t>
      </w:r>
      <w:r>
        <w:t>his 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pilgrims, Marlow</w:t>
      </w:r>
      <w:r>
        <w:rPr>
          <w:spacing w:val="-2"/>
        </w:rPr>
        <w:t xml:space="preserve"> </w:t>
      </w:r>
      <w:r>
        <w:t>says: “The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‘Ivory’</w:t>
      </w:r>
      <w:r>
        <w:rPr>
          <w:spacing w:val="-4"/>
        </w:rPr>
        <w:t xml:space="preserve"> </w:t>
      </w:r>
      <w:r>
        <w:t>rang 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air, was whispered, was sighed. You would think t</w:t>
      </w:r>
      <w:r>
        <w:t>hey are praying to it.”</w:t>
      </w:r>
    </w:p>
    <w:p w:rsidR="006D6841" w:rsidRDefault="00981C4C">
      <w:pPr>
        <w:pStyle w:val="Corpsdetexte"/>
        <w:spacing w:before="190" w:line="276" w:lineRule="auto"/>
        <w:ind w:right="99"/>
      </w:pPr>
      <w:r>
        <w:t>In a conversation between the manager and his uncle, the manager told the latter</w:t>
      </w:r>
      <w:r>
        <w:rPr>
          <w:spacing w:val="80"/>
        </w:rPr>
        <w:t xml:space="preserve"> </w:t>
      </w:r>
      <w:r>
        <w:t>about his intention to kill Kurtz. In his response, the manager’s uncle says: “Ah, my boy. The jungle will take care of him. Trust to this” He also ref</w:t>
      </w:r>
      <w:r>
        <w:t>ers to the “lurking death, to the hidden evil, to the profound darkness of its heart.”</w:t>
      </w:r>
    </w:p>
    <w:p w:rsidR="006D6841" w:rsidRDefault="00981C4C">
      <w:pPr>
        <w:pStyle w:val="Corpsdetexte"/>
        <w:spacing w:before="199" w:line="276" w:lineRule="auto"/>
        <w:ind w:right="101"/>
      </w:pPr>
      <w:r>
        <w:t>In the report he wrote for the International Society for the Suppression of Savage Customs, Kurtz writes: “We, whites, must necessarily appear to them, savages, in the natures of supernatural beings. We approach them with the might of a deity…… Exterminate</w:t>
      </w:r>
      <w:r>
        <w:t xml:space="preserve"> all the brutes”</w:t>
      </w:r>
    </w:p>
    <w:sectPr w:rsidR="006D6841">
      <w:pgSz w:w="11910" w:h="16840"/>
      <w:pgMar w:top="1340" w:right="1700" w:bottom="1200" w:left="170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4C" w:rsidRDefault="00981C4C">
      <w:r>
        <w:separator/>
      </w:r>
    </w:p>
  </w:endnote>
  <w:endnote w:type="continuationSeparator" w:id="0">
    <w:p w:rsidR="00981C4C" w:rsidRDefault="0098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41" w:rsidRDefault="00981C4C">
    <w:pPr>
      <w:pStyle w:val="Corpsdetexte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560192" behindDoc="1" locked="0" layoutInCell="1" allowOverlap="1">
              <wp:simplePos x="0" y="0"/>
              <wp:positionH relativeFrom="page">
                <wp:posOffset>3706367</wp:posOffset>
              </wp:positionH>
              <wp:positionV relativeFrom="page">
                <wp:posOffset>9912807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841" w:rsidRDefault="00981C4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93047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55pt;width:12.6pt;height:13.0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/Z0Z5uIAAAANAQAADwAAAAAAAAAAAAAAAAD+AwAAZHJzL2Rvd25yZXYueG1sUEsF&#10;BgAAAAAEAAQA8wAAAA0FAAAAAA==&#10;" filled="f" stroked="f">
              <v:path arrowok="t"/>
              <v:textbox inset="0,0,0,0">
                <w:txbxContent>
                  <w:p w:rsidR="006D6841" w:rsidRDefault="00981C4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93047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4C" w:rsidRDefault="00981C4C">
      <w:r>
        <w:separator/>
      </w:r>
    </w:p>
  </w:footnote>
  <w:footnote w:type="continuationSeparator" w:id="0">
    <w:p w:rsidR="00981C4C" w:rsidRDefault="00981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6841"/>
    <w:rsid w:val="006D6841"/>
    <w:rsid w:val="00893047"/>
    <w:rsid w:val="00981C4C"/>
    <w:rsid w:val="00D0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EC4A6-EB81-46C8-B4E3-BD2043E5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1"/>
      <w:ind w:left="100"/>
      <w:jc w:val="both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TauriNet CYBERCAFE</dc:creator>
  <cp:lastModifiedBy>HP</cp:lastModifiedBy>
  <cp:revision>3</cp:revision>
  <dcterms:created xsi:type="dcterms:W3CDTF">2026-04-18T07:54:00Z</dcterms:created>
  <dcterms:modified xsi:type="dcterms:W3CDTF">2026-04-18T07:56:00Z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2026-04-18T00:00:00Z</vt:filetime>
  </property>
  <property fmtid="{D5CDD505-2E9C-101B-9397-08002B2CF9AE}" pid="5" name="Producer">
    <vt:lpwstr>www.ilovepdf.com</vt:lpwstr>
  </property>
</Properties>
</file>