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F9" w:rsidRPr="009A0AF9" w:rsidRDefault="009A0AF9" w:rsidP="009A0AF9">
      <w:pPr>
        <w:bidi/>
        <w:spacing w:before="100" w:beforeAutospacing="1" w:after="100" w:afterAutospacing="1" w:line="240" w:lineRule="auto"/>
        <w:jc w:val="both"/>
        <w:outlineLvl w:val="0"/>
        <w:rPr>
          <w:rFonts w:ascii="Sakkal Majalla" w:eastAsia="Times New Roman" w:hAnsi="Sakkal Majalla" w:cs="Sakkal Majalla"/>
          <w:b/>
          <w:bCs/>
          <w:kern w:val="36"/>
          <w:sz w:val="28"/>
          <w:szCs w:val="28"/>
          <w:lang w:eastAsia="fr-FR"/>
        </w:rPr>
      </w:pPr>
      <w:proofErr w:type="gramStart"/>
      <w:r w:rsidRPr="009A0AF9">
        <w:rPr>
          <w:rFonts w:ascii="Sakkal Majalla" w:eastAsia="Times New Roman" w:hAnsi="Sakkal Majalla" w:cs="Sakkal Majalla"/>
          <w:b/>
          <w:bCs/>
          <w:kern w:val="36"/>
          <w:sz w:val="28"/>
          <w:szCs w:val="28"/>
          <w:rtl/>
          <w:lang w:eastAsia="fr-FR"/>
        </w:rPr>
        <w:t>تقرير</w:t>
      </w:r>
      <w:proofErr w:type="gramEnd"/>
      <w:r w:rsidRPr="009A0AF9">
        <w:rPr>
          <w:rFonts w:ascii="Sakkal Majalla" w:eastAsia="Times New Roman" w:hAnsi="Sakkal Majalla" w:cs="Sakkal Majalla"/>
          <w:b/>
          <w:bCs/>
          <w:kern w:val="36"/>
          <w:sz w:val="28"/>
          <w:szCs w:val="28"/>
          <w:rtl/>
          <w:lang w:eastAsia="fr-FR"/>
        </w:rPr>
        <w:t xml:space="preserve"> تحليلي: بنية النظام القضائي الجزائري وآليات حسم تنازع الاختصاص</w:t>
      </w:r>
    </w:p>
    <w:p w:rsidR="009A0AF9" w:rsidRPr="009A0AF9" w:rsidRDefault="009A0AF9" w:rsidP="009A0AF9">
      <w:pPr>
        <w:bidi/>
        <w:spacing w:before="100" w:beforeAutospacing="1" w:after="100" w:afterAutospacing="1" w:line="240" w:lineRule="auto"/>
        <w:jc w:val="both"/>
        <w:outlineLvl w:val="1"/>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lang w:eastAsia="fr-FR"/>
        </w:rPr>
        <w:t xml:space="preserve">1. </w:t>
      </w:r>
      <w:r w:rsidRPr="009A0AF9">
        <w:rPr>
          <w:rFonts w:ascii="Sakkal Majalla" w:eastAsia="Times New Roman" w:hAnsi="Sakkal Majalla" w:cs="Sakkal Majalla"/>
          <w:b/>
          <w:bCs/>
          <w:sz w:val="28"/>
          <w:szCs w:val="28"/>
          <w:rtl/>
          <w:lang w:eastAsia="fr-FR"/>
        </w:rPr>
        <w:t xml:space="preserve">الإطار </w:t>
      </w:r>
      <w:proofErr w:type="spellStart"/>
      <w:r w:rsidRPr="009A0AF9">
        <w:rPr>
          <w:rFonts w:ascii="Sakkal Majalla" w:eastAsia="Times New Roman" w:hAnsi="Sakkal Majalla" w:cs="Sakkal Majalla"/>
          <w:b/>
          <w:bCs/>
          <w:sz w:val="28"/>
          <w:szCs w:val="28"/>
          <w:rtl/>
          <w:lang w:eastAsia="fr-FR"/>
        </w:rPr>
        <w:t>المفاهيمي</w:t>
      </w:r>
      <w:proofErr w:type="spellEnd"/>
      <w:r w:rsidRPr="009A0AF9">
        <w:rPr>
          <w:rFonts w:ascii="Sakkal Majalla" w:eastAsia="Times New Roman" w:hAnsi="Sakkal Majalla" w:cs="Sakkal Majalla"/>
          <w:b/>
          <w:bCs/>
          <w:sz w:val="28"/>
          <w:szCs w:val="28"/>
          <w:rtl/>
          <w:lang w:eastAsia="fr-FR"/>
        </w:rPr>
        <w:t xml:space="preserve"> والمبادئ الدستورية الناظمة للسلطة القضائية</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 xml:space="preserve">يمثل استقلال السلطة القضائية في الجزائر ركيزة </w:t>
      </w:r>
      <w:proofErr w:type="spellStart"/>
      <w:r w:rsidRPr="009A0AF9">
        <w:rPr>
          <w:rFonts w:ascii="Sakkal Majalla" w:eastAsia="Times New Roman" w:hAnsi="Sakkal Majalla" w:cs="Sakkal Majalla"/>
          <w:sz w:val="28"/>
          <w:szCs w:val="28"/>
          <w:rtl/>
          <w:lang w:eastAsia="fr-FR"/>
        </w:rPr>
        <w:t>استراتيجية</w:t>
      </w:r>
      <w:proofErr w:type="spellEnd"/>
      <w:r w:rsidRPr="009A0AF9">
        <w:rPr>
          <w:rFonts w:ascii="Sakkal Majalla" w:eastAsia="Times New Roman" w:hAnsi="Sakkal Majalla" w:cs="Sakkal Majalla"/>
          <w:sz w:val="28"/>
          <w:szCs w:val="28"/>
          <w:rtl/>
          <w:lang w:eastAsia="fr-FR"/>
        </w:rPr>
        <w:t xml:space="preserve"> في الهندسة الدستورية المعاصرة، لا </w:t>
      </w:r>
      <w:proofErr w:type="spellStart"/>
      <w:r w:rsidRPr="009A0AF9">
        <w:rPr>
          <w:rFonts w:ascii="Sakkal Majalla" w:eastAsia="Times New Roman" w:hAnsi="Sakkal Majalla" w:cs="Sakkal Majalla"/>
          <w:sz w:val="28"/>
          <w:szCs w:val="28"/>
          <w:rtl/>
          <w:lang w:eastAsia="fr-FR"/>
        </w:rPr>
        <w:t>سيما</w:t>
      </w:r>
      <w:proofErr w:type="spellEnd"/>
      <w:r w:rsidRPr="009A0AF9">
        <w:rPr>
          <w:rFonts w:ascii="Sakkal Majalla" w:eastAsia="Times New Roman" w:hAnsi="Sakkal Majalla" w:cs="Sakkal Majalla"/>
          <w:sz w:val="28"/>
          <w:szCs w:val="28"/>
          <w:rtl/>
          <w:lang w:eastAsia="fr-FR"/>
        </w:rPr>
        <w:t xml:space="preserve"> بعد التعديل الدستوري لعام 2020، الذي سعى لتكريس دولة الحق والقانون عبر تحرير القضاء من التبعية العضوية والوظيفية. إن القراءة المتفحصة للنصوص الدستورية تظهر أن استقلال القضاء ليس غاية في ذاته، بل هو وسيلة مؤسساتية لضمان الحقوق والحريات الأساسية للمواطن في مواجهة أي </w:t>
      </w:r>
      <w:proofErr w:type="spellStart"/>
      <w:r w:rsidRPr="009A0AF9">
        <w:rPr>
          <w:rFonts w:ascii="Sakkal Majalla" w:eastAsia="Times New Roman" w:hAnsi="Sakkal Majalla" w:cs="Sakkal Majalla"/>
          <w:sz w:val="28"/>
          <w:szCs w:val="28"/>
          <w:rtl/>
          <w:lang w:eastAsia="fr-FR"/>
        </w:rPr>
        <w:t>تغول</w:t>
      </w:r>
      <w:proofErr w:type="spellEnd"/>
      <w:r w:rsidRPr="009A0AF9">
        <w:rPr>
          <w:rFonts w:ascii="Sakkal Majalla" w:eastAsia="Times New Roman" w:hAnsi="Sakkal Majalla" w:cs="Sakkal Majalla"/>
          <w:sz w:val="28"/>
          <w:szCs w:val="28"/>
          <w:rtl/>
          <w:lang w:eastAsia="fr-FR"/>
        </w:rPr>
        <w:t xml:space="preserve"> أو انحراف. وتتأسس هذه المنظومة على ثلاث دعائم جوهرية</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1"/>
        </w:num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b/>
          <w:bCs/>
          <w:sz w:val="28"/>
          <w:szCs w:val="28"/>
          <w:rtl/>
          <w:lang w:eastAsia="fr-FR"/>
        </w:rPr>
        <w:t>مبدأ</w:t>
      </w:r>
      <w:proofErr w:type="gramEnd"/>
      <w:r w:rsidRPr="009A0AF9">
        <w:rPr>
          <w:rFonts w:ascii="Sakkal Majalla" w:eastAsia="Times New Roman" w:hAnsi="Sakkal Majalla" w:cs="Sakkal Majalla"/>
          <w:b/>
          <w:bCs/>
          <w:sz w:val="28"/>
          <w:szCs w:val="28"/>
          <w:rtl/>
          <w:lang w:eastAsia="fr-FR"/>
        </w:rPr>
        <w:t xml:space="preserve"> استقلالية السلطة القضائية</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بموجب المادة 163 من التعديل الدستوري الأخير، يُعد القضاء سلطة مستقلة لا تخضع إلا للقانون. وتتجلى الممارسة السيادية في هذا المبدأ من خلال دور رئيس الجمهورية كضامن لاستقلال القضاء، مما يمنح القضاة الحصانة المعنوية اللازمة للفصل في المنازعات دون أي ضغوط خارجية، وهو ما يعزز الثقة في المخرج القضائي</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1"/>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b/>
          <w:bCs/>
          <w:sz w:val="28"/>
          <w:szCs w:val="28"/>
          <w:rtl/>
          <w:lang w:eastAsia="fr-FR"/>
        </w:rPr>
        <w:t>مبدأ المساواة أمام القضاء</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 xml:space="preserve">تؤكد المادة 164 على أن القضاء يقوم على مبادئ الشرعية والمساواة. </w:t>
      </w:r>
      <w:proofErr w:type="gramStart"/>
      <w:r w:rsidRPr="009A0AF9">
        <w:rPr>
          <w:rFonts w:ascii="Sakkal Majalla" w:eastAsia="Times New Roman" w:hAnsi="Sakkal Majalla" w:cs="Sakkal Majalla"/>
          <w:sz w:val="28"/>
          <w:szCs w:val="28"/>
          <w:rtl/>
          <w:lang w:eastAsia="fr-FR"/>
        </w:rPr>
        <w:t>ومن</w:t>
      </w:r>
      <w:proofErr w:type="gramEnd"/>
      <w:r w:rsidRPr="009A0AF9">
        <w:rPr>
          <w:rFonts w:ascii="Sakkal Majalla" w:eastAsia="Times New Roman" w:hAnsi="Sakkal Majalla" w:cs="Sakkal Majalla"/>
          <w:sz w:val="28"/>
          <w:szCs w:val="28"/>
          <w:rtl/>
          <w:lang w:eastAsia="fr-FR"/>
        </w:rPr>
        <w:t xml:space="preserve"> منظور الهندسة القضائية، فإن هذا المبدأ يضمن تحييد كافة العوامل الخارجية (العرقية، العقائدية، أو مراكز القوة) لضمان معاملة المتقاضين الذين يوجدون في مراكز قانونية متماثلة معاملة واحدة، وهي الضمانة الأساسية لتحقيق المحاكمة العادلة</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1"/>
        </w:num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b/>
          <w:bCs/>
          <w:sz w:val="28"/>
          <w:szCs w:val="28"/>
          <w:rtl/>
          <w:lang w:eastAsia="fr-FR"/>
        </w:rPr>
        <w:t>مبدأ</w:t>
      </w:r>
      <w:proofErr w:type="gramEnd"/>
      <w:r w:rsidRPr="009A0AF9">
        <w:rPr>
          <w:rFonts w:ascii="Sakkal Majalla" w:eastAsia="Times New Roman" w:hAnsi="Sakkal Majalla" w:cs="Sakkal Majalla"/>
          <w:b/>
          <w:bCs/>
          <w:sz w:val="28"/>
          <w:szCs w:val="28"/>
          <w:rtl/>
          <w:lang w:eastAsia="fr-FR"/>
        </w:rPr>
        <w:t xml:space="preserve"> التقاضي على درجتين</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 xml:space="preserve">كفلت المادة 165 من الدستور هذا المبدأ كآلية تقنية لتدارك الأخطاء البشرية (الموضوعية أو القانونية). </w:t>
      </w:r>
      <w:proofErr w:type="gramStart"/>
      <w:r w:rsidRPr="009A0AF9">
        <w:rPr>
          <w:rFonts w:ascii="Sakkal Majalla" w:eastAsia="Times New Roman" w:hAnsi="Sakkal Majalla" w:cs="Sakkal Majalla"/>
          <w:sz w:val="28"/>
          <w:szCs w:val="28"/>
          <w:rtl/>
          <w:lang w:eastAsia="fr-FR"/>
        </w:rPr>
        <w:t>إن</w:t>
      </w:r>
      <w:proofErr w:type="gramEnd"/>
      <w:r w:rsidRPr="009A0AF9">
        <w:rPr>
          <w:rFonts w:ascii="Sakkal Majalla" w:eastAsia="Times New Roman" w:hAnsi="Sakkal Majalla" w:cs="Sakkal Majalla"/>
          <w:sz w:val="28"/>
          <w:szCs w:val="28"/>
          <w:rtl/>
          <w:lang w:eastAsia="fr-FR"/>
        </w:rPr>
        <w:t xml:space="preserve"> إتاحة الفرصة للمتقاضي لعرض نزاعه على جهة ثانية تراجع "الوقائع والقانون" معاً، تهدف إلى تحقيق اليقين القانوني وضمان جودة الأحكام القضائية قبل اكتسابها قوة الشيء المقضي </w:t>
      </w:r>
      <w:proofErr w:type="spellStart"/>
      <w:r w:rsidRPr="009A0AF9">
        <w:rPr>
          <w:rFonts w:ascii="Sakkal Majalla" w:eastAsia="Times New Roman" w:hAnsi="Sakkal Majalla" w:cs="Sakkal Majalla"/>
          <w:sz w:val="28"/>
          <w:szCs w:val="28"/>
          <w:rtl/>
          <w:lang w:eastAsia="fr-FR"/>
        </w:rPr>
        <w:t>به</w:t>
      </w:r>
      <w:proofErr w:type="spellEnd"/>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إن هذه المبادئ الدستورية تشكل العقد الناظم الذي تفرعت عنه الهيكلية التنظيمية للقضاء العادي، والتي صُممت بشكل هرمي يضمن التخصص والاحترافية</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lang w:eastAsia="fr-FR"/>
        </w:rPr>
        <w:t xml:space="preserve">-------------------------------------------------------------------------------- </w:t>
      </w:r>
    </w:p>
    <w:p w:rsidR="009A0AF9" w:rsidRPr="009A0AF9" w:rsidRDefault="009A0AF9" w:rsidP="009A0AF9">
      <w:pPr>
        <w:bidi/>
        <w:spacing w:before="100" w:beforeAutospacing="1" w:after="100" w:afterAutospacing="1" w:line="240" w:lineRule="auto"/>
        <w:jc w:val="both"/>
        <w:outlineLvl w:val="1"/>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lang w:eastAsia="fr-FR"/>
        </w:rPr>
        <w:t xml:space="preserve">2. </w:t>
      </w:r>
      <w:r w:rsidRPr="009A0AF9">
        <w:rPr>
          <w:rFonts w:ascii="Sakkal Majalla" w:eastAsia="Times New Roman" w:hAnsi="Sakkal Majalla" w:cs="Sakkal Majalla"/>
          <w:b/>
          <w:bCs/>
          <w:sz w:val="28"/>
          <w:szCs w:val="28"/>
          <w:rtl/>
          <w:lang w:eastAsia="fr-FR"/>
        </w:rPr>
        <w:t xml:space="preserve">الهيكلية الهرمية للقضاء </w:t>
      </w:r>
      <w:proofErr w:type="gramStart"/>
      <w:r w:rsidRPr="009A0AF9">
        <w:rPr>
          <w:rFonts w:ascii="Sakkal Majalla" w:eastAsia="Times New Roman" w:hAnsi="Sakkal Majalla" w:cs="Sakkal Majalla"/>
          <w:b/>
          <w:bCs/>
          <w:sz w:val="28"/>
          <w:szCs w:val="28"/>
          <w:rtl/>
          <w:lang w:eastAsia="fr-FR"/>
        </w:rPr>
        <w:t>العادي:</w:t>
      </w:r>
      <w:proofErr w:type="gramEnd"/>
      <w:r w:rsidRPr="009A0AF9">
        <w:rPr>
          <w:rFonts w:ascii="Sakkal Majalla" w:eastAsia="Times New Roman" w:hAnsi="Sakkal Majalla" w:cs="Sakkal Majalla"/>
          <w:b/>
          <w:bCs/>
          <w:sz w:val="28"/>
          <w:szCs w:val="28"/>
          <w:rtl/>
          <w:lang w:eastAsia="fr-FR"/>
        </w:rPr>
        <w:t xml:space="preserve"> من القاعدة إلى القمة</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sz w:val="28"/>
          <w:szCs w:val="28"/>
          <w:rtl/>
          <w:lang w:eastAsia="fr-FR"/>
        </w:rPr>
        <w:t>تخضع</w:t>
      </w:r>
      <w:proofErr w:type="gramEnd"/>
      <w:r w:rsidRPr="009A0AF9">
        <w:rPr>
          <w:rFonts w:ascii="Sakkal Majalla" w:eastAsia="Times New Roman" w:hAnsi="Sakkal Majalla" w:cs="Sakkal Majalla"/>
          <w:sz w:val="28"/>
          <w:szCs w:val="28"/>
          <w:rtl/>
          <w:lang w:eastAsia="fr-FR"/>
        </w:rPr>
        <w:t xml:space="preserve"> هيكلية القضاء العادي للقانون العضوي رقم 05-11، وهي هيكلية هندسية تهدف إلى توزيع العبء القضائي ورفع كفاءة الأداء عبر التخصص النوعي للقضاة، بما يضمن تقريب القضاء من المواطن وسرعة الفصل في النزاعات</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outlineLvl w:val="2"/>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rtl/>
          <w:lang w:eastAsia="fr-FR"/>
        </w:rPr>
        <w:t xml:space="preserve">التحليل الوظيفي لمستويات </w:t>
      </w:r>
      <w:proofErr w:type="gramStart"/>
      <w:r w:rsidRPr="009A0AF9">
        <w:rPr>
          <w:rFonts w:ascii="Sakkal Majalla" w:eastAsia="Times New Roman" w:hAnsi="Sakkal Majalla" w:cs="Sakkal Majalla"/>
          <w:b/>
          <w:bCs/>
          <w:sz w:val="28"/>
          <w:szCs w:val="28"/>
          <w:rtl/>
          <w:lang w:eastAsia="fr-FR"/>
        </w:rPr>
        <w:t>التقاضي</w:t>
      </w:r>
      <w:proofErr w:type="gramEnd"/>
      <w:r w:rsidRPr="009A0AF9">
        <w:rPr>
          <w:rFonts w:ascii="Sakkal Majalla" w:eastAsia="Times New Roman" w:hAnsi="Sakkal Majalla" w:cs="Sakkal Majalla"/>
          <w:b/>
          <w:bCs/>
          <w:sz w:val="28"/>
          <w:szCs w:val="28"/>
          <w:lang w:eastAsia="fr-FR"/>
        </w:rPr>
        <w:t>:</w:t>
      </w:r>
    </w:p>
    <w:p w:rsidR="009A0AF9" w:rsidRPr="009A0AF9" w:rsidRDefault="009A0AF9" w:rsidP="009A0AF9">
      <w:pPr>
        <w:numPr>
          <w:ilvl w:val="0"/>
          <w:numId w:val="2"/>
        </w:num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b/>
          <w:bCs/>
          <w:sz w:val="28"/>
          <w:szCs w:val="28"/>
          <w:rtl/>
          <w:lang w:eastAsia="fr-FR"/>
        </w:rPr>
        <w:t>المحاكم</w:t>
      </w:r>
      <w:proofErr w:type="gramEnd"/>
      <w:r w:rsidRPr="009A0AF9">
        <w:rPr>
          <w:rFonts w:ascii="Sakkal Majalla" w:eastAsia="Times New Roman" w:hAnsi="Sakkal Majalla" w:cs="Sakkal Majalla"/>
          <w:b/>
          <w:bCs/>
          <w:sz w:val="28"/>
          <w:szCs w:val="28"/>
          <w:rtl/>
          <w:lang w:eastAsia="fr-FR"/>
        </w:rPr>
        <w:t xml:space="preserve"> الابتدائية</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 xml:space="preserve">تمثل الدرجة الأولى للتقاضي وصاحبة الولاية العامة في معظم المنازعات. تتكون </w:t>
      </w:r>
      <w:proofErr w:type="spellStart"/>
      <w:r w:rsidRPr="009A0AF9">
        <w:rPr>
          <w:rFonts w:ascii="Sakkal Majalla" w:eastAsia="Times New Roman" w:hAnsi="Sakkal Majalla" w:cs="Sakkal Majalla"/>
          <w:sz w:val="28"/>
          <w:szCs w:val="28"/>
          <w:rtl/>
          <w:lang w:eastAsia="fr-FR"/>
        </w:rPr>
        <w:t>هيكليتها</w:t>
      </w:r>
      <w:proofErr w:type="spellEnd"/>
      <w:r w:rsidRPr="009A0AF9">
        <w:rPr>
          <w:rFonts w:ascii="Sakkal Majalla" w:eastAsia="Times New Roman" w:hAnsi="Sakkal Majalla" w:cs="Sakkal Majalla"/>
          <w:sz w:val="28"/>
          <w:szCs w:val="28"/>
          <w:rtl/>
          <w:lang w:eastAsia="fr-FR"/>
        </w:rPr>
        <w:t xml:space="preserve"> من عشرة أقسام تخصصية (المدني، الجنح، المخالفات، </w:t>
      </w:r>
      <w:proofErr w:type="spellStart"/>
      <w:r w:rsidRPr="009A0AF9">
        <w:rPr>
          <w:rFonts w:ascii="Sakkal Majalla" w:eastAsia="Times New Roman" w:hAnsi="Sakkal Majalla" w:cs="Sakkal Majalla"/>
          <w:sz w:val="28"/>
          <w:szCs w:val="28"/>
          <w:rtl/>
          <w:lang w:eastAsia="fr-FR"/>
        </w:rPr>
        <w:t>الاستعجالي</w:t>
      </w:r>
      <w:proofErr w:type="spellEnd"/>
      <w:r w:rsidRPr="009A0AF9">
        <w:rPr>
          <w:rFonts w:ascii="Sakkal Majalla" w:eastAsia="Times New Roman" w:hAnsi="Sakkal Majalla" w:cs="Sakkal Majalla"/>
          <w:sz w:val="28"/>
          <w:szCs w:val="28"/>
          <w:rtl/>
          <w:lang w:eastAsia="fr-FR"/>
        </w:rPr>
        <w:t xml:space="preserve">، شؤون الأسرة، الأحداث، الاجتماعي، العقاري، البحري، والقسم التجاري). </w:t>
      </w:r>
      <w:proofErr w:type="gramStart"/>
      <w:r w:rsidRPr="009A0AF9">
        <w:rPr>
          <w:rFonts w:ascii="Sakkal Majalla" w:eastAsia="Times New Roman" w:hAnsi="Sakkal Majalla" w:cs="Sakkal Majalla"/>
          <w:sz w:val="28"/>
          <w:szCs w:val="28"/>
          <w:rtl/>
          <w:lang w:eastAsia="fr-FR"/>
        </w:rPr>
        <w:t>وتتجلى</w:t>
      </w:r>
      <w:proofErr w:type="gramEnd"/>
      <w:r w:rsidRPr="009A0AF9">
        <w:rPr>
          <w:rFonts w:ascii="Sakkal Majalla" w:eastAsia="Times New Roman" w:hAnsi="Sakkal Majalla" w:cs="Sakkal Majalla"/>
          <w:sz w:val="28"/>
          <w:szCs w:val="28"/>
          <w:rtl/>
          <w:lang w:eastAsia="fr-FR"/>
        </w:rPr>
        <w:t xml:space="preserve"> مرونة الهندسة القضائية هنا في سلطة رئيس المحكمة في </w:t>
      </w:r>
      <w:r w:rsidRPr="009A0AF9">
        <w:rPr>
          <w:rFonts w:ascii="Sakkal Majalla" w:eastAsia="Times New Roman" w:hAnsi="Sakkal Majalla" w:cs="Sakkal Majalla"/>
          <w:sz w:val="28"/>
          <w:szCs w:val="28"/>
          <w:rtl/>
          <w:lang w:eastAsia="fr-FR"/>
        </w:rPr>
        <w:lastRenderedPageBreak/>
        <w:t>تقليص أو تقسيم هذه الأقسام بناءً على حجم النشاط القضائي الفعلي، مع الالتزام بمبدأ "القاضي الفرد" كأصل عام (المادتان 14 و15 من القانون 05-11</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2"/>
        </w:num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b/>
          <w:bCs/>
          <w:sz w:val="28"/>
          <w:szCs w:val="28"/>
          <w:rtl/>
          <w:lang w:eastAsia="fr-FR"/>
        </w:rPr>
        <w:t>المجالس</w:t>
      </w:r>
      <w:proofErr w:type="gramEnd"/>
      <w:r w:rsidRPr="009A0AF9">
        <w:rPr>
          <w:rFonts w:ascii="Sakkal Majalla" w:eastAsia="Times New Roman" w:hAnsi="Sakkal Majalla" w:cs="Sakkal Majalla"/>
          <w:b/>
          <w:bCs/>
          <w:sz w:val="28"/>
          <w:szCs w:val="28"/>
          <w:rtl/>
          <w:lang w:eastAsia="fr-FR"/>
        </w:rPr>
        <w:t xml:space="preserve"> القضائية</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 xml:space="preserve">هي جهات الاستئناف (الدرجة الثانية) وتتواجد على مستوى كل ولاية. يكمن دورها الاستراتيجي في إعادة فحص النزاع من حيث "الوقائع والقانون" عبر غرف تخصصية تقابل أقسام المحاكم. </w:t>
      </w:r>
      <w:proofErr w:type="gramStart"/>
      <w:r w:rsidRPr="009A0AF9">
        <w:rPr>
          <w:rFonts w:ascii="Sakkal Majalla" w:eastAsia="Times New Roman" w:hAnsi="Sakkal Majalla" w:cs="Sakkal Majalla"/>
          <w:sz w:val="28"/>
          <w:szCs w:val="28"/>
          <w:rtl/>
          <w:lang w:eastAsia="fr-FR"/>
        </w:rPr>
        <w:t>ويتم</w:t>
      </w:r>
      <w:proofErr w:type="gramEnd"/>
      <w:r w:rsidRPr="009A0AF9">
        <w:rPr>
          <w:rFonts w:ascii="Sakkal Majalla" w:eastAsia="Times New Roman" w:hAnsi="Sakkal Majalla" w:cs="Sakkal Majalla"/>
          <w:sz w:val="28"/>
          <w:szCs w:val="28"/>
          <w:rtl/>
          <w:lang w:eastAsia="fr-FR"/>
        </w:rPr>
        <w:t xml:space="preserve"> توزيع القضاة عليها في بداية كل سنة قضائية بقرار من رئيس المجلس بعد استطلاع رأي النائب العام</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2"/>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b/>
          <w:bCs/>
          <w:sz w:val="28"/>
          <w:szCs w:val="28"/>
          <w:rtl/>
          <w:lang w:eastAsia="fr-FR"/>
        </w:rPr>
        <w:t>المحكمة العليا</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 xml:space="preserve">تتربع على قمة الهرم القضائي بصفتها "محكمة قانون" وليست محكمة موضوع. </w:t>
      </w:r>
      <w:proofErr w:type="gramStart"/>
      <w:r w:rsidRPr="009A0AF9">
        <w:rPr>
          <w:rFonts w:ascii="Sakkal Majalla" w:eastAsia="Times New Roman" w:hAnsi="Sakkal Majalla" w:cs="Sakkal Majalla"/>
          <w:sz w:val="28"/>
          <w:szCs w:val="28"/>
          <w:rtl/>
          <w:lang w:eastAsia="fr-FR"/>
        </w:rPr>
        <w:t>مهمتها</w:t>
      </w:r>
      <w:proofErr w:type="gramEnd"/>
      <w:r w:rsidRPr="009A0AF9">
        <w:rPr>
          <w:rFonts w:ascii="Sakkal Majalla" w:eastAsia="Times New Roman" w:hAnsi="Sakkal Majalla" w:cs="Sakkal Majalla"/>
          <w:sz w:val="28"/>
          <w:szCs w:val="28"/>
          <w:rtl/>
          <w:lang w:eastAsia="fr-FR"/>
        </w:rPr>
        <w:t xml:space="preserve"> المحورية هي "تقويم" أعمال المحاكم والمجالس وتوحيد الاجتهاد القضائي عبر غرفها الثمانية: (1. </w:t>
      </w:r>
      <w:proofErr w:type="gramStart"/>
      <w:r w:rsidRPr="009A0AF9">
        <w:rPr>
          <w:rFonts w:ascii="Sakkal Majalla" w:eastAsia="Times New Roman" w:hAnsi="Sakkal Majalla" w:cs="Sakkal Majalla"/>
          <w:sz w:val="28"/>
          <w:szCs w:val="28"/>
          <w:rtl/>
          <w:lang w:eastAsia="fr-FR"/>
        </w:rPr>
        <w:t>المدنية</w:t>
      </w:r>
      <w:proofErr w:type="gramEnd"/>
      <w:r w:rsidRPr="009A0AF9">
        <w:rPr>
          <w:rFonts w:ascii="Sakkal Majalla" w:eastAsia="Times New Roman" w:hAnsi="Sakkal Majalla" w:cs="Sakkal Majalla"/>
          <w:sz w:val="28"/>
          <w:szCs w:val="28"/>
          <w:rtl/>
          <w:lang w:eastAsia="fr-FR"/>
        </w:rPr>
        <w:t xml:space="preserve">، 2. </w:t>
      </w:r>
      <w:proofErr w:type="gramStart"/>
      <w:r w:rsidRPr="009A0AF9">
        <w:rPr>
          <w:rFonts w:ascii="Sakkal Majalla" w:eastAsia="Times New Roman" w:hAnsi="Sakkal Majalla" w:cs="Sakkal Majalla"/>
          <w:sz w:val="28"/>
          <w:szCs w:val="28"/>
          <w:rtl/>
          <w:lang w:eastAsia="fr-FR"/>
        </w:rPr>
        <w:t>العقارية</w:t>
      </w:r>
      <w:proofErr w:type="gramEnd"/>
      <w:r w:rsidRPr="009A0AF9">
        <w:rPr>
          <w:rFonts w:ascii="Sakkal Majalla" w:eastAsia="Times New Roman" w:hAnsi="Sakkal Majalla" w:cs="Sakkal Majalla"/>
          <w:sz w:val="28"/>
          <w:szCs w:val="28"/>
          <w:rtl/>
          <w:lang w:eastAsia="fr-FR"/>
        </w:rPr>
        <w:t xml:space="preserve">، 3. غرفة الأحوال الشخصية والمواريث، 4. </w:t>
      </w:r>
      <w:proofErr w:type="gramStart"/>
      <w:r w:rsidRPr="009A0AF9">
        <w:rPr>
          <w:rFonts w:ascii="Sakkal Majalla" w:eastAsia="Times New Roman" w:hAnsi="Sakkal Majalla" w:cs="Sakkal Majalla"/>
          <w:sz w:val="28"/>
          <w:szCs w:val="28"/>
          <w:rtl/>
          <w:lang w:eastAsia="fr-FR"/>
        </w:rPr>
        <w:t>التجارية</w:t>
      </w:r>
      <w:proofErr w:type="gramEnd"/>
      <w:r w:rsidRPr="009A0AF9">
        <w:rPr>
          <w:rFonts w:ascii="Sakkal Majalla" w:eastAsia="Times New Roman" w:hAnsi="Sakkal Majalla" w:cs="Sakkal Majalla"/>
          <w:sz w:val="28"/>
          <w:szCs w:val="28"/>
          <w:rtl/>
          <w:lang w:eastAsia="fr-FR"/>
        </w:rPr>
        <w:t xml:space="preserve"> والبحرية، 5. </w:t>
      </w:r>
      <w:proofErr w:type="gramStart"/>
      <w:r w:rsidRPr="009A0AF9">
        <w:rPr>
          <w:rFonts w:ascii="Sakkal Majalla" w:eastAsia="Times New Roman" w:hAnsi="Sakkal Majalla" w:cs="Sakkal Majalla"/>
          <w:sz w:val="28"/>
          <w:szCs w:val="28"/>
          <w:rtl/>
          <w:lang w:eastAsia="fr-FR"/>
        </w:rPr>
        <w:t>الاجتماعية</w:t>
      </w:r>
      <w:proofErr w:type="gramEnd"/>
      <w:r w:rsidRPr="009A0AF9">
        <w:rPr>
          <w:rFonts w:ascii="Sakkal Majalla" w:eastAsia="Times New Roman" w:hAnsi="Sakkal Majalla" w:cs="Sakkal Majalla"/>
          <w:sz w:val="28"/>
          <w:szCs w:val="28"/>
          <w:rtl/>
          <w:lang w:eastAsia="fr-FR"/>
        </w:rPr>
        <w:t xml:space="preserve">، 6. </w:t>
      </w:r>
      <w:proofErr w:type="gramStart"/>
      <w:r w:rsidRPr="009A0AF9">
        <w:rPr>
          <w:rFonts w:ascii="Sakkal Majalla" w:eastAsia="Times New Roman" w:hAnsi="Sakkal Majalla" w:cs="Sakkal Majalla"/>
          <w:sz w:val="28"/>
          <w:szCs w:val="28"/>
          <w:rtl/>
          <w:lang w:eastAsia="fr-FR"/>
        </w:rPr>
        <w:t>الجنائية</w:t>
      </w:r>
      <w:proofErr w:type="gramEnd"/>
      <w:r w:rsidRPr="009A0AF9">
        <w:rPr>
          <w:rFonts w:ascii="Sakkal Majalla" w:eastAsia="Times New Roman" w:hAnsi="Sakkal Majalla" w:cs="Sakkal Majalla"/>
          <w:sz w:val="28"/>
          <w:szCs w:val="28"/>
          <w:rtl/>
          <w:lang w:eastAsia="fr-FR"/>
        </w:rPr>
        <w:t>، 7. غرفة الجنح والمخالفات، 8. غرفة العرائض</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outlineLvl w:val="2"/>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rtl/>
          <w:lang w:eastAsia="fr-FR"/>
        </w:rPr>
        <w:t>مقارنة المستويات القضائية في القضاء العادي</w:t>
      </w:r>
      <w:r w:rsidRPr="009A0AF9">
        <w:rPr>
          <w:rFonts w:ascii="Sakkal Majalla" w:eastAsia="Times New Roman" w:hAnsi="Sakkal Majalla" w:cs="Sakkal Majalla"/>
          <w:b/>
          <w:bCs/>
          <w:sz w:val="28"/>
          <w:szCs w:val="28"/>
          <w:lang w:eastAsia="fr-FR"/>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9"/>
        <w:gridCol w:w="2013"/>
        <w:gridCol w:w="2241"/>
        <w:gridCol w:w="3449"/>
      </w:tblGrid>
      <w:tr w:rsidR="009A0AF9" w:rsidRPr="009A0AF9" w:rsidTr="009A0AF9">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sz w:val="28"/>
                <w:szCs w:val="28"/>
                <w:rtl/>
                <w:lang w:eastAsia="fr-FR"/>
              </w:rPr>
              <w:t>المستوى</w:t>
            </w:r>
            <w:proofErr w:type="gramEnd"/>
            <w:r w:rsidRPr="009A0AF9">
              <w:rPr>
                <w:rFonts w:ascii="Sakkal Majalla" w:eastAsia="Times New Roman" w:hAnsi="Sakkal Majalla" w:cs="Sakkal Majalla"/>
                <w:sz w:val="28"/>
                <w:szCs w:val="28"/>
                <w:rtl/>
                <w:lang w:eastAsia="fr-FR"/>
              </w:rPr>
              <w:t xml:space="preserve"> القضائي</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النطاق الاختصاصي</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جهاز النيابة العامة</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التشكيلة البشرية والدور القانوني</w:t>
            </w:r>
          </w:p>
        </w:tc>
      </w:tr>
      <w:tr w:rsidR="009A0AF9" w:rsidRPr="009A0AF9" w:rsidTr="009A0AF9">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b/>
                <w:bCs/>
                <w:sz w:val="28"/>
                <w:szCs w:val="28"/>
                <w:rtl/>
                <w:lang w:eastAsia="fr-FR"/>
              </w:rPr>
              <w:t>المحاكم</w:t>
            </w:r>
            <w:proofErr w:type="gramEnd"/>
            <w:r w:rsidRPr="009A0AF9">
              <w:rPr>
                <w:rFonts w:ascii="Sakkal Majalla" w:eastAsia="Times New Roman" w:hAnsi="Sakkal Majalla" w:cs="Sakkal Majalla"/>
                <w:b/>
                <w:bCs/>
                <w:sz w:val="28"/>
                <w:szCs w:val="28"/>
                <w:rtl/>
                <w:lang w:eastAsia="fr-FR"/>
              </w:rPr>
              <w:t xml:space="preserve"> الابتدائية</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الفصل الابتدائي في النزاعات</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وكيل الجمهورية</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sz w:val="28"/>
                <w:szCs w:val="28"/>
                <w:rtl/>
                <w:lang w:eastAsia="fr-FR"/>
              </w:rPr>
              <w:t>قاضي</w:t>
            </w:r>
            <w:proofErr w:type="gramEnd"/>
            <w:r w:rsidRPr="009A0AF9">
              <w:rPr>
                <w:rFonts w:ascii="Sakkal Majalla" w:eastAsia="Times New Roman" w:hAnsi="Sakkal Majalla" w:cs="Sakkal Majalla"/>
                <w:sz w:val="28"/>
                <w:szCs w:val="28"/>
                <w:rtl/>
                <w:lang w:eastAsia="fr-FR"/>
              </w:rPr>
              <w:t xml:space="preserve"> فرد (غالباً)؛ تمثل القاعدة القاعدية للهرم</w:t>
            </w:r>
            <w:r w:rsidRPr="009A0AF9">
              <w:rPr>
                <w:rFonts w:ascii="Sakkal Majalla" w:eastAsia="Times New Roman" w:hAnsi="Sakkal Majalla" w:cs="Sakkal Majalla"/>
                <w:sz w:val="28"/>
                <w:szCs w:val="28"/>
                <w:lang w:eastAsia="fr-FR"/>
              </w:rPr>
              <w:t>.</w:t>
            </w:r>
          </w:p>
        </w:tc>
      </w:tr>
      <w:tr w:rsidR="009A0AF9" w:rsidRPr="009A0AF9" w:rsidTr="009A0AF9">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b/>
                <w:bCs/>
                <w:sz w:val="28"/>
                <w:szCs w:val="28"/>
                <w:rtl/>
                <w:lang w:eastAsia="fr-FR"/>
              </w:rPr>
              <w:t>المجالس</w:t>
            </w:r>
            <w:proofErr w:type="gramEnd"/>
            <w:r w:rsidRPr="009A0AF9">
              <w:rPr>
                <w:rFonts w:ascii="Sakkal Majalla" w:eastAsia="Times New Roman" w:hAnsi="Sakkal Majalla" w:cs="Sakkal Majalla"/>
                <w:b/>
                <w:bCs/>
                <w:sz w:val="28"/>
                <w:szCs w:val="28"/>
                <w:rtl/>
                <w:lang w:eastAsia="fr-FR"/>
              </w:rPr>
              <w:t xml:space="preserve"> القضائية</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مراجعة الأحكام (استئناف</w:t>
            </w:r>
            <w:r w:rsidRPr="009A0AF9">
              <w:rPr>
                <w:rFonts w:ascii="Sakkal Majalla" w:eastAsia="Times New Roman" w:hAnsi="Sakkal Majalla" w:cs="Sakkal Majalla"/>
                <w:sz w:val="28"/>
                <w:szCs w:val="28"/>
                <w:lang w:eastAsia="fr-F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النائب العام</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تشكيلة جماعية؛ تراجع النزاع "وقائع وقانون</w:t>
            </w:r>
            <w:r w:rsidRPr="009A0AF9">
              <w:rPr>
                <w:rFonts w:ascii="Sakkal Majalla" w:eastAsia="Times New Roman" w:hAnsi="Sakkal Majalla" w:cs="Sakkal Majalla"/>
                <w:sz w:val="28"/>
                <w:szCs w:val="28"/>
                <w:lang w:eastAsia="fr-FR"/>
              </w:rPr>
              <w:t>".</w:t>
            </w:r>
          </w:p>
        </w:tc>
      </w:tr>
      <w:tr w:rsidR="009A0AF9" w:rsidRPr="009A0AF9" w:rsidTr="009A0AF9">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b/>
                <w:bCs/>
                <w:sz w:val="28"/>
                <w:szCs w:val="28"/>
                <w:rtl/>
                <w:lang w:eastAsia="fr-FR"/>
              </w:rPr>
              <w:t>المحكمة العليا</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sz w:val="28"/>
                <w:szCs w:val="28"/>
                <w:rtl/>
                <w:lang w:eastAsia="fr-FR"/>
              </w:rPr>
              <w:t>الرقابة</w:t>
            </w:r>
            <w:proofErr w:type="gramEnd"/>
            <w:r w:rsidRPr="009A0AF9">
              <w:rPr>
                <w:rFonts w:ascii="Sakkal Majalla" w:eastAsia="Times New Roman" w:hAnsi="Sakkal Majalla" w:cs="Sakkal Majalla"/>
                <w:sz w:val="28"/>
                <w:szCs w:val="28"/>
                <w:rtl/>
                <w:lang w:eastAsia="fr-FR"/>
              </w:rPr>
              <w:t xml:space="preserve"> القانونية (النقض</w:t>
            </w:r>
            <w:r w:rsidRPr="009A0AF9">
              <w:rPr>
                <w:rFonts w:ascii="Sakkal Majalla" w:eastAsia="Times New Roman" w:hAnsi="Sakkal Majalla" w:cs="Sakkal Majalla"/>
                <w:sz w:val="28"/>
                <w:szCs w:val="28"/>
                <w:lang w:eastAsia="fr-F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النائب العام لدى المحكمة العليا</w:t>
            </w:r>
          </w:p>
        </w:tc>
        <w:tc>
          <w:tcPr>
            <w:tcW w:w="0" w:type="auto"/>
            <w:tcBorders>
              <w:top w:val="outset" w:sz="6" w:space="0" w:color="auto"/>
              <w:left w:val="outset" w:sz="6" w:space="0" w:color="auto"/>
              <w:bottom w:val="outset" w:sz="6" w:space="0" w:color="auto"/>
              <w:right w:val="outset" w:sz="6" w:space="0" w:color="auto"/>
            </w:tcBorders>
            <w:vAlign w:val="center"/>
            <w:hideMark/>
          </w:tcPr>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تشكيلة ثلاثية أو مختلطة؛ توحيد الاجتهاد القضائي</w:t>
            </w:r>
            <w:r w:rsidRPr="009A0AF9">
              <w:rPr>
                <w:rFonts w:ascii="Sakkal Majalla" w:eastAsia="Times New Roman" w:hAnsi="Sakkal Majalla" w:cs="Sakkal Majalla"/>
                <w:sz w:val="28"/>
                <w:szCs w:val="28"/>
                <w:lang w:eastAsia="fr-FR"/>
              </w:rPr>
              <w:t>.</w:t>
            </w:r>
          </w:p>
        </w:tc>
      </w:tr>
    </w:tbl>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sz w:val="28"/>
          <w:szCs w:val="28"/>
          <w:rtl/>
          <w:lang w:eastAsia="fr-FR"/>
        </w:rPr>
        <w:t>إن</w:t>
      </w:r>
      <w:proofErr w:type="gramEnd"/>
      <w:r w:rsidRPr="009A0AF9">
        <w:rPr>
          <w:rFonts w:ascii="Sakkal Majalla" w:eastAsia="Times New Roman" w:hAnsi="Sakkal Majalla" w:cs="Sakkal Majalla"/>
          <w:sz w:val="28"/>
          <w:szCs w:val="28"/>
          <w:rtl/>
          <w:lang w:eastAsia="fr-FR"/>
        </w:rPr>
        <w:t xml:space="preserve"> هذا الانضباط الهرمي في القضاء العادي استوجب وجود نظام موازٍ مستقل للفصل في المنازعات التي تكون الإدارة طرفاً فيها، وهو ما يعرف بنظام الازدواجية القضائية</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lang w:eastAsia="fr-FR"/>
        </w:rPr>
        <w:t xml:space="preserve">-------------------------------------------------------------------------------- </w:t>
      </w:r>
    </w:p>
    <w:p w:rsidR="009A0AF9" w:rsidRPr="009A0AF9" w:rsidRDefault="009A0AF9" w:rsidP="009A0AF9">
      <w:pPr>
        <w:bidi/>
        <w:spacing w:before="100" w:beforeAutospacing="1" w:after="100" w:afterAutospacing="1" w:line="240" w:lineRule="auto"/>
        <w:jc w:val="both"/>
        <w:outlineLvl w:val="1"/>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lang w:eastAsia="fr-FR"/>
        </w:rPr>
        <w:t xml:space="preserve">3. </w:t>
      </w:r>
      <w:r w:rsidRPr="009A0AF9">
        <w:rPr>
          <w:rFonts w:ascii="Sakkal Majalla" w:eastAsia="Times New Roman" w:hAnsi="Sakkal Majalla" w:cs="Sakkal Majalla"/>
          <w:b/>
          <w:bCs/>
          <w:sz w:val="28"/>
          <w:szCs w:val="28"/>
          <w:rtl/>
          <w:lang w:eastAsia="fr-FR"/>
        </w:rPr>
        <w:t xml:space="preserve">نظام الازدواجية </w:t>
      </w:r>
      <w:proofErr w:type="gramStart"/>
      <w:r w:rsidRPr="009A0AF9">
        <w:rPr>
          <w:rFonts w:ascii="Sakkal Majalla" w:eastAsia="Times New Roman" w:hAnsi="Sakkal Majalla" w:cs="Sakkal Majalla"/>
          <w:b/>
          <w:bCs/>
          <w:sz w:val="28"/>
          <w:szCs w:val="28"/>
          <w:rtl/>
          <w:lang w:eastAsia="fr-FR"/>
        </w:rPr>
        <w:t>القضائية:</w:t>
      </w:r>
      <w:proofErr w:type="gramEnd"/>
      <w:r w:rsidRPr="009A0AF9">
        <w:rPr>
          <w:rFonts w:ascii="Sakkal Majalla" w:eastAsia="Times New Roman" w:hAnsi="Sakkal Majalla" w:cs="Sakkal Majalla"/>
          <w:b/>
          <w:bCs/>
          <w:sz w:val="28"/>
          <w:szCs w:val="28"/>
          <w:rtl/>
          <w:lang w:eastAsia="fr-FR"/>
        </w:rPr>
        <w:t xml:space="preserve"> استقلالية القضاء الإداري</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sz w:val="28"/>
          <w:szCs w:val="28"/>
          <w:rtl/>
          <w:lang w:eastAsia="fr-FR"/>
        </w:rPr>
        <w:t>يعد</w:t>
      </w:r>
      <w:proofErr w:type="gramEnd"/>
      <w:r w:rsidRPr="009A0AF9">
        <w:rPr>
          <w:rFonts w:ascii="Sakkal Majalla" w:eastAsia="Times New Roman" w:hAnsi="Sakkal Majalla" w:cs="Sakkal Majalla"/>
          <w:sz w:val="28"/>
          <w:szCs w:val="28"/>
          <w:rtl/>
          <w:lang w:eastAsia="fr-FR"/>
        </w:rPr>
        <w:t xml:space="preserve"> تبني الجزائر لنظام الازدواجية القضائية في دستور 1996 تحولاً جذرياً نحو النموذج المعاصر الذي يفصل بين المنازعة العادية والمنازعة الإدارية، استجابة للمتطلبات السياسية والاقتصادية التي تفرض حماية خاصة للمتقاضي أمام سلطة الإدارة</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lang w:eastAsia="fr-FR"/>
        </w:rPr>
        <w:t>"</w:t>
      </w:r>
      <w:r w:rsidRPr="009A0AF9">
        <w:rPr>
          <w:rFonts w:ascii="Sakkal Majalla" w:eastAsia="Times New Roman" w:hAnsi="Sakkal Majalla" w:cs="Sakkal Majalla"/>
          <w:sz w:val="28"/>
          <w:szCs w:val="28"/>
          <w:rtl/>
          <w:lang w:eastAsia="fr-FR"/>
        </w:rPr>
        <w:t>تعتبر المادة 152 من دستور 1996 بمثابة شهادة ميلاد نظام قضائي إداري مستقل في الجزائر، حيث نصت على إحداث مجلس دولة كجهة مقومة لأعمال الجهات القضائية الإدارية</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outlineLvl w:val="2"/>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rtl/>
          <w:lang w:eastAsia="fr-FR"/>
        </w:rPr>
        <w:t>التحليل المؤسساتي للقضاء الإداري</w:t>
      </w:r>
      <w:r w:rsidRPr="009A0AF9">
        <w:rPr>
          <w:rFonts w:ascii="Sakkal Majalla" w:eastAsia="Times New Roman" w:hAnsi="Sakkal Majalla" w:cs="Sakkal Majalla"/>
          <w:b/>
          <w:bCs/>
          <w:sz w:val="28"/>
          <w:szCs w:val="28"/>
          <w:lang w:eastAsia="fr-FR"/>
        </w:rPr>
        <w:t>:</w:t>
      </w:r>
    </w:p>
    <w:p w:rsidR="009A0AF9" w:rsidRPr="009A0AF9" w:rsidRDefault="009A0AF9" w:rsidP="009A0AF9">
      <w:pPr>
        <w:numPr>
          <w:ilvl w:val="0"/>
          <w:numId w:val="3"/>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b/>
          <w:bCs/>
          <w:sz w:val="28"/>
          <w:szCs w:val="28"/>
          <w:rtl/>
          <w:lang w:eastAsia="fr-FR"/>
        </w:rPr>
        <w:lastRenderedPageBreak/>
        <w:t>المحاكم الإدارية</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أُنشئت بموجب القانون 98-02، وهي جهات الولاية العامة في المادة الإدارية. يعتمد اختصاصها على "المعيار العضوي" (المادة 800 من قانون الإجراءات المدنية والإدارية)، حيث تنظر في النزاعات التي تكون الدولة، الولاية، البلدية، أو المؤسسات العمومية ذات الصبغة الإدارية طرفاً فيها</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lang w:eastAsia="fr-FR"/>
        </w:rPr>
        <w:t>"</w:t>
      </w:r>
      <w:r w:rsidRPr="009A0AF9">
        <w:rPr>
          <w:rFonts w:ascii="Sakkal Majalla" w:eastAsia="Times New Roman" w:hAnsi="Sakkal Majalla" w:cs="Sakkal Majalla"/>
          <w:sz w:val="28"/>
          <w:szCs w:val="28"/>
          <w:rtl/>
          <w:lang w:eastAsia="fr-FR"/>
        </w:rPr>
        <w:t>يختص القضاء الإداري بموجب المادة 801 من قانون الإجراءات المدنية والإدارية بالفصل في: دعاوى الإلغاء، الدعاوى التفسيرية، دعاوى فحص المشروعية، ودعاوى القضاء الكامل</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4"/>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b/>
          <w:bCs/>
          <w:sz w:val="28"/>
          <w:szCs w:val="28"/>
          <w:rtl/>
          <w:lang w:eastAsia="fr-FR"/>
        </w:rPr>
        <w:t>مجلس الدولة</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 xml:space="preserve">هو الهيئة القضائية العليا في المادة الإدارية (القانون العضوي 98-01). </w:t>
      </w:r>
      <w:proofErr w:type="gramStart"/>
      <w:r w:rsidRPr="009A0AF9">
        <w:rPr>
          <w:rFonts w:ascii="Sakkal Majalla" w:eastAsia="Times New Roman" w:hAnsi="Sakkal Majalla" w:cs="Sakkal Majalla"/>
          <w:sz w:val="28"/>
          <w:szCs w:val="28"/>
          <w:rtl/>
          <w:lang w:eastAsia="fr-FR"/>
        </w:rPr>
        <w:t>وتتميز</w:t>
      </w:r>
      <w:proofErr w:type="gramEnd"/>
      <w:r w:rsidRPr="009A0AF9">
        <w:rPr>
          <w:rFonts w:ascii="Sakkal Majalla" w:eastAsia="Times New Roman" w:hAnsi="Sakkal Majalla" w:cs="Sakkal Majalla"/>
          <w:sz w:val="28"/>
          <w:szCs w:val="28"/>
          <w:rtl/>
          <w:lang w:eastAsia="fr-FR"/>
        </w:rPr>
        <w:t xml:space="preserve"> الخصوصية الجزائرية بأن مجلس الدولة "تابع للسلطة القضائية" وليس التنفيذية، مما يضمن حياده التام. </w:t>
      </w:r>
      <w:proofErr w:type="gramStart"/>
      <w:r w:rsidRPr="009A0AF9">
        <w:rPr>
          <w:rFonts w:ascii="Sakkal Majalla" w:eastAsia="Times New Roman" w:hAnsi="Sakkal Majalla" w:cs="Sakkal Majalla"/>
          <w:sz w:val="28"/>
          <w:szCs w:val="28"/>
          <w:rtl/>
          <w:lang w:eastAsia="fr-FR"/>
        </w:rPr>
        <w:t>يمارس</w:t>
      </w:r>
      <w:proofErr w:type="gramEnd"/>
      <w:r w:rsidRPr="009A0AF9">
        <w:rPr>
          <w:rFonts w:ascii="Sakkal Majalla" w:eastAsia="Times New Roman" w:hAnsi="Sakkal Majalla" w:cs="Sakkal Majalla"/>
          <w:sz w:val="28"/>
          <w:szCs w:val="28"/>
          <w:rtl/>
          <w:lang w:eastAsia="fr-FR"/>
        </w:rPr>
        <w:t xml:space="preserve"> المجلس دوراً قضائياً في توحيد الاجتهاد الإداري، ودوراً استشارياً حاسماً بموجب المادتين 142 و143 من تعديل 2020، حيث يبدي رأيه في مشاريع القوانين والأوامر قبل عرضها على مجلس الوزراء</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 xml:space="preserve">إن استقلالية هذين النظامين (العادي والإداري) قد تؤدي حتماً إلى تداخل في الصلاحيات، مما تطلب وجود </w:t>
      </w:r>
      <w:proofErr w:type="spellStart"/>
      <w:r w:rsidRPr="009A0AF9">
        <w:rPr>
          <w:rFonts w:ascii="Sakkal Majalla" w:eastAsia="Times New Roman" w:hAnsi="Sakkal Majalla" w:cs="Sakkal Majalla"/>
          <w:sz w:val="28"/>
          <w:szCs w:val="28"/>
          <w:rtl/>
          <w:lang w:eastAsia="fr-FR"/>
        </w:rPr>
        <w:t>جهار</w:t>
      </w:r>
      <w:proofErr w:type="spellEnd"/>
      <w:r w:rsidRPr="009A0AF9">
        <w:rPr>
          <w:rFonts w:ascii="Sakkal Majalla" w:eastAsia="Times New Roman" w:hAnsi="Sakkal Majalla" w:cs="Sakkal Majalla"/>
          <w:sz w:val="28"/>
          <w:szCs w:val="28"/>
          <w:rtl/>
          <w:lang w:eastAsia="fr-FR"/>
        </w:rPr>
        <w:t xml:space="preserve"> تحكيمي رفيع المستوى</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lang w:eastAsia="fr-FR"/>
        </w:rPr>
        <w:t xml:space="preserve">-------------------------------------------------------------------------------- </w:t>
      </w:r>
    </w:p>
    <w:p w:rsidR="009A0AF9" w:rsidRPr="009A0AF9" w:rsidRDefault="009A0AF9" w:rsidP="009A0AF9">
      <w:pPr>
        <w:bidi/>
        <w:spacing w:before="100" w:beforeAutospacing="1" w:after="100" w:afterAutospacing="1" w:line="240" w:lineRule="auto"/>
        <w:jc w:val="both"/>
        <w:outlineLvl w:val="1"/>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lang w:eastAsia="fr-FR"/>
        </w:rPr>
        <w:t xml:space="preserve">4. </w:t>
      </w:r>
      <w:r w:rsidRPr="009A0AF9">
        <w:rPr>
          <w:rFonts w:ascii="Sakkal Majalla" w:eastAsia="Times New Roman" w:hAnsi="Sakkal Majalla" w:cs="Sakkal Majalla"/>
          <w:b/>
          <w:bCs/>
          <w:sz w:val="28"/>
          <w:szCs w:val="28"/>
          <w:rtl/>
          <w:lang w:eastAsia="fr-FR"/>
        </w:rPr>
        <w:t xml:space="preserve">محكمة </w:t>
      </w:r>
      <w:proofErr w:type="gramStart"/>
      <w:r w:rsidRPr="009A0AF9">
        <w:rPr>
          <w:rFonts w:ascii="Sakkal Majalla" w:eastAsia="Times New Roman" w:hAnsi="Sakkal Majalla" w:cs="Sakkal Majalla"/>
          <w:b/>
          <w:bCs/>
          <w:sz w:val="28"/>
          <w:szCs w:val="28"/>
          <w:rtl/>
          <w:lang w:eastAsia="fr-FR"/>
        </w:rPr>
        <w:t>التنازع:</w:t>
      </w:r>
      <w:proofErr w:type="gramEnd"/>
      <w:r w:rsidRPr="009A0AF9">
        <w:rPr>
          <w:rFonts w:ascii="Sakkal Majalla" w:eastAsia="Times New Roman" w:hAnsi="Sakkal Majalla" w:cs="Sakkal Majalla"/>
          <w:b/>
          <w:bCs/>
          <w:sz w:val="28"/>
          <w:szCs w:val="28"/>
          <w:rtl/>
          <w:lang w:eastAsia="fr-FR"/>
        </w:rPr>
        <w:t xml:space="preserve"> الصمام الأمني لمنع إنكار العدالة</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 xml:space="preserve">تُعد محكمة التنازع الهيئة العليا المكلفة بوظيفة "قضاء التحكيم بين </w:t>
      </w:r>
      <w:proofErr w:type="spellStart"/>
      <w:r w:rsidRPr="009A0AF9">
        <w:rPr>
          <w:rFonts w:ascii="Sakkal Majalla" w:eastAsia="Times New Roman" w:hAnsi="Sakkal Majalla" w:cs="Sakkal Majalla"/>
          <w:sz w:val="28"/>
          <w:szCs w:val="28"/>
          <w:rtl/>
          <w:lang w:eastAsia="fr-FR"/>
        </w:rPr>
        <w:t>قضائين</w:t>
      </w:r>
      <w:proofErr w:type="spellEnd"/>
      <w:r w:rsidRPr="009A0AF9">
        <w:rPr>
          <w:rFonts w:ascii="Sakkal Majalla" w:eastAsia="Times New Roman" w:hAnsi="Sakkal Majalla" w:cs="Sakkal Majalla"/>
          <w:sz w:val="28"/>
          <w:szCs w:val="28"/>
          <w:rtl/>
          <w:lang w:eastAsia="fr-FR"/>
        </w:rPr>
        <w:t>"، وهي تقع خارج الهرم التسلسلي للنظامين العادي والإداري لضمان حيادها التام في حسم تنازع الاختصاص</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outlineLvl w:val="2"/>
        <w:rPr>
          <w:rFonts w:ascii="Sakkal Majalla" w:eastAsia="Times New Roman" w:hAnsi="Sakkal Majalla" w:cs="Sakkal Majalla"/>
          <w:b/>
          <w:bCs/>
          <w:sz w:val="28"/>
          <w:szCs w:val="28"/>
          <w:lang w:eastAsia="fr-FR"/>
        </w:rPr>
      </w:pPr>
      <w:proofErr w:type="gramStart"/>
      <w:r w:rsidRPr="009A0AF9">
        <w:rPr>
          <w:rFonts w:ascii="Sakkal Majalla" w:eastAsia="Times New Roman" w:hAnsi="Sakkal Majalla" w:cs="Sakkal Majalla"/>
          <w:b/>
          <w:bCs/>
          <w:sz w:val="28"/>
          <w:szCs w:val="28"/>
          <w:rtl/>
          <w:lang w:eastAsia="fr-FR"/>
        </w:rPr>
        <w:t>التحليل</w:t>
      </w:r>
      <w:proofErr w:type="gramEnd"/>
      <w:r w:rsidRPr="009A0AF9">
        <w:rPr>
          <w:rFonts w:ascii="Sakkal Majalla" w:eastAsia="Times New Roman" w:hAnsi="Sakkal Majalla" w:cs="Sakkal Majalla"/>
          <w:b/>
          <w:bCs/>
          <w:sz w:val="28"/>
          <w:szCs w:val="28"/>
          <w:rtl/>
          <w:lang w:eastAsia="fr-FR"/>
        </w:rPr>
        <w:t xml:space="preserve"> الإجرائي والتشكيلي</w:t>
      </w:r>
      <w:r w:rsidRPr="009A0AF9">
        <w:rPr>
          <w:rFonts w:ascii="Sakkal Majalla" w:eastAsia="Times New Roman" w:hAnsi="Sakkal Majalla" w:cs="Sakkal Majalla"/>
          <w:b/>
          <w:bCs/>
          <w:sz w:val="28"/>
          <w:szCs w:val="28"/>
          <w:lang w:eastAsia="fr-FR"/>
        </w:rPr>
        <w:t>:</w:t>
      </w:r>
    </w:p>
    <w:p w:rsidR="009A0AF9" w:rsidRPr="009A0AF9" w:rsidRDefault="009A0AF9" w:rsidP="009A0AF9">
      <w:pPr>
        <w:numPr>
          <w:ilvl w:val="0"/>
          <w:numId w:val="5"/>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b/>
          <w:bCs/>
          <w:sz w:val="28"/>
          <w:szCs w:val="28"/>
          <w:rtl/>
          <w:lang w:eastAsia="fr-FR"/>
        </w:rPr>
        <w:t>التشكيلة والتبعية</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تتشكل المحكمة من 7 قضاة يعينون لمدة 3 سنوات باقتراح من وزير العدل (وفق القانون العضوي 98-03). ويضم تشكيلها أيضاً "</w:t>
      </w:r>
      <w:proofErr w:type="gramStart"/>
      <w:r w:rsidRPr="009A0AF9">
        <w:rPr>
          <w:rFonts w:ascii="Sakkal Majalla" w:eastAsia="Times New Roman" w:hAnsi="Sakkal Majalla" w:cs="Sakkal Majalla"/>
          <w:sz w:val="28"/>
          <w:szCs w:val="28"/>
          <w:rtl/>
          <w:lang w:eastAsia="fr-FR"/>
        </w:rPr>
        <w:t>محافظ</w:t>
      </w:r>
      <w:proofErr w:type="gramEnd"/>
      <w:r w:rsidRPr="009A0AF9">
        <w:rPr>
          <w:rFonts w:ascii="Sakkal Majalla" w:eastAsia="Times New Roman" w:hAnsi="Sakkal Majalla" w:cs="Sakkal Majalla"/>
          <w:sz w:val="28"/>
          <w:szCs w:val="28"/>
          <w:rtl/>
          <w:lang w:eastAsia="fr-FR"/>
        </w:rPr>
        <w:t xml:space="preserve"> دولة" و"محافظ دولة مساعد" لتمثيل المصلحة العامة. وتكريساً للتوازن، يرأس المحكمة قاضٍ يتم تعيينه "بالتناوب" بين قضاة المحكمة العليا ومجلس الدولة</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5"/>
        </w:num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b/>
          <w:bCs/>
          <w:sz w:val="28"/>
          <w:szCs w:val="28"/>
          <w:rtl/>
          <w:lang w:eastAsia="fr-FR"/>
        </w:rPr>
        <w:t>أنواع</w:t>
      </w:r>
      <w:proofErr w:type="gramEnd"/>
      <w:r w:rsidRPr="009A0AF9">
        <w:rPr>
          <w:rFonts w:ascii="Sakkal Majalla" w:eastAsia="Times New Roman" w:hAnsi="Sakkal Majalla" w:cs="Sakkal Majalla"/>
          <w:b/>
          <w:bCs/>
          <w:sz w:val="28"/>
          <w:szCs w:val="28"/>
          <w:rtl/>
          <w:lang w:eastAsia="fr-FR"/>
        </w:rPr>
        <w:t xml:space="preserve"> التنازع</w:t>
      </w:r>
      <w:r w:rsidRPr="009A0AF9">
        <w:rPr>
          <w:rFonts w:ascii="Sakkal Majalla" w:eastAsia="Times New Roman" w:hAnsi="Sakkal Majalla" w:cs="Sakkal Majalla"/>
          <w:b/>
          <w:bCs/>
          <w:sz w:val="28"/>
          <w:szCs w:val="28"/>
          <w:lang w:eastAsia="fr-FR"/>
        </w:rPr>
        <w:t>:</w:t>
      </w:r>
    </w:p>
    <w:p w:rsidR="009A0AF9" w:rsidRPr="009A0AF9" w:rsidRDefault="009A0AF9" w:rsidP="009A0AF9">
      <w:pPr>
        <w:numPr>
          <w:ilvl w:val="1"/>
          <w:numId w:val="5"/>
        </w:num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b/>
          <w:bCs/>
          <w:sz w:val="28"/>
          <w:szCs w:val="28"/>
          <w:rtl/>
          <w:lang w:eastAsia="fr-FR"/>
        </w:rPr>
        <w:t>التنازع</w:t>
      </w:r>
      <w:proofErr w:type="gramEnd"/>
      <w:r w:rsidRPr="009A0AF9">
        <w:rPr>
          <w:rFonts w:ascii="Sakkal Majalla" w:eastAsia="Times New Roman" w:hAnsi="Sakkal Majalla" w:cs="Sakkal Majalla"/>
          <w:b/>
          <w:bCs/>
          <w:sz w:val="28"/>
          <w:szCs w:val="28"/>
          <w:rtl/>
          <w:lang w:eastAsia="fr-FR"/>
        </w:rPr>
        <w:t xml:space="preserve"> الإيجابي</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عندما تتمسك كلتا الجهتين (العادية والإدارية) باختصاصهما في نفس النزاع</w:t>
      </w:r>
      <w:r w:rsidRPr="009A0AF9">
        <w:rPr>
          <w:rFonts w:ascii="Sakkal Majalla" w:eastAsia="Times New Roman" w:hAnsi="Sakkal Majalla" w:cs="Sakkal Majalla"/>
          <w:sz w:val="28"/>
          <w:szCs w:val="28"/>
          <w:lang w:eastAsia="fr-FR"/>
        </w:rPr>
        <w:t>.</w:t>
      </w:r>
    </w:p>
    <w:p w:rsidR="009A0AF9" w:rsidRPr="009A0AF9" w:rsidRDefault="009A0AF9" w:rsidP="009A0AF9">
      <w:pPr>
        <w:numPr>
          <w:ilvl w:val="1"/>
          <w:numId w:val="5"/>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b/>
          <w:bCs/>
          <w:sz w:val="28"/>
          <w:szCs w:val="28"/>
          <w:rtl/>
          <w:lang w:eastAsia="fr-FR"/>
        </w:rPr>
        <w:t>التنازع السلبي</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عندما ترفض كلتا الجهتين الاختصاص، وهو ما يؤدي إلى "إنكار العدالة</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5"/>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b/>
          <w:bCs/>
          <w:sz w:val="28"/>
          <w:szCs w:val="28"/>
          <w:rtl/>
          <w:lang w:eastAsia="fr-FR"/>
        </w:rPr>
        <w:t>نطاق التدخل</w:t>
      </w:r>
      <w:r w:rsidRPr="009A0AF9">
        <w:rPr>
          <w:rFonts w:ascii="Sakkal Majalla" w:eastAsia="Times New Roman" w:hAnsi="Sakkal Majalla" w:cs="Sakkal Majalla"/>
          <w:b/>
          <w:bCs/>
          <w:sz w:val="28"/>
          <w:szCs w:val="28"/>
          <w:lang w:eastAsia="fr-FR"/>
        </w:rPr>
        <w:t>:</w:t>
      </w:r>
      <w:r w:rsidRPr="009A0AF9">
        <w:rPr>
          <w:rFonts w:ascii="Sakkal Majalla" w:eastAsia="Times New Roman" w:hAnsi="Sakkal Majalla" w:cs="Sakkal Majalla"/>
          <w:sz w:val="28"/>
          <w:szCs w:val="28"/>
          <w:lang w:eastAsia="fr-FR"/>
        </w:rPr>
        <w:t xml:space="preserve"> </w:t>
      </w:r>
      <w:r w:rsidRPr="009A0AF9">
        <w:rPr>
          <w:rFonts w:ascii="Sakkal Majalla" w:eastAsia="Times New Roman" w:hAnsi="Sakkal Majalla" w:cs="Sakkal Majalla"/>
          <w:sz w:val="28"/>
          <w:szCs w:val="28"/>
          <w:rtl/>
          <w:lang w:eastAsia="fr-FR"/>
        </w:rPr>
        <w:t xml:space="preserve">يقتصر اختصاصها على التنازع القائم "بين" النظامين، أما </w:t>
      </w:r>
      <w:proofErr w:type="spellStart"/>
      <w:r w:rsidRPr="009A0AF9">
        <w:rPr>
          <w:rFonts w:ascii="Sakkal Majalla" w:eastAsia="Times New Roman" w:hAnsi="Sakkal Majalla" w:cs="Sakkal Majalla"/>
          <w:sz w:val="28"/>
          <w:szCs w:val="28"/>
          <w:rtl/>
          <w:lang w:eastAsia="fr-FR"/>
        </w:rPr>
        <w:t>التنازعات</w:t>
      </w:r>
      <w:proofErr w:type="spellEnd"/>
      <w:r w:rsidRPr="009A0AF9">
        <w:rPr>
          <w:rFonts w:ascii="Sakkal Majalla" w:eastAsia="Times New Roman" w:hAnsi="Sakkal Majalla" w:cs="Sakkal Majalla"/>
          <w:sz w:val="28"/>
          <w:szCs w:val="28"/>
          <w:rtl/>
          <w:lang w:eastAsia="fr-FR"/>
        </w:rPr>
        <w:t xml:space="preserve"> الداخلية ضمن النظام الواحد فتخضع لقواعد تنازع القضاة الواردة في قانون الإجراءات المدنية والإدارية</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outlineLvl w:val="2"/>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rtl/>
          <w:lang w:eastAsia="fr-FR"/>
        </w:rPr>
        <w:t>الإجراءات القانونية المتبعة أمام المحكمة</w:t>
      </w:r>
      <w:r w:rsidRPr="009A0AF9">
        <w:rPr>
          <w:rFonts w:ascii="Sakkal Majalla" w:eastAsia="Times New Roman" w:hAnsi="Sakkal Majalla" w:cs="Sakkal Majalla"/>
          <w:b/>
          <w:bCs/>
          <w:sz w:val="28"/>
          <w:szCs w:val="28"/>
          <w:lang w:eastAsia="fr-FR"/>
        </w:rPr>
        <w:t>:</w:t>
      </w:r>
    </w:p>
    <w:p w:rsidR="009A0AF9" w:rsidRPr="009A0AF9" w:rsidRDefault="009A0AF9" w:rsidP="009A0AF9">
      <w:pPr>
        <w:numPr>
          <w:ilvl w:val="0"/>
          <w:numId w:val="6"/>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 xml:space="preserve">تقديم طلب الإحالة من الأطراف أو </w:t>
      </w:r>
      <w:proofErr w:type="gramStart"/>
      <w:r w:rsidRPr="009A0AF9">
        <w:rPr>
          <w:rFonts w:ascii="Sakkal Majalla" w:eastAsia="Times New Roman" w:hAnsi="Sakkal Majalla" w:cs="Sakkal Majalla"/>
          <w:sz w:val="28"/>
          <w:szCs w:val="28"/>
          <w:rtl/>
          <w:lang w:eastAsia="fr-FR"/>
        </w:rPr>
        <w:t>الجهات</w:t>
      </w:r>
      <w:proofErr w:type="gramEnd"/>
      <w:r w:rsidRPr="009A0AF9">
        <w:rPr>
          <w:rFonts w:ascii="Sakkal Majalla" w:eastAsia="Times New Roman" w:hAnsi="Sakkal Majalla" w:cs="Sakkal Majalla"/>
          <w:sz w:val="28"/>
          <w:szCs w:val="28"/>
          <w:rtl/>
          <w:lang w:eastAsia="fr-FR"/>
        </w:rPr>
        <w:t xml:space="preserve"> القضائية المعنية بمجرد ظهور التنازع</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6"/>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دراسة المحكمة للمعيار العضوي وطبيعة النزاع لتحديد الجانب "الإداري" من "العادي</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6"/>
        </w:num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sz w:val="28"/>
          <w:szCs w:val="28"/>
          <w:rtl/>
          <w:lang w:eastAsia="fr-FR"/>
        </w:rPr>
        <w:lastRenderedPageBreak/>
        <w:t>صدور</w:t>
      </w:r>
      <w:proofErr w:type="gramEnd"/>
      <w:r w:rsidRPr="009A0AF9">
        <w:rPr>
          <w:rFonts w:ascii="Sakkal Majalla" w:eastAsia="Times New Roman" w:hAnsi="Sakkal Majalla" w:cs="Sakkal Majalla"/>
          <w:sz w:val="28"/>
          <w:szCs w:val="28"/>
          <w:rtl/>
          <w:lang w:eastAsia="fr-FR"/>
        </w:rPr>
        <w:t xml:space="preserve"> قرار نهائي بات وغير قابل لأي شكل من أشكال الطعن، يحدد الجهة القضائية المختصة قانوناً</w:t>
      </w:r>
      <w:r w:rsidRPr="009A0AF9">
        <w:rPr>
          <w:rFonts w:ascii="Sakkal Majalla" w:eastAsia="Times New Roman" w:hAnsi="Sakkal Majalla" w:cs="Sakkal Majalla"/>
          <w:sz w:val="28"/>
          <w:szCs w:val="28"/>
          <w:lang w:eastAsia="fr-FR"/>
        </w:rPr>
        <w:t>.</w:t>
      </w:r>
    </w:p>
    <w:p w:rsidR="009A0AF9" w:rsidRPr="009A0AF9" w:rsidRDefault="009A0AF9" w:rsidP="009A0AF9">
      <w:pPr>
        <w:numPr>
          <w:ilvl w:val="0"/>
          <w:numId w:val="6"/>
        </w:num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 xml:space="preserve">إلزام الجهة المحددة بالفصل في الموضوع، مما يمنع تضارب الأحكام </w:t>
      </w:r>
      <w:proofErr w:type="gramStart"/>
      <w:r w:rsidRPr="009A0AF9">
        <w:rPr>
          <w:rFonts w:ascii="Sakkal Majalla" w:eastAsia="Times New Roman" w:hAnsi="Sakkal Majalla" w:cs="Sakkal Majalla"/>
          <w:sz w:val="28"/>
          <w:szCs w:val="28"/>
          <w:rtl/>
          <w:lang w:eastAsia="fr-FR"/>
        </w:rPr>
        <w:t>ويصون</w:t>
      </w:r>
      <w:proofErr w:type="gramEnd"/>
      <w:r w:rsidRPr="009A0AF9">
        <w:rPr>
          <w:rFonts w:ascii="Sakkal Majalla" w:eastAsia="Times New Roman" w:hAnsi="Sakkal Majalla" w:cs="Sakkal Majalla"/>
          <w:sz w:val="28"/>
          <w:szCs w:val="28"/>
          <w:rtl/>
          <w:lang w:eastAsia="fr-FR"/>
        </w:rPr>
        <w:t xml:space="preserve"> حقوق المتقاضين</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lang w:eastAsia="fr-FR"/>
        </w:rPr>
        <w:t xml:space="preserve">-------------------------------------------------------------------------------- </w:t>
      </w:r>
    </w:p>
    <w:p w:rsidR="009A0AF9" w:rsidRPr="009A0AF9" w:rsidRDefault="009A0AF9" w:rsidP="009A0AF9">
      <w:pPr>
        <w:bidi/>
        <w:spacing w:before="100" w:beforeAutospacing="1" w:after="100" w:afterAutospacing="1" w:line="240" w:lineRule="auto"/>
        <w:jc w:val="both"/>
        <w:outlineLvl w:val="1"/>
        <w:rPr>
          <w:rFonts w:ascii="Sakkal Majalla" w:eastAsia="Times New Roman" w:hAnsi="Sakkal Majalla" w:cs="Sakkal Majalla"/>
          <w:b/>
          <w:bCs/>
          <w:sz w:val="28"/>
          <w:szCs w:val="28"/>
          <w:lang w:eastAsia="fr-FR"/>
        </w:rPr>
      </w:pPr>
      <w:r w:rsidRPr="009A0AF9">
        <w:rPr>
          <w:rFonts w:ascii="Sakkal Majalla" w:eastAsia="Times New Roman" w:hAnsi="Sakkal Majalla" w:cs="Sakkal Majalla"/>
          <w:b/>
          <w:bCs/>
          <w:sz w:val="28"/>
          <w:szCs w:val="28"/>
          <w:lang w:eastAsia="fr-FR"/>
        </w:rPr>
        <w:t xml:space="preserve">5. </w:t>
      </w:r>
      <w:r w:rsidRPr="009A0AF9">
        <w:rPr>
          <w:rFonts w:ascii="Sakkal Majalla" w:eastAsia="Times New Roman" w:hAnsi="Sakkal Majalla" w:cs="Sakkal Majalla"/>
          <w:b/>
          <w:bCs/>
          <w:sz w:val="28"/>
          <w:szCs w:val="28"/>
          <w:rtl/>
          <w:lang w:eastAsia="fr-FR"/>
        </w:rPr>
        <w:t>الاستنتاجات الختامية والآفاق المستقبلية</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9A0AF9">
        <w:rPr>
          <w:rFonts w:ascii="Sakkal Majalla" w:eastAsia="Times New Roman" w:hAnsi="Sakkal Majalla" w:cs="Sakkal Majalla"/>
          <w:sz w:val="28"/>
          <w:szCs w:val="28"/>
          <w:rtl/>
          <w:lang w:eastAsia="fr-FR"/>
        </w:rPr>
        <w:t xml:space="preserve">إن القراءة الفنية لبنية النظام القضائي الجزائري </w:t>
      </w:r>
      <w:proofErr w:type="gramStart"/>
      <w:r w:rsidRPr="009A0AF9">
        <w:rPr>
          <w:rFonts w:ascii="Sakkal Majalla" w:eastAsia="Times New Roman" w:hAnsi="Sakkal Majalla" w:cs="Sakkal Majalla"/>
          <w:sz w:val="28"/>
          <w:szCs w:val="28"/>
          <w:rtl/>
          <w:lang w:eastAsia="fr-FR"/>
        </w:rPr>
        <w:t>تكشف</w:t>
      </w:r>
      <w:proofErr w:type="gramEnd"/>
      <w:r w:rsidRPr="009A0AF9">
        <w:rPr>
          <w:rFonts w:ascii="Sakkal Majalla" w:eastAsia="Times New Roman" w:hAnsi="Sakkal Majalla" w:cs="Sakkal Majalla"/>
          <w:sz w:val="28"/>
          <w:szCs w:val="28"/>
          <w:rtl/>
          <w:lang w:eastAsia="fr-FR"/>
        </w:rPr>
        <w:t xml:space="preserve"> عن هندسة قضائية متكاملة تسعى لتحقيق التوازن بين "التخصص النوعي" و"وحدة السلطة القضائية". إن تبني نظام الازدواجية، مدعوماً بمحكمة تنازع مستقلة، يمثل الضمانة المؤسساتية القصوى لحماية حقوق الأفراد في مواجهة السلطة العامة، مع ضمان عدم ضياع الحقوق بين دهاليز الاختصاص</w:t>
      </w:r>
      <w:r w:rsidRPr="009A0AF9">
        <w:rPr>
          <w:rFonts w:ascii="Sakkal Majalla" w:eastAsia="Times New Roman" w:hAnsi="Sakkal Majalla" w:cs="Sakkal Majalla"/>
          <w:sz w:val="28"/>
          <w:szCs w:val="28"/>
          <w:lang w:eastAsia="fr-FR"/>
        </w:rPr>
        <w:t>.</w:t>
      </w:r>
    </w:p>
    <w:p w:rsidR="009A0AF9" w:rsidRPr="009A0AF9" w:rsidRDefault="009A0AF9" w:rsidP="009A0AF9">
      <w:pPr>
        <w:bidi/>
        <w:spacing w:before="100" w:beforeAutospacing="1" w:after="100" w:afterAutospacing="1" w:line="240" w:lineRule="auto"/>
        <w:jc w:val="both"/>
        <w:rPr>
          <w:rFonts w:ascii="Sakkal Majalla" w:eastAsia="Times New Roman" w:hAnsi="Sakkal Majalla" w:cs="Sakkal Majalla"/>
          <w:sz w:val="28"/>
          <w:szCs w:val="28"/>
          <w:lang w:eastAsia="fr-FR"/>
        </w:rPr>
      </w:pPr>
      <w:proofErr w:type="gramStart"/>
      <w:r w:rsidRPr="009A0AF9">
        <w:rPr>
          <w:rFonts w:ascii="Sakkal Majalla" w:eastAsia="Times New Roman" w:hAnsi="Sakkal Majalla" w:cs="Sakkal Majalla"/>
          <w:sz w:val="28"/>
          <w:szCs w:val="28"/>
          <w:rtl/>
          <w:lang w:eastAsia="fr-FR"/>
        </w:rPr>
        <w:t>ويظهر</w:t>
      </w:r>
      <w:proofErr w:type="gramEnd"/>
      <w:r w:rsidRPr="009A0AF9">
        <w:rPr>
          <w:rFonts w:ascii="Sakkal Majalla" w:eastAsia="Times New Roman" w:hAnsi="Sakkal Majalla" w:cs="Sakkal Majalla"/>
          <w:sz w:val="28"/>
          <w:szCs w:val="28"/>
          <w:rtl/>
          <w:lang w:eastAsia="fr-FR"/>
        </w:rPr>
        <w:t xml:space="preserve"> نضج هذه التجربة في جعل مجلس الدولة تابعاً للسلطة القضائية، مما يكرس استقلالاً فعلياً عن السلطة التنفيذية مقارنة بنماذج مقارنة أخرى. إن استكمال هذا البناء يتطلب الاستمرار في ترقية أدوات "الهندسة القضائية" من خلال </w:t>
      </w:r>
      <w:proofErr w:type="spellStart"/>
      <w:r w:rsidRPr="009A0AF9">
        <w:rPr>
          <w:rFonts w:ascii="Sakkal Majalla" w:eastAsia="Times New Roman" w:hAnsi="Sakkal Majalla" w:cs="Sakkal Majalla"/>
          <w:sz w:val="28"/>
          <w:szCs w:val="28"/>
          <w:rtl/>
          <w:lang w:eastAsia="fr-FR"/>
        </w:rPr>
        <w:t>الرقمنة</w:t>
      </w:r>
      <w:proofErr w:type="spellEnd"/>
      <w:r w:rsidRPr="009A0AF9">
        <w:rPr>
          <w:rFonts w:ascii="Sakkal Majalla" w:eastAsia="Times New Roman" w:hAnsi="Sakkal Majalla" w:cs="Sakkal Majalla"/>
          <w:sz w:val="28"/>
          <w:szCs w:val="28"/>
          <w:rtl/>
          <w:lang w:eastAsia="fr-FR"/>
        </w:rPr>
        <w:t xml:space="preserve"> الشاملة وتحسين الوضعية الاجتماعية للقضاة (المادة 172)، لضمان أن يظل القضاء الجزائري حصناً منيعاً للحريات وركيزة صلبة للاستقرار المؤسساتي في دولة الحق والقانون</w:t>
      </w:r>
      <w:r w:rsidRPr="009A0AF9">
        <w:rPr>
          <w:rFonts w:ascii="Sakkal Majalla" w:eastAsia="Times New Roman" w:hAnsi="Sakkal Majalla" w:cs="Sakkal Majalla"/>
          <w:sz w:val="28"/>
          <w:szCs w:val="28"/>
          <w:lang w:eastAsia="fr-FR"/>
        </w:rPr>
        <w:t>.</w:t>
      </w:r>
    </w:p>
    <w:p w:rsidR="008622E4" w:rsidRPr="009A0AF9" w:rsidRDefault="008622E4" w:rsidP="009A0AF9">
      <w:pPr>
        <w:bidi/>
        <w:jc w:val="both"/>
        <w:rPr>
          <w:rFonts w:ascii="Sakkal Majalla" w:hAnsi="Sakkal Majalla" w:cs="Sakkal Majalla"/>
          <w:sz w:val="28"/>
          <w:szCs w:val="28"/>
        </w:rPr>
      </w:pPr>
    </w:p>
    <w:sectPr w:rsidR="008622E4" w:rsidRPr="009A0AF9" w:rsidSect="008622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5A9B"/>
    <w:multiLevelType w:val="multilevel"/>
    <w:tmpl w:val="70443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327F9D"/>
    <w:multiLevelType w:val="multilevel"/>
    <w:tmpl w:val="14B4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B225EE"/>
    <w:multiLevelType w:val="multilevel"/>
    <w:tmpl w:val="BDC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77ACB"/>
    <w:multiLevelType w:val="multilevel"/>
    <w:tmpl w:val="42A8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540F69"/>
    <w:multiLevelType w:val="multilevel"/>
    <w:tmpl w:val="D28C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107A2"/>
    <w:multiLevelType w:val="multilevel"/>
    <w:tmpl w:val="708E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A0AF9"/>
    <w:rsid w:val="008622E4"/>
    <w:rsid w:val="009A0A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2E4"/>
  </w:style>
  <w:style w:type="paragraph" w:styleId="Titre1">
    <w:name w:val="heading 1"/>
    <w:basedOn w:val="Normal"/>
    <w:link w:val="Titre1Car"/>
    <w:uiPriority w:val="9"/>
    <w:qFormat/>
    <w:rsid w:val="009A0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A0AF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A0AF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AF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A0AF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A0AF9"/>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9A0AF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797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6236</Characters>
  <Application>Microsoft Office Word</Application>
  <DocSecurity>0</DocSecurity>
  <Lines>51</Lines>
  <Paragraphs>14</Paragraphs>
  <ScaleCrop>false</ScaleCrop>
  <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2026-04-01T09:19:00Z</dcterms:created>
  <dcterms:modified xsi:type="dcterms:W3CDTF">2026-04-01T09:22:00Z</dcterms:modified>
</cp:coreProperties>
</file>