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326A" w14:textId="2E818E33" w:rsidR="003E0150" w:rsidRDefault="003E0150" w:rsidP="003E0150">
      <w:pPr>
        <w:pStyle w:val="NormalWeb"/>
        <w:shd w:val="clear" w:color="auto" w:fill="FFFFFF"/>
        <w:spacing w:before="0" w:beforeAutospacing="0" w:after="420" w:afterAutospacing="0"/>
        <w:jc w:val="both"/>
        <w:rPr>
          <w:rFonts w:asciiTheme="majorBidi" w:hAnsiTheme="majorBidi" w:cstheme="majorBidi"/>
          <w:b/>
          <w:bCs/>
          <w:color w:val="1A1A1A"/>
        </w:rPr>
      </w:pPr>
      <w:r>
        <w:rPr>
          <w:rFonts w:asciiTheme="majorBidi" w:hAnsiTheme="majorBidi" w:cstheme="majorBidi"/>
          <w:b/>
          <w:bCs/>
          <w:color w:val="1A1A1A"/>
        </w:rPr>
        <w:t>Définition 1</w:t>
      </w:r>
    </w:p>
    <w:p w14:paraId="3F193563" w14:textId="77777777"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val="en-US" w:eastAsia="fr-FR"/>
          <w14:ligatures w14:val="none"/>
        </w:rPr>
      </w:pPr>
      <w:r w:rsidRPr="003E0150">
        <w:rPr>
          <w:rFonts w:asciiTheme="majorBidi" w:eastAsia="Times New Roman" w:hAnsiTheme="majorBidi" w:cstheme="majorBidi"/>
          <w:color w:val="1A1A1A"/>
          <w:kern w:val="0"/>
          <w:sz w:val="24"/>
          <w:szCs w:val="24"/>
          <w:lang w:val="en-US" w:eastAsia="fr-FR"/>
          <w14:ligatures w14:val="none"/>
        </w:rPr>
        <w:t>« </w:t>
      </w:r>
      <w:proofErr w:type="spellStart"/>
      <w:r w:rsidRPr="003E0150">
        <w:rPr>
          <w:rFonts w:asciiTheme="majorBidi" w:eastAsia="Times New Roman" w:hAnsiTheme="majorBidi" w:cstheme="majorBidi"/>
          <w:color w:val="1A1A1A"/>
          <w:kern w:val="0"/>
          <w:sz w:val="24"/>
          <w:szCs w:val="24"/>
          <w:lang w:val="en-US" w:eastAsia="fr-FR"/>
          <w14:ligatures w14:val="none"/>
        </w:rPr>
        <w:t>Transliteracy</w:t>
      </w:r>
      <w:proofErr w:type="spellEnd"/>
      <w:r w:rsidRPr="003E0150">
        <w:rPr>
          <w:rFonts w:asciiTheme="majorBidi" w:eastAsia="Times New Roman" w:hAnsiTheme="majorBidi" w:cstheme="majorBidi"/>
          <w:color w:val="1A1A1A"/>
          <w:kern w:val="0"/>
          <w:sz w:val="24"/>
          <w:szCs w:val="24"/>
          <w:lang w:val="en-US" w:eastAsia="fr-FR"/>
          <w14:ligatures w14:val="none"/>
        </w:rPr>
        <w:t xml:space="preserve"> is the ability to read, write and interact across a range of platforms, tools and media from signing and orality through handwriting, print, TV, radio and film, to digital social networks. »</w:t>
      </w:r>
    </w:p>
    <w:p w14:paraId="4521DAA0" w14:textId="77777777"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eastAsia="fr-FR"/>
          <w14:ligatures w14:val="none"/>
        </w:rPr>
      </w:pPr>
      <w:r w:rsidRPr="003E0150">
        <w:rPr>
          <w:rFonts w:asciiTheme="majorBidi" w:eastAsia="Times New Roman" w:hAnsiTheme="majorBidi" w:cstheme="majorBidi"/>
          <w:color w:val="1A1A1A"/>
          <w:kern w:val="0"/>
          <w:sz w:val="24"/>
          <w:szCs w:val="24"/>
          <w:lang w:eastAsia="fr-FR"/>
          <w14:ligatures w14:val="none"/>
        </w:rPr>
        <w:t>« Habileté à lire, écrire et interagir par le biais d’une variété de plateformes, d’outils et de moyens de communication, de l’iconographie à l’oralité en passant par l’écriture manuscrite, l’édition, la télé, la radio et le cinéma, jusqu’aux réseaux sociaux. »</w:t>
      </w:r>
    </w:p>
    <w:p w14:paraId="3ECD06CA" w14:textId="77777777"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val="en-US" w:eastAsia="fr-FR"/>
          <w14:ligatures w14:val="none"/>
        </w:rPr>
      </w:pPr>
      <w:proofErr w:type="gramStart"/>
      <w:r w:rsidRPr="003E0150">
        <w:rPr>
          <w:rFonts w:asciiTheme="majorBidi" w:eastAsia="Times New Roman" w:hAnsiTheme="majorBidi" w:cstheme="majorBidi"/>
          <w:color w:val="1A1A1A"/>
          <w:kern w:val="0"/>
          <w:sz w:val="24"/>
          <w:szCs w:val="24"/>
          <w:lang w:val="en-US" w:eastAsia="fr-FR"/>
          <w14:ligatures w14:val="none"/>
        </w:rPr>
        <w:t>Sources :Thomas</w:t>
      </w:r>
      <w:proofErr w:type="gramEnd"/>
      <w:r w:rsidRPr="003E0150">
        <w:rPr>
          <w:rFonts w:asciiTheme="majorBidi" w:eastAsia="Times New Roman" w:hAnsiTheme="majorBidi" w:cstheme="majorBidi"/>
          <w:color w:val="1A1A1A"/>
          <w:kern w:val="0"/>
          <w:sz w:val="24"/>
          <w:szCs w:val="24"/>
          <w:lang w:val="en-US" w:eastAsia="fr-FR"/>
          <w14:ligatures w14:val="none"/>
        </w:rPr>
        <w:t xml:space="preserve">, S., Joseph, C., Laccetti, J., Mason, B., </w:t>
      </w:r>
      <w:proofErr w:type="spellStart"/>
      <w:r w:rsidRPr="003E0150">
        <w:rPr>
          <w:rFonts w:asciiTheme="majorBidi" w:eastAsia="Times New Roman" w:hAnsiTheme="majorBidi" w:cstheme="majorBidi"/>
          <w:color w:val="1A1A1A"/>
          <w:kern w:val="0"/>
          <w:sz w:val="24"/>
          <w:szCs w:val="24"/>
          <w:lang w:val="en-US" w:eastAsia="fr-FR"/>
          <w14:ligatures w14:val="none"/>
        </w:rPr>
        <w:t>Perril</w:t>
      </w:r>
      <w:proofErr w:type="spellEnd"/>
      <w:r w:rsidRPr="003E0150">
        <w:rPr>
          <w:rFonts w:asciiTheme="majorBidi" w:eastAsia="Times New Roman" w:hAnsiTheme="majorBidi" w:cstheme="majorBidi"/>
          <w:color w:val="1A1A1A"/>
          <w:kern w:val="0"/>
          <w:sz w:val="24"/>
          <w:szCs w:val="24"/>
          <w:lang w:val="en-US" w:eastAsia="fr-FR"/>
          <w14:ligatures w14:val="none"/>
        </w:rPr>
        <w:t xml:space="preserve">, S., &amp; Pullinger, K. (2007). </w:t>
      </w:r>
      <w:proofErr w:type="spellStart"/>
      <w:proofErr w:type="gramStart"/>
      <w:r w:rsidRPr="003E0150">
        <w:rPr>
          <w:rFonts w:asciiTheme="majorBidi" w:eastAsia="Times New Roman" w:hAnsiTheme="majorBidi" w:cstheme="majorBidi"/>
          <w:color w:val="1A1A1A"/>
          <w:kern w:val="0"/>
          <w:sz w:val="24"/>
          <w:szCs w:val="24"/>
          <w:lang w:val="en-US" w:eastAsia="fr-FR"/>
          <w14:ligatures w14:val="none"/>
        </w:rPr>
        <w:t>Transliteracy</w:t>
      </w:r>
      <w:proofErr w:type="spellEnd"/>
      <w:r w:rsidRPr="003E0150">
        <w:rPr>
          <w:rFonts w:asciiTheme="majorBidi" w:eastAsia="Times New Roman" w:hAnsiTheme="majorBidi" w:cstheme="majorBidi"/>
          <w:color w:val="1A1A1A"/>
          <w:kern w:val="0"/>
          <w:sz w:val="24"/>
          <w:szCs w:val="24"/>
          <w:lang w:val="en-US" w:eastAsia="fr-FR"/>
          <w14:ligatures w14:val="none"/>
        </w:rPr>
        <w:t> :</w:t>
      </w:r>
      <w:proofErr w:type="gramEnd"/>
      <w:r w:rsidRPr="003E0150">
        <w:rPr>
          <w:rFonts w:asciiTheme="majorBidi" w:eastAsia="Times New Roman" w:hAnsiTheme="majorBidi" w:cstheme="majorBidi"/>
          <w:color w:val="1A1A1A"/>
          <w:kern w:val="0"/>
          <w:sz w:val="24"/>
          <w:szCs w:val="24"/>
          <w:lang w:val="en-US" w:eastAsia="fr-FR"/>
          <w14:ligatures w14:val="none"/>
        </w:rPr>
        <w:t xml:space="preserve"> Crossing divides. First Monday, 12 (12). </w:t>
      </w:r>
      <w:hyperlink r:id="rId4" w:history="1">
        <w:r w:rsidRPr="003E0150">
          <w:rPr>
            <w:rFonts w:asciiTheme="majorBidi" w:eastAsia="Times New Roman" w:hAnsiTheme="majorBidi" w:cstheme="majorBidi"/>
            <w:color w:val="007ACC"/>
            <w:kern w:val="0"/>
            <w:sz w:val="24"/>
            <w:szCs w:val="24"/>
            <w:lang w:val="en-US" w:eastAsia="fr-FR"/>
            <w14:ligatures w14:val="none"/>
          </w:rPr>
          <w:t>https://journals.uic.edu/ojs/index.php/fm/article/view/2060/1908</w:t>
        </w:r>
      </w:hyperlink>
      <w:r w:rsidRPr="003E0150">
        <w:rPr>
          <w:rFonts w:asciiTheme="majorBidi" w:eastAsia="Times New Roman" w:hAnsiTheme="majorBidi" w:cstheme="majorBidi"/>
          <w:color w:val="1A1A1A"/>
          <w:kern w:val="0"/>
          <w:sz w:val="24"/>
          <w:szCs w:val="24"/>
          <w:lang w:val="en-US" w:eastAsia="fr-FR"/>
          <w14:ligatures w14:val="none"/>
        </w:rPr>
        <w:t> </w:t>
      </w:r>
    </w:p>
    <w:p w14:paraId="5A8A44FA" w14:textId="77777777"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eastAsia="fr-FR"/>
          <w14:ligatures w14:val="none"/>
        </w:rPr>
      </w:pPr>
      <w:r w:rsidRPr="003E0150">
        <w:rPr>
          <w:rFonts w:asciiTheme="majorBidi" w:eastAsia="Times New Roman" w:hAnsiTheme="majorBidi" w:cstheme="majorBidi"/>
          <w:color w:val="1A1A1A"/>
          <w:kern w:val="0"/>
          <w:sz w:val="24"/>
          <w:szCs w:val="24"/>
          <w:lang w:eastAsia="fr-FR"/>
          <w14:ligatures w14:val="none"/>
        </w:rPr>
        <w:t xml:space="preserve">Traduction : </w:t>
      </w:r>
      <w:proofErr w:type="spellStart"/>
      <w:r w:rsidRPr="003E0150">
        <w:rPr>
          <w:rFonts w:asciiTheme="majorBidi" w:eastAsia="Times New Roman" w:hAnsiTheme="majorBidi" w:cstheme="majorBidi"/>
          <w:color w:val="1A1A1A"/>
          <w:kern w:val="0"/>
          <w:sz w:val="24"/>
          <w:szCs w:val="24"/>
          <w:lang w:eastAsia="fr-FR"/>
          <w14:ligatures w14:val="none"/>
        </w:rPr>
        <w:t>Guité</w:t>
      </w:r>
      <w:proofErr w:type="spellEnd"/>
      <w:r w:rsidRPr="003E0150">
        <w:rPr>
          <w:rFonts w:asciiTheme="majorBidi" w:eastAsia="Times New Roman" w:hAnsiTheme="majorBidi" w:cstheme="majorBidi"/>
          <w:color w:val="1A1A1A"/>
          <w:kern w:val="0"/>
          <w:sz w:val="24"/>
          <w:szCs w:val="24"/>
          <w:lang w:eastAsia="fr-FR"/>
          <w14:ligatures w14:val="none"/>
        </w:rPr>
        <w:t xml:space="preserve">, F. (2007). La </w:t>
      </w:r>
      <w:proofErr w:type="spellStart"/>
      <w:r w:rsidRPr="003E0150">
        <w:rPr>
          <w:rFonts w:asciiTheme="majorBidi" w:eastAsia="Times New Roman" w:hAnsiTheme="majorBidi" w:cstheme="majorBidi"/>
          <w:color w:val="1A1A1A"/>
          <w:kern w:val="0"/>
          <w:sz w:val="24"/>
          <w:szCs w:val="24"/>
          <w:lang w:eastAsia="fr-FR"/>
          <w14:ligatures w14:val="none"/>
        </w:rPr>
        <w:t>translittératie</w:t>
      </w:r>
      <w:proofErr w:type="spellEnd"/>
      <w:r w:rsidRPr="003E0150">
        <w:rPr>
          <w:rFonts w:asciiTheme="majorBidi" w:eastAsia="Times New Roman" w:hAnsiTheme="majorBidi" w:cstheme="majorBidi"/>
          <w:color w:val="1A1A1A"/>
          <w:kern w:val="0"/>
          <w:sz w:val="24"/>
          <w:szCs w:val="24"/>
          <w:lang w:eastAsia="fr-FR"/>
          <w14:ligatures w14:val="none"/>
        </w:rPr>
        <w:t>. François Guité. </w:t>
      </w:r>
      <w:hyperlink r:id="rId5" w:history="1">
        <w:r w:rsidRPr="003E0150">
          <w:rPr>
            <w:rFonts w:asciiTheme="majorBidi" w:eastAsia="Times New Roman" w:hAnsiTheme="majorBidi" w:cstheme="majorBidi"/>
            <w:color w:val="007ACC"/>
            <w:kern w:val="0"/>
            <w:sz w:val="24"/>
            <w:szCs w:val="24"/>
            <w:lang w:eastAsia="fr-FR"/>
            <w14:ligatures w14:val="none"/>
          </w:rPr>
          <w:t>http://www.francoisguite.com/2007/12/la-translitteratie/</w:t>
        </w:r>
      </w:hyperlink>
      <w:r w:rsidRPr="003E0150">
        <w:rPr>
          <w:rFonts w:asciiTheme="majorBidi" w:eastAsia="Times New Roman" w:hAnsiTheme="majorBidi" w:cstheme="majorBidi"/>
          <w:color w:val="1A1A1A"/>
          <w:kern w:val="0"/>
          <w:sz w:val="24"/>
          <w:szCs w:val="24"/>
          <w:lang w:eastAsia="fr-FR"/>
          <w14:ligatures w14:val="none"/>
        </w:rPr>
        <w:t> </w:t>
      </w:r>
    </w:p>
    <w:p w14:paraId="0585239C" w14:textId="77777777" w:rsidR="003E0150" w:rsidRPr="003E0150" w:rsidRDefault="003E0150" w:rsidP="003E0150">
      <w:pPr>
        <w:shd w:val="clear" w:color="auto" w:fill="FFFFFF"/>
        <w:spacing w:before="584" w:after="292" w:line="240" w:lineRule="auto"/>
        <w:outlineLvl w:val="2"/>
        <w:rPr>
          <w:rFonts w:asciiTheme="majorBidi" w:eastAsia="Times New Roman" w:hAnsiTheme="majorBidi" w:cstheme="majorBidi"/>
          <w:b/>
          <w:bCs/>
          <w:color w:val="1A1A1A"/>
          <w:kern w:val="0"/>
          <w:sz w:val="27"/>
          <w:szCs w:val="27"/>
          <w:lang w:eastAsia="fr-FR"/>
          <w14:ligatures w14:val="none"/>
        </w:rPr>
      </w:pPr>
      <w:r w:rsidRPr="003E0150">
        <w:rPr>
          <w:rFonts w:asciiTheme="majorBidi" w:eastAsia="Times New Roman" w:hAnsiTheme="majorBidi" w:cstheme="majorBidi"/>
          <w:b/>
          <w:bCs/>
          <w:color w:val="1A1A1A"/>
          <w:kern w:val="0"/>
          <w:sz w:val="27"/>
          <w:szCs w:val="27"/>
          <w:lang w:eastAsia="fr-FR"/>
          <w14:ligatures w14:val="none"/>
        </w:rPr>
        <w:t>Définition 2</w:t>
      </w:r>
    </w:p>
    <w:p w14:paraId="5FB3C3A7" w14:textId="77777777"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eastAsia="fr-FR"/>
          <w14:ligatures w14:val="none"/>
        </w:rPr>
      </w:pPr>
      <w:r w:rsidRPr="003E0150">
        <w:rPr>
          <w:rFonts w:asciiTheme="majorBidi" w:eastAsia="Times New Roman" w:hAnsiTheme="majorBidi" w:cstheme="majorBidi"/>
          <w:color w:val="1A1A1A"/>
          <w:kern w:val="0"/>
          <w:sz w:val="24"/>
          <w:szCs w:val="24"/>
          <w:lang w:eastAsia="fr-FR"/>
          <w14:ligatures w14:val="none"/>
        </w:rPr>
        <w:t>« Ensemble des compétences caractérisant l’individu capable d’évoluer de façon critique et créative, autonome et socialisée dans l’environnement médiatique contemporain. »</w:t>
      </w:r>
    </w:p>
    <w:p w14:paraId="0E65CF6A" w14:textId="77777777"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eastAsia="fr-FR"/>
          <w14:ligatures w14:val="none"/>
        </w:rPr>
      </w:pPr>
      <w:r w:rsidRPr="003E0150">
        <w:rPr>
          <w:rFonts w:asciiTheme="majorBidi" w:eastAsia="Times New Roman" w:hAnsiTheme="majorBidi" w:cstheme="majorBidi"/>
          <w:color w:val="1A1A1A"/>
          <w:kern w:val="0"/>
          <w:sz w:val="24"/>
          <w:szCs w:val="24"/>
          <w:lang w:eastAsia="fr-FR"/>
          <w14:ligatures w14:val="none"/>
        </w:rPr>
        <w:t xml:space="preserve">Source : </w:t>
      </w:r>
      <w:proofErr w:type="spellStart"/>
      <w:r w:rsidRPr="003E0150">
        <w:rPr>
          <w:rFonts w:asciiTheme="majorBidi" w:eastAsia="Times New Roman" w:hAnsiTheme="majorBidi" w:cstheme="majorBidi"/>
          <w:color w:val="1A1A1A"/>
          <w:kern w:val="0"/>
          <w:sz w:val="24"/>
          <w:szCs w:val="24"/>
          <w:lang w:eastAsia="fr-FR"/>
          <w14:ligatures w14:val="none"/>
        </w:rPr>
        <w:t>Fastrez</w:t>
      </w:r>
      <w:proofErr w:type="spellEnd"/>
      <w:r w:rsidRPr="003E0150">
        <w:rPr>
          <w:rFonts w:asciiTheme="majorBidi" w:eastAsia="Times New Roman" w:hAnsiTheme="majorBidi" w:cstheme="majorBidi"/>
          <w:color w:val="1A1A1A"/>
          <w:kern w:val="0"/>
          <w:sz w:val="24"/>
          <w:szCs w:val="24"/>
          <w:lang w:eastAsia="fr-FR"/>
          <w14:ligatures w14:val="none"/>
        </w:rPr>
        <w:t xml:space="preserve">, P. (2012). </w:t>
      </w:r>
      <w:proofErr w:type="spellStart"/>
      <w:r w:rsidRPr="003E0150">
        <w:rPr>
          <w:rFonts w:asciiTheme="majorBidi" w:eastAsia="Times New Roman" w:hAnsiTheme="majorBidi" w:cstheme="majorBidi"/>
          <w:color w:val="1A1A1A"/>
          <w:kern w:val="0"/>
          <w:sz w:val="24"/>
          <w:szCs w:val="24"/>
          <w:lang w:eastAsia="fr-FR"/>
          <w14:ligatures w14:val="none"/>
        </w:rPr>
        <w:t>Translittératie</w:t>
      </w:r>
      <w:proofErr w:type="spellEnd"/>
      <w:r w:rsidRPr="003E0150">
        <w:rPr>
          <w:rFonts w:asciiTheme="majorBidi" w:eastAsia="Times New Roman" w:hAnsiTheme="majorBidi" w:cstheme="majorBidi"/>
          <w:color w:val="1A1A1A"/>
          <w:kern w:val="0"/>
          <w:sz w:val="24"/>
          <w:szCs w:val="24"/>
          <w:lang w:eastAsia="fr-FR"/>
          <w14:ligatures w14:val="none"/>
        </w:rPr>
        <w:t xml:space="preserve"> et compétences médiatiques. 15. </w:t>
      </w:r>
      <w:hyperlink r:id="rId6" w:history="1">
        <w:r w:rsidRPr="003E0150">
          <w:rPr>
            <w:rFonts w:asciiTheme="majorBidi" w:eastAsia="Times New Roman" w:hAnsiTheme="majorBidi" w:cstheme="majorBidi"/>
            <w:color w:val="007ACC"/>
            <w:kern w:val="0"/>
            <w:sz w:val="24"/>
            <w:szCs w:val="24"/>
            <w:lang w:eastAsia="fr-FR"/>
            <w14:ligatures w14:val="none"/>
          </w:rPr>
          <w:t>http://culturedel.info/grcdi/wp-content/uploads/2012/10/Seminaire-GRCDI_2012_texte-P.Fastrez.pdf</w:t>
        </w:r>
      </w:hyperlink>
      <w:r w:rsidRPr="003E0150">
        <w:rPr>
          <w:rFonts w:asciiTheme="majorBidi" w:eastAsia="Times New Roman" w:hAnsiTheme="majorBidi" w:cstheme="majorBidi"/>
          <w:color w:val="1A1A1A"/>
          <w:kern w:val="0"/>
          <w:sz w:val="24"/>
          <w:szCs w:val="24"/>
          <w:lang w:eastAsia="fr-FR"/>
          <w14:ligatures w14:val="none"/>
        </w:rPr>
        <w:t> </w:t>
      </w:r>
    </w:p>
    <w:p w14:paraId="72D2BEA4" w14:textId="77777777" w:rsidR="003E0150" w:rsidRPr="003E0150" w:rsidRDefault="003E0150" w:rsidP="003E0150">
      <w:pPr>
        <w:shd w:val="clear" w:color="auto" w:fill="FFFFFF"/>
        <w:spacing w:before="584" w:after="292" w:line="240" w:lineRule="auto"/>
        <w:outlineLvl w:val="2"/>
        <w:rPr>
          <w:rFonts w:asciiTheme="majorBidi" w:eastAsia="Times New Roman" w:hAnsiTheme="majorBidi" w:cstheme="majorBidi"/>
          <w:b/>
          <w:bCs/>
          <w:color w:val="1A1A1A"/>
          <w:kern w:val="0"/>
          <w:sz w:val="27"/>
          <w:szCs w:val="27"/>
          <w:lang w:eastAsia="fr-FR"/>
          <w14:ligatures w14:val="none"/>
        </w:rPr>
      </w:pPr>
      <w:r w:rsidRPr="003E0150">
        <w:rPr>
          <w:rFonts w:asciiTheme="majorBidi" w:eastAsia="Times New Roman" w:hAnsiTheme="majorBidi" w:cstheme="majorBidi"/>
          <w:b/>
          <w:bCs/>
          <w:color w:val="1A1A1A"/>
          <w:kern w:val="0"/>
          <w:sz w:val="27"/>
          <w:szCs w:val="27"/>
          <w:lang w:eastAsia="fr-FR"/>
          <w14:ligatures w14:val="none"/>
        </w:rPr>
        <w:t>Définition 3</w:t>
      </w:r>
    </w:p>
    <w:p w14:paraId="19E88F11" w14:textId="77777777"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eastAsia="fr-FR"/>
          <w14:ligatures w14:val="none"/>
        </w:rPr>
      </w:pPr>
      <w:r w:rsidRPr="003E0150">
        <w:rPr>
          <w:rFonts w:asciiTheme="majorBidi" w:eastAsia="Times New Roman" w:hAnsiTheme="majorBidi" w:cstheme="majorBidi"/>
          <w:color w:val="1A1A1A"/>
          <w:kern w:val="0"/>
          <w:sz w:val="24"/>
          <w:szCs w:val="24"/>
          <w:lang w:eastAsia="fr-FR"/>
          <w14:ligatures w14:val="none"/>
        </w:rPr>
        <w:t>« Ensemble des compétences d’interaction avec tous les moyens d’information et de communication. »</w:t>
      </w:r>
    </w:p>
    <w:p w14:paraId="09C551D3" w14:textId="77777777"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eastAsia="fr-FR"/>
          <w14:ligatures w14:val="none"/>
        </w:rPr>
      </w:pPr>
      <w:r w:rsidRPr="003E0150">
        <w:rPr>
          <w:rFonts w:asciiTheme="majorBidi" w:eastAsia="Times New Roman" w:hAnsiTheme="majorBidi" w:cstheme="majorBidi"/>
          <w:color w:val="1A1A1A"/>
          <w:kern w:val="0"/>
          <w:sz w:val="24"/>
          <w:szCs w:val="24"/>
          <w:lang w:eastAsia="fr-FR"/>
          <w14:ligatures w14:val="none"/>
        </w:rPr>
        <w:t xml:space="preserve">Source : Serres, A. (2012). Un exemple de </w:t>
      </w:r>
      <w:proofErr w:type="spellStart"/>
      <w:r w:rsidRPr="003E0150">
        <w:rPr>
          <w:rFonts w:asciiTheme="majorBidi" w:eastAsia="Times New Roman" w:hAnsiTheme="majorBidi" w:cstheme="majorBidi"/>
          <w:color w:val="1A1A1A"/>
          <w:kern w:val="0"/>
          <w:sz w:val="24"/>
          <w:szCs w:val="24"/>
          <w:lang w:eastAsia="fr-FR"/>
          <w14:ligatures w14:val="none"/>
        </w:rPr>
        <w:t>translittératie</w:t>
      </w:r>
      <w:proofErr w:type="spellEnd"/>
      <w:r w:rsidRPr="003E0150">
        <w:rPr>
          <w:rFonts w:asciiTheme="majorBidi" w:eastAsia="Times New Roman" w:hAnsiTheme="majorBidi" w:cstheme="majorBidi"/>
          <w:color w:val="1A1A1A"/>
          <w:kern w:val="0"/>
          <w:sz w:val="24"/>
          <w:szCs w:val="24"/>
          <w:lang w:eastAsia="fr-FR"/>
          <w14:ligatures w14:val="none"/>
        </w:rPr>
        <w:t> : L’évaluation de l’information. </w:t>
      </w:r>
      <w:hyperlink r:id="rId7" w:history="1">
        <w:r w:rsidRPr="003E0150">
          <w:rPr>
            <w:rFonts w:asciiTheme="majorBidi" w:eastAsia="Times New Roman" w:hAnsiTheme="majorBidi" w:cstheme="majorBidi"/>
            <w:color w:val="007ACC"/>
            <w:kern w:val="0"/>
            <w:sz w:val="24"/>
            <w:szCs w:val="24"/>
            <w:lang w:eastAsia="fr-FR"/>
            <w14:ligatures w14:val="none"/>
          </w:rPr>
          <w:t>https://archivesic.ccsd.cnrs.fr/sic_01114601</w:t>
        </w:r>
      </w:hyperlink>
      <w:r w:rsidRPr="003E0150">
        <w:rPr>
          <w:rFonts w:asciiTheme="majorBidi" w:eastAsia="Times New Roman" w:hAnsiTheme="majorBidi" w:cstheme="majorBidi"/>
          <w:color w:val="1A1A1A"/>
          <w:kern w:val="0"/>
          <w:sz w:val="24"/>
          <w:szCs w:val="24"/>
          <w:lang w:eastAsia="fr-FR"/>
          <w14:ligatures w14:val="none"/>
        </w:rPr>
        <w:t> </w:t>
      </w:r>
    </w:p>
    <w:p w14:paraId="71E0CC8A" w14:textId="77777777" w:rsidR="003E0150" w:rsidRPr="003E0150" w:rsidRDefault="003E0150" w:rsidP="003E0150">
      <w:pPr>
        <w:shd w:val="clear" w:color="auto" w:fill="FFFFFF"/>
        <w:spacing w:before="584" w:after="292" w:line="240" w:lineRule="auto"/>
        <w:outlineLvl w:val="2"/>
        <w:rPr>
          <w:rFonts w:asciiTheme="majorBidi" w:eastAsia="Times New Roman" w:hAnsiTheme="majorBidi" w:cstheme="majorBidi"/>
          <w:b/>
          <w:bCs/>
          <w:color w:val="1A1A1A"/>
          <w:kern w:val="0"/>
          <w:sz w:val="27"/>
          <w:szCs w:val="27"/>
          <w:lang w:eastAsia="fr-FR"/>
          <w14:ligatures w14:val="none"/>
        </w:rPr>
      </w:pPr>
      <w:r w:rsidRPr="003E0150">
        <w:rPr>
          <w:rFonts w:asciiTheme="majorBidi" w:eastAsia="Times New Roman" w:hAnsiTheme="majorBidi" w:cstheme="majorBidi"/>
          <w:b/>
          <w:bCs/>
          <w:color w:val="1A1A1A"/>
          <w:kern w:val="0"/>
          <w:sz w:val="27"/>
          <w:szCs w:val="27"/>
          <w:lang w:eastAsia="fr-FR"/>
          <w14:ligatures w14:val="none"/>
        </w:rPr>
        <w:t>Définition 4</w:t>
      </w:r>
    </w:p>
    <w:p w14:paraId="5813AF82" w14:textId="77777777"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eastAsia="fr-FR"/>
          <w14:ligatures w14:val="none"/>
        </w:rPr>
      </w:pPr>
      <w:r w:rsidRPr="003E0150">
        <w:rPr>
          <w:rFonts w:asciiTheme="majorBidi" w:eastAsia="Times New Roman" w:hAnsiTheme="majorBidi" w:cstheme="majorBidi"/>
          <w:color w:val="1A1A1A"/>
          <w:kern w:val="0"/>
          <w:sz w:val="24"/>
          <w:szCs w:val="24"/>
          <w:lang w:eastAsia="fr-FR"/>
          <w14:ligatures w14:val="none"/>
        </w:rPr>
        <w:t xml:space="preserve">« La </w:t>
      </w:r>
      <w:proofErr w:type="spellStart"/>
      <w:r w:rsidRPr="003E0150">
        <w:rPr>
          <w:rFonts w:asciiTheme="majorBidi" w:eastAsia="Times New Roman" w:hAnsiTheme="majorBidi" w:cstheme="majorBidi"/>
          <w:color w:val="1A1A1A"/>
          <w:kern w:val="0"/>
          <w:sz w:val="24"/>
          <w:szCs w:val="24"/>
          <w:lang w:eastAsia="fr-FR"/>
          <w14:ligatures w14:val="none"/>
        </w:rPr>
        <w:t>translittératie</w:t>
      </w:r>
      <w:proofErr w:type="spellEnd"/>
      <w:r w:rsidRPr="003E0150">
        <w:rPr>
          <w:rFonts w:asciiTheme="majorBidi" w:eastAsia="Times New Roman" w:hAnsiTheme="majorBidi" w:cstheme="majorBidi"/>
          <w:color w:val="1A1A1A"/>
          <w:kern w:val="0"/>
          <w:sz w:val="24"/>
          <w:szCs w:val="24"/>
          <w:lang w:eastAsia="fr-FR"/>
          <w14:ligatures w14:val="none"/>
        </w:rPr>
        <w:t xml:space="preserve"> dans les cultures de l’information peut ainsi se définir comme l’ensemble des pratiques sociales du « s’informer-communiquer », prises dans un continuum entre différents contextes et conditions de développement (familial, scolaire, sociétal) et sous diverses formes et supports, depuis les premiers apprentissages jusqu’aux pratiques les plus élaborées selon diverses modalités, incluant le scriptural, le visuel et le numérique (en présence et à distance). Le terme « </w:t>
      </w:r>
      <w:proofErr w:type="spellStart"/>
      <w:r w:rsidRPr="003E0150">
        <w:rPr>
          <w:rFonts w:asciiTheme="majorBidi" w:eastAsia="Times New Roman" w:hAnsiTheme="majorBidi" w:cstheme="majorBidi"/>
          <w:color w:val="1A1A1A"/>
          <w:kern w:val="0"/>
          <w:sz w:val="24"/>
          <w:szCs w:val="24"/>
          <w:lang w:eastAsia="fr-FR"/>
          <w14:ligatures w14:val="none"/>
        </w:rPr>
        <w:t>translittératie</w:t>
      </w:r>
      <w:proofErr w:type="spellEnd"/>
      <w:r w:rsidRPr="003E0150">
        <w:rPr>
          <w:rFonts w:asciiTheme="majorBidi" w:eastAsia="Times New Roman" w:hAnsiTheme="majorBidi" w:cstheme="majorBidi"/>
          <w:color w:val="1A1A1A"/>
          <w:kern w:val="0"/>
          <w:sz w:val="24"/>
          <w:szCs w:val="24"/>
          <w:lang w:eastAsia="fr-FR"/>
          <w14:ligatures w14:val="none"/>
        </w:rPr>
        <w:t xml:space="preserve"> » désigne donc l’ensemble des compétences d’interaction mises en œuvre par les usagers sur tous les moyens d’information et de </w:t>
      </w:r>
      <w:r w:rsidRPr="003E0150">
        <w:rPr>
          <w:rFonts w:asciiTheme="majorBidi" w:eastAsia="Times New Roman" w:hAnsiTheme="majorBidi" w:cstheme="majorBidi"/>
          <w:color w:val="1A1A1A"/>
          <w:kern w:val="0"/>
          <w:sz w:val="24"/>
          <w:szCs w:val="24"/>
          <w:lang w:eastAsia="fr-FR"/>
          <w14:ligatures w14:val="none"/>
        </w:rPr>
        <w:lastRenderedPageBreak/>
        <w:t xml:space="preserve">communication disponibles : oral, textuel, iconique, </w:t>
      </w:r>
      <w:proofErr w:type="gramStart"/>
      <w:r w:rsidRPr="003E0150">
        <w:rPr>
          <w:rFonts w:asciiTheme="majorBidi" w:eastAsia="Times New Roman" w:hAnsiTheme="majorBidi" w:cstheme="majorBidi"/>
          <w:color w:val="1A1A1A"/>
          <w:kern w:val="0"/>
          <w:sz w:val="24"/>
          <w:szCs w:val="24"/>
          <w:lang w:eastAsia="fr-FR"/>
          <w14:ligatures w14:val="none"/>
        </w:rPr>
        <w:t>numérique,…</w:t>
      </w:r>
      <w:proofErr w:type="gramEnd"/>
      <w:r w:rsidRPr="003E0150">
        <w:rPr>
          <w:rFonts w:asciiTheme="majorBidi" w:eastAsia="Times New Roman" w:hAnsiTheme="majorBidi" w:cstheme="majorBidi"/>
          <w:color w:val="1A1A1A"/>
          <w:kern w:val="0"/>
          <w:sz w:val="24"/>
          <w:szCs w:val="24"/>
          <w:lang w:eastAsia="fr-FR"/>
          <w14:ligatures w14:val="none"/>
        </w:rPr>
        <w:t xml:space="preserve"> essentiellement dans des environnements et contextes numériques. »</w:t>
      </w:r>
    </w:p>
    <w:p w14:paraId="0641054B" w14:textId="77777777"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eastAsia="fr-FR"/>
          <w14:ligatures w14:val="none"/>
        </w:rPr>
      </w:pPr>
      <w:r w:rsidRPr="003E0150">
        <w:rPr>
          <w:rFonts w:asciiTheme="majorBidi" w:eastAsia="Times New Roman" w:hAnsiTheme="majorBidi" w:cstheme="majorBidi"/>
          <w:color w:val="1A1A1A"/>
          <w:kern w:val="0"/>
          <w:sz w:val="24"/>
          <w:szCs w:val="24"/>
          <w:lang w:eastAsia="fr-FR"/>
          <w14:ligatures w14:val="none"/>
        </w:rPr>
        <w:t xml:space="preserve">Source : Delamotte, É., </w:t>
      </w:r>
      <w:proofErr w:type="spellStart"/>
      <w:r w:rsidRPr="003E0150">
        <w:rPr>
          <w:rFonts w:asciiTheme="majorBidi" w:eastAsia="Times New Roman" w:hAnsiTheme="majorBidi" w:cstheme="majorBidi"/>
          <w:color w:val="1A1A1A"/>
          <w:kern w:val="0"/>
          <w:sz w:val="24"/>
          <w:szCs w:val="24"/>
          <w:lang w:eastAsia="fr-FR"/>
          <w14:ligatures w14:val="none"/>
        </w:rPr>
        <w:t>Liquète</w:t>
      </w:r>
      <w:proofErr w:type="spellEnd"/>
      <w:r w:rsidRPr="003E0150">
        <w:rPr>
          <w:rFonts w:asciiTheme="majorBidi" w:eastAsia="Times New Roman" w:hAnsiTheme="majorBidi" w:cstheme="majorBidi"/>
          <w:color w:val="1A1A1A"/>
          <w:kern w:val="0"/>
          <w:sz w:val="24"/>
          <w:szCs w:val="24"/>
          <w:lang w:eastAsia="fr-FR"/>
          <w14:ligatures w14:val="none"/>
        </w:rPr>
        <w:t xml:space="preserve">, V., &amp; Frau-Meigs, D. (2014). La </w:t>
      </w:r>
      <w:proofErr w:type="spellStart"/>
      <w:r w:rsidRPr="003E0150">
        <w:rPr>
          <w:rFonts w:asciiTheme="majorBidi" w:eastAsia="Times New Roman" w:hAnsiTheme="majorBidi" w:cstheme="majorBidi"/>
          <w:color w:val="1A1A1A"/>
          <w:kern w:val="0"/>
          <w:sz w:val="24"/>
          <w:szCs w:val="24"/>
          <w:lang w:eastAsia="fr-FR"/>
          <w14:ligatures w14:val="none"/>
        </w:rPr>
        <w:t>translittératie</w:t>
      </w:r>
      <w:proofErr w:type="spellEnd"/>
      <w:r w:rsidRPr="003E0150">
        <w:rPr>
          <w:rFonts w:asciiTheme="majorBidi" w:eastAsia="Times New Roman" w:hAnsiTheme="majorBidi" w:cstheme="majorBidi"/>
          <w:color w:val="1A1A1A"/>
          <w:kern w:val="0"/>
          <w:sz w:val="24"/>
          <w:szCs w:val="24"/>
          <w:lang w:eastAsia="fr-FR"/>
          <w14:ligatures w14:val="none"/>
        </w:rPr>
        <w:t xml:space="preserve"> ou la convergence des cultures de l’information : Supports, contextes et modalités. </w:t>
      </w:r>
      <w:proofErr w:type="gramStart"/>
      <w:r w:rsidRPr="003E0150">
        <w:rPr>
          <w:rFonts w:asciiTheme="majorBidi" w:eastAsia="Times New Roman" w:hAnsiTheme="majorBidi" w:cstheme="majorBidi"/>
          <w:color w:val="1A1A1A"/>
          <w:kern w:val="0"/>
          <w:sz w:val="24"/>
          <w:szCs w:val="24"/>
          <w:lang w:eastAsia="fr-FR"/>
          <w14:ligatures w14:val="none"/>
        </w:rPr>
        <w:t>Spirale:</w:t>
      </w:r>
      <w:proofErr w:type="gramEnd"/>
      <w:r w:rsidRPr="003E0150">
        <w:rPr>
          <w:rFonts w:asciiTheme="majorBidi" w:eastAsia="Times New Roman" w:hAnsiTheme="majorBidi" w:cstheme="majorBidi"/>
          <w:color w:val="1A1A1A"/>
          <w:kern w:val="0"/>
          <w:sz w:val="24"/>
          <w:szCs w:val="24"/>
          <w:lang w:eastAsia="fr-FR"/>
          <w14:ligatures w14:val="none"/>
        </w:rPr>
        <w:t xml:space="preserve"> revue de recherches en éducation, 53, 145</w:t>
      </w:r>
      <w:r w:rsidRPr="003E0150">
        <w:rPr>
          <w:rFonts w:asciiTheme="majorBidi" w:eastAsia="Times New Roman" w:hAnsiTheme="majorBidi" w:cstheme="majorBidi"/>
          <w:color w:val="1A1A1A"/>
          <w:kern w:val="0"/>
          <w:sz w:val="24"/>
          <w:szCs w:val="24"/>
          <w:lang w:eastAsia="fr-FR"/>
          <w14:ligatures w14:val="none"/>
        </w:rPr>
        <w:noBreakHyphen/>
        <w:t>156.</w:t>
      </w:r>
      <w:hyperlink r:id="rId8" w:history="1">
        <w:r w:rsidRPr="003E0150">
          <w:rPr>
            <w:rFonts w:asciiTheme="majorBidi" w:eastAsia="Times New Roman" w:hAnsiTheme="majorBidi" w:cstheme="majorBidi"/>
            <w:color w:val="007ACC"/>
            <w:kern w:val="0"/>
            <w:sz w:val="24"/>
            <w:szCs w:val="24"/>
            <w:lang w:eastAsia="fr-FR"/>
            <w14:ligatures w14:val="none"/>
          </w:rPr>
          <w:t> https://hal.archives-ouvertes.fr/hal-00927529</w:t>
        </w:r>
      </w:hyperlink>
      <w:r w:rsidRPr="003E0150">
        <w:rPr>
          <w:rFonts w:asciiTheme="majorBidi" w:eastAsia="Times New Roman" w:hAnsiTheme="majorBidi" w:cstheme="majorBidi"/>
          <w:color w:val="1A1A1A"/>
          <w:kern w:val="0"/>
          <w:sz w:val="24"/>
          <w:szCs w:val="24"/>
          <w:lang w:eastAsia="fr-FR"/>
          <w14:ligatures w14:val="none"/>
        </w:rPr>
        <w:t> et </w:t>
      </w:r>
      <w:hyperlink r:id="rId9" w:history="1">
        <w:r w:rsidRPr="003E0150">
          <w:rPr>
            <w:rFonts w:asciiTheme="majorBidi" w:eastAsia="Times New Roman" w:hAnsiTheme="majorBidi" w:cstheme="majorBidi"/>
            <w:color w:val="007ACC"/>
            <w:kern w:val="0"/>
            <w:sz w:val="24"/>
            <w:szCs w:val="24"/>
            <w:lang w:eastAsia="fr-FR"/>
            <w14:ligatures w14:val="none"/>
          </w:rPr>
          <w:t>http://hal.archives-ouvertes.fr/docs/00/92/75/29/PDF/Spirale_53_2013_ED_VL_DFM.pdf</w:t>
        </w:r>
      </w:hyperlink>
    </w:p>
    <w:p w14:paraId="0774B36A" w14:textId="77777777" w:rsidR="003E0150" w:rsidRPr="003E0150" w:rsidRDefault="003E0150" w:rsidP="003E0150">
      <w:pPr>
        <w:shd w:val="clear" w:color="auto" w:fill="FFFFFF"/>
        <w:spacing w:before="584" w:after="292" w:line="240" w:lineRule="auto"/>
        <w:outlineLvl w:val="2"/>
        <w:rPr>
          <w:rFonts w:asciiTheme="majorBidi" w:eastAsia="Times New Roman" w:hAnsiTheme="majorBidi" w:cstheme="majorBidi"/>
          <w:b/>
          <w:bCs/>
          <w:color w:val="1A1A1A"/>
          <w:kern w:val="0"/>
          <w:sz w:val="27"/>
          <w:szCs w:val="27"/>
          <w:lang w:eastAsia="fr-FR"/>
          <w14:ligatures w14:val="none"/>
        </w:rPr>
      </w:pPr>
      <w:r w:rsidRPr="003E0150">
        <w:rPr>
          <w:rFonts w:asciiTheme="majorBidi" w:eastAsia="Times New Roman" w:hAnsiTheme="majorBidi" w:cstheme="majorBidi"/>
          <w:b/>
          <w:bCs/>
          <w:color w:val="1A1A1A"/>
          <w:kern w:val="0"/>
          <w:sz w:val="27"/>
          <w:szCs w:val="27"/>
          <w:lang w:eastAsia="fr-FR"/>
          <w14:ligatures w14:val="none"/>
        </w:rPr>
        <w:t xml:space="preserve">Les trois domaines de la </w:t>
      </w:r>
      <w:proofErr w:type="spellStart"/>
      <w:r w:rsidRPr="003E0150">
        <w:rPr>
          <w:rFonts w:asciiTheme="majorBidi" w:eastAsia="Times New Roman" w:hAnsiTheme="majorBidi" w:cstheme="majorBidi"/>
          <w:b/>
          <w:bCs/>
          <w:color w:val="1A1A1A"/>
          <w:kern w:val="0"/>
          <w:sz w:val="27"/>
          <w:szCs w:val="27"/>
          <w:lang w:eastAsia="fr-FR"/>
          <w14:ligatures w14:val="none"/>
        </w:rPr>
        <w:t>translittératie</w:t>
      </w:r>
      <w:proofErr w:type="spellEnd"/>
    </w:p>
    <w:p w14:paraId="2313A095" w14:textId="77777777"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eastAsia="fr-FR"/>
          <w14:ligatures w14:val="none"/>
        </w:rPr>
      </w:pPr>
      <w:r w:rsidRPr="003E0150">
        <w:rPr>
          <w:rFonts w:asciiTheme="majorBidi" w:eastAsia="Times New Roman" w:hAnsiTheme="majorBidi" w:cstheme="majorBidi"/>
          <w:color w:val="1A1A1A"/>
          <w:kern w:val="0"/>
          <w:sz w:val="24"/>
          <w:szCs w:val="24"/>
          <w:lang w:eastAsia="fr-FR"/>
          <w14:ligatures w14:val="none"/>
        </w:rPr>
        <w:t>La « </w:t>
      </w:r>
      <w:proofErr w:type="spellStart"/>
      <w:r w:rsidRPr="003E0150">
        <w:rPr>
          <w:rFonts w:asciiTheme="majorBidi" w:eastAsia="Times New Roman" w:hAnsiTheme="majorBidi" w:cstheme="majorBidi"/>
          <w:color w:val="1A1A1A"/>
          <w:kern w:val="0"/>
          <w:sz w:val="24"/>
          <w:szCs w:val="24"/>
          <w:lang w:eastAsia="fr-FR"/>
          <w14:ligatures w14:val="none"/>
        </w:rPr>
        <w:t>translittératie</w:t>
      </w:r>
      <w:proofErr w:type="spellEnd"/>
      <w:r w:rsidRPr="003E0150">
        <w:rPr>
          <w:rFonts w:asciiTheme="majorBidi" w:eastAsia="Times New Roman" w:hAnsiTheme="majorBidi" w:cstheme="majorBidi"/>
          <w:color w:val="1A1A1A"/>
          <w:kern w:val="0"/>
          <w:sz w:val="24"/>
          <w:szCs w:val="24"/>
          <w:lang w:eastAsia="fr-FR"/>
          <w14:ligatures w14:val="none"/>
        </w:rPr>
        <w:t> » correspond à la convergence de trois domaines de compétences : éducation aux médias, informatique, information documentaire.</w:t>
      </w:r>
    </w:p>
    <w:p w14:paraId="43043B03" w14:textId="1966F663" w:rsidR="003E0150" w:rsidRPr="003E0150" w:rsidRDefault="003E0150" w:rsidP="003E0150">
      <w:pPr>
        <w:shd w:val="clear" w:color="auto" w:fill="FFFFFF"/>
        <w:spacing w:after="0" w:line="240" w:lineRule="auto"/>
        <w:rPr>
          <w:rFonts w:asciiTheme="majorBidi" w:eastAsia="Times New Roman" w:hAnsiTheme="majorBidi" w:cstheme="majorBidi"/>
          <w:color w:val="1A1A1A"/>
          <w:kern w:val="0"/>
          <w:sz w:val="24"/>
          <w:szCs w:val="24"/>
          <w:lang w:eastAsia="fr-FR"/>
          <w14:ligatures w14:val="none"/>
        </w:rPr>
      </w:pPr>
      <w:r>
        <w:rPr>
          <w:rFonts w:asciiTheme="majorBidi" w:eastAsia="Times New Roman" w:hAnsiTheme="majorBidi" w:cstheme="majorBidi"/>
          <w:noProof/>
          <w:color w:val="1A1A1A"/>
          <w:kern w:val="0"/>
          <w:sz w:val="24"/>
          <w:szCs w:val="24"/>
          <w:lang w:eastAsia="fr-FR"/>
        </w:rPr>
        <w:drawing>
          <wp:inline distT="0" distB="0" distL="0" distR="0" wp14:anchorId="1E06E68B" wp14:editId="37AF4660">
            <wp:extent cx="4762500" cy="2505075"/>
            <wp:effectExtent l="0" t="0" r="0" b="9525"/>
            <wp:docPr id="466789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89949" name="Picture 466789949"/>
                    <pic:cNvPicPr/>
                  </pic:nvPicPr>
                  <pic:blipFill>
                    <a:blip r:embed="rId10">
                      <a:extLst>
                        <a:ext uri="{28A0092B-C50C-407E-A947-70E740481C1C}">
                          <a14:useLocalDpi xmlns:a14="http://schemas.microsoft.com/office/drawing/2010/main" val="0"/>
                        </a:ext>
                      </a:extLst>
                    </a:blip>
                    <a:stretch>
                      <a:fillRect/>
                    </a:stretch>
                  </pic:blipFill>
                  <pic:spPr>
                    <a:xfrm>
                      <a:off x="0" y="0"/>
                      <a:ext cx="4762500" cy="2505075"/>
                    </a:xfrm>
                    <a:prstGeom prst="rect">
                      <a:avLst/>
                    </a:prstGeom>
                  </pic:spPr>
                </pic:pic>
              </a:graphicData>
            </a:graphic>
          </wp:inline>
        </w:drawing>
      </w:r>
    </w:p>
    <w:p w14:paraId="56BA11BD" w14:textId="77777777" w:rsid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eastAsia="fr-FR"/>
          <w14:ligatures w14:val="none"/>
        </w:rPr>
      </w:pPr>
    </w:p>
    <w:p w14:paraId="1458B57D" w14:textId="5A2BA086" w:rsidR="003E0150" w:rsidRPr="003E0150" w:rsidRDefault="003E0150" w:rsidP="003E0150">
      <w:pPr>
        <w:shd w:val="clear" w:color="auto" w:fill="FFFFFF"/>
        <w:spacing w:after="420" w:line="240" w:lineRule="auto"/>
        <w:rPr>
          <w:rFonts w:asciiTheme="majorBidi" w:eastAsia="Times New Roman" w:hAnsiTheme="majorBidi" w:cstheme="majorBidi"/>
          <w:color w:val="1A1A1A"/>
          <w:kern w:val="0"/>
          <w:sz w:val="24"/>
          <w:szCs w:val="24"/>
          <w:lang w:eastAsia="fr-FR"/>
          <w14:ligatures w14:val="none"/>
        </w:rPr>
      </w:pPr>
      <w:r w:rsidRPr="003E0150">
        <w:rPr>
          <w:rFonts w:asciiTheme="majorBidi" w:eastAsia="Times New Roman" w:hAnsiTheme="majorBidi" w:cstheme="majorBidi"/>
          <w:color w:val="1A1A1A"/>
          <w:kern w:val="0"/>
          <w:sz w:val="24"/>
          <w:szCs w:val="24"/>
          <w:lang w:eastAsia="fr-FR"/>
          <w14:ligatures w14:val="none"/>
        </w:rPr>
        <w:t xml:space="preserve">Source : Bousquet, A. (2015, juin 17). De l’EMI à la </w:t>
      </w:r>
      <w:proofErr w:type="spellStart"/>
      <w:r w:rsidRPr="003E0150">
        <w:rPr>
          <w:rFonts w:asciiTheme="majorBidi" w:eastAsia="Times New Roman" w:hAnsiTheme="majorBidi" w:cstheme="majorBidi"/>
          <w:color w:val="1A1A1A"/>
          <w:kern w:val="0"/>
          <w:sz w:val="24"/>
          <w:szCs w:val="24"/>
          <w:lang w:eastAsia="fr-FR"/>
          <w14:ligatures w14:val="none"/>
        </w:rPr>
        <w:t>translittératie</w:t>
      </w:r>
      <w:proofErr w:type="spellEnd"/>
      <w:r w:rsidRPr="003E0150">
        <w:rPr>
          <w:rFonts w:asciiTheme="majorBidi" w:eastAsia="Times New Roman" w:hAnsiTheme="majorBidi" w:cstheme="majorBidi"/>
          <w:color w:val="1A1A1A"/>
          <w:kern w:val="0"/>
          <w:sz w:val="24"/>
          <w:szCs w:val="24"/>
          <w:lang w:eastAsia="fr-FR"/>
          <w14:ligatures w14:val="none"/>
        </w:rPr>
        <w:t> : Sortir de notre littératie ? Doc pour docs. </w:t>
      </w:r>
      <w:hyperlink r:id="rId11" w:history="1">
        <w:r w:rsidRPr="003E0150">
          <w:rPr>
            <w:rFonts w:asciiTheme="majorBidi" w:eastAsia="Times New Roman" w:hAnsiTheme="majorBidi" w:cstheme="majorBidi"/>
            <w:color w:val="007ACC"/>
            <w:kern w:val="0"/>
            <w:sz w:val="24"/>
            <w:szCs w:val="24"/>
            <w:lang w:eastAsia="fr-FR"/>
            <w14:ligatures w14:val="none"/>
          </w:rPr>
          <w:t>https://www.docpourdocs.fr/spip.php?article563</w:t>
        </w:r>
      </w:hyperlink>
      <w:r w:rsidRPr="003E0150">
        <w:rPr>
          <w:rFonts w:asciiTheme="majorBidi" w:eastAsia="Times New Roman" w:hAnsiTheme="majorBidi" w:cstheme="majorBidi"/>
          <w:color w:val="1A1A1A"/>
          <w:kern w:val="0"/>
          <w:sz w:val="24"/>
          <w:szCs w:val="24"/>
          <w:lang w:eastAsia="fr-FR"/>
          <w14:ligatures w14:val="none"/>
        </w:rPr>
        <w:t> ou </w:t>
      </w:r>
      <w:hyperlink r:id="rId12" w:history="1">
        <w:r w:rsidRPr="003E0150">
          <w:rPr>
            <w:rFonts w:asciiTheme="majorBidi" w:eastAsia="Times New Roman" w:hAnsiTheme="majorBidi" w:cstheme="majorBidi"/>
            <w:color w:val="007ACC"/>
            <w:kern w:val="0"/>
            <w:sz w:val="24"/>
            <w:szCs w:val="24"/>
            <w:lang w:eastAsia="fr-FR"/>
            <w14:ligatures w14:val="none"/>
          </w:rPr>
          <w:t>https://www.a-brest.net/article17843.html</w:t>
        </w:r>
      </w:hyperlink>
    </w:p>
    <w:p w14:paraId="5DC720DE" w14:textId="77777777" w:rsidR="003E0150" w:rsidRPr="003E0150" w:rsidRDefault="003E0150" w:rsidP="003E0150">
      <w:pPr>
        <w:pStyle w:val="NormalWeb"/>
        <w:shd w:val="clear" w:color="auto" w:fill="FFFFFF"/>
        <w:spacing w:before="0" w:beforeAutospacing="0" w:after="420" w:afterAutospacing="0"/>
        <w:jc w:val="both"/>
        <w:rPr>
          <w:rFonts w:asciiTheme="majorBidi" w:hAnsiTheme="majorBidi" w:cstheme="majorBidi"/>
          <w:b/>
          <w:bCs/>
          <w:color w:val="1A1A1A"/>
        </w:rPr>
      </w:pPr>
    </w:p>
    <w:p w14:paraId="15F9BC90" w14:textId="4AEE1249" w:rsidR="003E0150" w:rsidRDefault="003E0150" w:rsidP="003E0150">
      <w:pPr>
        <w:pStyle w:val="NormalWeb"/>
        <w:shd w:val="clear" w:color="auto" w:fill="FFFFFF"/>
        <w:spacing w:before="0" w:beforeAutospacing="0" w:after="420" w:afterAutospacing="0"/>
        <w:jc w:val="both"/>
        <w:rPr>
          <w:rFonts w:asciiTheme="majorBidi" w:hAnsiTheme="majorBidi" w:cstheme="majorBidi"/>
          <w:color w:val="1A1A1A"/>
        </w:rPr>
      </w:pPr>
      <w:r>
        <w:rPr>
          <w:rFonts w:asciiTheme="majorBidi" w:hAnsiTheme="majorBidi" w:cstheme="majorBidi"/>
          <w:color w:val="1A1A1A"/>
        </w:rPr>
        <w:t xml:space="preserve">Vidéos sur le site : </w:t>
      </w:r>
      <w:hyperlink r:id="rId13" w:history="1">
        <w:r w:rsidRPr="0067050F">
          <w:rPr>
            <w:rStyle w:val="Hyperlink"/>
            <w:rFonts w:asciiTheme="majorBidi" w:hAnsiTheme="majorBidi" w:cstheme="majorBidi"/>
          </w:rPr>
          <w:t>https://primabord.eduscol.education.fr/qu-est-ce-que-la-translitteratie</w:t>
        </w:r>
      </w:hyperlink>
    </w:p>
    <w:p w14:paraId="3612DD94" w14:textId="77777777" w:rsidR="003E0150" w:rsidRPr="003E0150" w:rsidRDefault="003E0150" w:rsidP="003E0150">
      <w:pPr>
        <w:pStyle w:val="NormalWeb"/>
        <w:shd w:val="clear" w:color="auto" w:fill="FFFFFF"/>
        <w:spacing w:before="0" w:beforeAutospacing="0" w:after="420" w:afterAutospacing="0"/>
        <w:jc w:val="both"/>
        <w:rPr>
          <w:rFonts w:asciiTheme="majorBidi" w:hAnsiTheme="majorBidi" w:cstheme="majorBidi"/>
          <w:color w:val="1A1A1A"/>
        </w:rPr>
      </w:pPr>
    </w:p>
    <w:p w14:paraId="79208387" w14:textId="77777777" w:rsidR="003E0150" w:rsidRPr="003E0150" w:rsidRDefault="003E0150" w:rsidP="003E0150">
      <w:pPr>
        <w:rPr>
          <w:rFonts w:asciiTheme="majorBidi" w:hAnsiTheme="majorBidi" w:cstheme="majorBidi"/>
        </w:rPr>
      </w:pPr>
    </w:p>
    <w:sectPr w:rsidR="003E0150" w:rsidRPr="003E0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16"/>
    <w:rsid w:val="00100E16"/>
    <w:rsid w:val="001F7AD9"/>
    <w:rsid w:val="003A7D76"/>
    <w:rsid w:val="003E0150"/>
    <w:rsid w:val="006E1910"/>
    <w:rsid w:val="009A39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5FF5"/>
  <w15:chartTrackingRefBased/>
  <w15:docId w15:val="{69420B30-7481-449A-A9FD-33B26729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E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00E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00E1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00E1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00E1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00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E1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00E1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00E1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00E1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00E1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00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E16"/>
    <w:rPr>
      <w:rFonts w:eastAsiaTheme="majorEastAsia" w:cstheme="majorBidi"/>
      <w:color w:val="272727" w:themeColor="text1" w:themeTint="D8"/>
    </w:rPr>
  </w:style>
  <w:style w:type="paragraph" w:styleId="Title">
    <w:name w:val="Title"/>
    <w:basedOn w:val="Normal"/>
    <w:next w:val="Normal"/>
    <w:link w:val="TitleChar"/>
    <w:uiPriority w:val="10"/>
    <w:qFormat/>
    <w:rsid w:val="00100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E16"/>
    <w:pPr>
      <w:spacing w:before="160"/>
      <w:jc w:val="center"/>
    </w:pPr>
    <w:rPr>
      <w:i/>
      <w:iCs/>
      <w:color w:val="404040" w:themeColor="text1" w:themeTint="BF"/>
    </w:rPr>
  </w:style>
  <w:style w:type="character" w:customStyle="1" w:styleId="QuoteChar">
    <w:name w:val="Quote Char"/>
    <w:basedOn w:val="DefaultParagraphFont"/>
    <w:link w:val="Quote"/>
    <w:uiPriority w:val="29"/>
    <w:rsid w:val="00100E16"/>
    <w:rPr>
      <w:i/>
      <w:iCs/>
      <w:color w:val="404040" w:themeColor="text1" w:themeTint="BF"/>
    </w:rPr>
  </w:style>
  <w:style w:type="paragraph" w:styleId="ListParagraph">
    <w:name w:val="List Paragraph"/>
    <w:basedOn w:val="Normal"/>
    <w:uiPriority w:val="34"/>
    <w:qFormat/>
    <w:rsid w:val="00100E16"/>
    <w:pPr>
      <w:ind w:left="720"/>
      <w:contextualSpacing/>
    </w:pPr>
  </w:style>
  <w:style w:type="character" w:styleId="IntenseEmphasis">
    <w:name w:val="Intense Emphasis"/>
    <w:basedOn w:val="DefaultParagraphFont"/>
    <w:uiPriority w:val="21"/>
    <w:qFormat/>
    <w:rsid w:val="00100E16"/>
    <w:rPr>
      <w:i/>
      <w:iCs/>
      <w:color w:val="2E74B5" w:themeColor="accent1" w:themeShade="BF"/>
    </w:rPr>
  </w:style>
  <w:style w:type="paragraph" w:styleId="IntenseQuote">
    <w:name w:val="Intense Quote"/>
    <w:basedOn w:val="Normal"/>
    <w:next w:val="Normal"/>
    <w:link w:val="IntenseQuoteChar"/>
    <w:uiPriority w:val="30"/>
    <w:qFormat/>
    <w:rsid w:val="00100E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00E16"/>
    <w:rPr>
      <w:i/>
      <w:iCs/>
      <w:color w:val="2E74B5" w:themeColor="accent1" w:themeShade="BF"/>
    </w:rPr>
  </w:style>
  <w:style w:type="character" w:styleId="IntenseReference">
    <w:name w:val="Intense Reference"/>
    <w:basedOn w:val="DefaultParagraphFont"/>
    <w:uiPriority w:val="32"/>
    <w:qFormat/>
    <w:rsid w:val="00100E16"/>
    <w:rPr>
      <w:b/>
      <w:bCs/>
      <w:smallCaps/>
      <w:color w:val="2E74B5" w:themeColor="accent1" w:themeShade="BF"/>
      <w:spacing w:val="5"/>
    </w:rPr>
  </w:style>
  <w:style w:type="paragraph" w:styleId="NormalWeb">
    <w:name w:val="Normal (Web)"/>
    <w:basedOn w:val="Normal"/>
    <w:uiPriority w:val="99"/>
    <w:semiHidden/>
    <w:unhideWhenUsed/>
    <w:rsid w:val="003E015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DefaultParagraphFont"/>
    <w:uiPriority w:val="99"/>
    <w:unhideWhenUsed/>
    <w:rsid w:val="003E0150"/>
    <w:rPr>
      <w:color w:val="0000FF"/>
      <w:u w:val="single"/>
    </w:rPr>
  </w:style>
  <w:style w:type="character" w:styleId="UnresolvedMention">
    <w:name w:val="Unresolved Mention"/>
    <w:basedOn w:val="DefaultParagraphFont"/>
    <w:uiPriority w:val="99"/>
    <w:semiHidden/>
    <w:unhideWhenUsed/>
    <w:rsid w:val="003E0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archives-ouvertes.fr/hal-00927529" TargetMode="External"/><Relationship Id="rId13" Type="http://schemas.openxmlformats.org/officeDocument/2006/relationships/hyperlink" Target="https://primabord.eduscol.education.fr/qu-est-ce-que-la-translitteratie" TargetMode="External"/><Relationship Id="rId3" Type="http://schemas.openxmlformats.org/officeDocument/2006/relationships/webSettings" Target="webSettings.xml"/><Relationship Id="rId7" Type="http://schemas.openxmlformats.org/officeDocument/2006/relationships/hyperlink" Target="https://archivesic.ccsd.cnrs.fr/sic_01114601" TargetMode="External"/><Relationship Id="rId12" Type="http://schemas.openxmlformats.org/officeDocument/2006/relationships/hyperlink" Target="https://www.a-brest.net/article1784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ulturedel.info/grcdi/wp-content/uploads/2012/10/Seminaire-GRCDI_2012_texte-P.Fastrez.pdf" TargetMode="External"/><Relationship Id="rId11" Type="http://schemas.openxmlformats.org/officeDocument/2006/relationships/hyperlink" Target="https://www.docpourdocs.fr/spip.php?article563" TargetMode="External"/><Relationship Id="rId5" Type="http://schemas.openxmlformats.org/officeDocument/2006/relationships/hyperlink" Target="http://www.francoisguite.com/2007/12/la-translitteratie/"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hyperlink" Target="https://journals.uic.edu/ojs/index.php/fm/article/view/2060/1908" TargetMode="External"/><Relationship Id="rId9" Type="http://schemas.openxmlformats.org/officeDocument/2006/relationships/hyperlink" Target="http://hal.archives-ouvertes.fr/docs/00/92/75/29/PDF/Spirale_53_2013_ED_VL_DFM.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576</Words>
  <Characters>3171</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kadja amal</dc:creator>
  <cp:keywords/>
  <dc:description/>
  <cp:lastModifiedBy>kadja amal</cp:lastModifiedBy>
  <cp:revision>2</cp:revision>
  <dcterms:created xsi:type="dcterms:W3CDTF">2026-03-02T19:21:00Z</dcterms:created>
  <dcterms:modified xsi:type="dcterms:W3CDTF">2026-03-02T19:31:00Z</dcterms:modified>
</cp:coreProperties>
</file>