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77" w:rsidRPr="00652FE3" w:rsidRDefault="00C51A77" w:rsidP="00C51A77">
      <w:pPr>
        <w:shd w:val="clear" w:color="auto" w:fill="FFFFFF"/>
        <w:bidi/>
        <w:spacing w:after="0" w:line="240" w:lineRule="auto"/>
        <w:jc w:val="center"/>
        <w:rPr>
          <w:rFonts w:ascii="Amiri" w:eastAsia="Times New Roman" w:hAnsi="Amiri" w:cs="Amiri"/>
          <w:b/>
          <w:bCs/>
          <w:color w:val="222222"/>
          <w:sz w:val="32"/>
          <w:szCs w:val="32"/>
          <w:rtl/>
          <w:lang w:bidi="ar-DZ"/>
        </w:rPr>
      </w:pPr>
      <w:r w:rsidRPr="00652FE3">
        <w:rPr>
          <w:rFonts w:ascii="Amiri" w:eastAsia="Times New Roman" w:hAnsi="Amiri" w:cs="Amiri"/>
          <w:b/>
          <w:bCs/>
          <w:color w:val="222222"/>
          <w:sz w:val="32"/>
          <w:szCs w:val="32"/>
          <w:rtl/>
        </w:rPr>
        <w:t>طرق التنبؤ بالمبيعات: بين الحدس والبيانات</w:t>
      </w:r>
    </w:p>
    <w:p w:rsidR="00080B31" w:rsidRPr="00652FE3" w:rsidRDefault="00C51A77" w:rsidP="00652FE3">
      <w:pPr>
        <w:shd w:val="clear" w:color="auto" w:fill="FFFFFF"/>
        <w:bidi/>
        <w:spacing w:after="0" w:line="240" w:lineRule="auto"/>
        <w:rPr>
          <w:rFonts w:ascii="Amiri" w:hAnsi="Amiri" w:cs="Amiri" w:hint="cs"/>
          <w:sz w:val="28"/>
          <w:szCs w:val="28"/>
          <w:rtl/>
          <w:lang w:bidi="ar-DZ"/>
        </w:rPr>
      </w:pP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مقدمة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التنبؤ بالمبيعات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هو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عملية تقدير المبيعات المستقبلية لفترة زمنية محددة، بناءً على بيانات تاريخية، وتحليل السوق الحالي، واستقراء الاتجاهات. إنه ليس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علماً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دقيقاً بقدر ما هو فن يعتمد على تحليل منهجي للبيانات المتاحة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(Chase, 2013). </w:t>
      </w:r>
      <w:r w:rsidR="00652FE3"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تترتب على دقة التنبؤات آثار مباشرة على كفاءة العمليات،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والسيولة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النقدية، والربحية، والقدرة التنافسية للمؤسسة.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لذلك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، يعد فهم وتطبيق الطرق المناسبة للتنبؤ أمراً بالغ الأهمية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يمكن تصنيف طرق التنبؤ بالمبيعات بشكل عام إلى فئتين رئيستين: الطرق النوعية (الحدسية) والطرق الكمية (الإحصائية). يعتمد الاختيار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بينهما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على عوامل مثل توفر البيانات التاريخية، وطبيعة المنتج أو السوق، وأفق التنبؤ (قصير، متوسط، أو طويل الأجل)، والموارد المتاحة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1. </w:t>
      </w:r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الطرق النوعية (</w:t>
      </w:r>
      <w:proofErr w:type="gramStart"/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الحدسية</w:t>
      </w:r>
      <w:r w:rsidR="00652FE3" w:rsidRPr="00652FE3">
        <w:rPr>
          <w:rFonts w:ascii="Amiri" w:eastAsia="Times New Roman" w:hAnsi="Amiri" w:cs="Amiri"/>
          <w:b/>
          <w:bCs/>
          <w:color w:val="222222"/>
          <w:sz w:val="28"/>
          <w:szCs w:val="28"/>
        </w:rPr>
        <w:t>(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تستخدم هذه الطرق عندما تكون البيانات التاريخية شحيحة أو غير موجودة (كالمنتجات الجديدة تماماً)، أو في حالات عدم استقرار السوق الشديد. تعتمد بشكل رئيسي على الحدس والخبرة والآراء الشخصية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652FE3" w:rsidRPr="00B7237E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</w:t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· </w:t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آراء لجنة التنفيذيين</w:t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Executive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Opinion):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الوصف: تجمع هذه الطريقة آراء مجموعة من كبار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المسؤولين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التنفيذيين في المؤسسة (كالرئيس التنفيذي، ومديري المبيعات، والتسويق، والتمويل) للوصل إلى تقدير جماعي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المميزات: سريعة، وتستفيد من الخبرة الجماعية الشاملة للمؤسسة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العيوب: قد تكون ذاتية، وتتأثر بهيمنة بعض الشخصيات، وقد تنحاز لرؤية إدارية واحدة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· </w:t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طريقة قوة البيع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(Sales Force Composite):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الوصف: تعتمد على تجميع تقديرات مندوبي المبيعات في الميدان عن المبيعات المتوقعة في مناطقهم أو لعملائهم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المميزات: تستفيد من معرفة المبيعات المباشرة بالعميل والمنافسة المحلية، ويمكن أن تزيد من التزامهم بالأهداف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العيوب: قد يقلل مندوبو المبيعات عمداً من تقديراتهم لضمان سهولة تحقيق الأهداف (التقدير المنخفض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)،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أو قد يفتقرون إلى الرؤية الشاملة للسوق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B7237E">
        <w:rPr>
          <w:rFonts w:ascii="Amiri" w:eastAsia="Times New Roman" w:hAnsi="Amiri" w:cs="Amiri"/>
          <w:color w:val="222222"/>
          <w:sz w:val="28"/>
          <w:szCs w:val="28"/>
        </w:rPr>
        <w:t xml:space="preserve">· </w:t>
      </w:r>
      <w:r w:rsidRPr="00B7237E">
        <w:rPr>
          <w:rFonts w:ascii="Amiri" w:eastAsia="Times New Roman" w:hAnsi="Amiri" w:cs="Amiri"/>
          <w:color w:val="222222"/>
          <w:sz w:val="28"/>
          <w:szCs w:val="28"/>
          <w:rtl/>
        </w:rPr>
        <w:t>أسلوب دلفي</w:t>
      </w:r>
      <w:r w:rsidRPr="00B7237E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(Delphi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Method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>):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الوصف: طريقة منظمة لتجميع آراء مجموعة من الخبراء الخارجيين (خارج الشركة) بشكل مجهول الهوية عبر جولات متتالية من الاستبيانات.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بعد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كل جولة، يتم تلخيص الآراء وإعادتها للمشاركين لإعادة النظر في تقديراتهم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المميزات: تقلل من تأثير هيمنة الأفراد وتوصل إلى إجماع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مبنٍ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على تفكير مستقل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العيوب: تستغرق وقتاً طويلاً وقد تكون مكلفة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· </w:t>
      </w:r>
      <w:r w:rsidRPr="00B7237E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استطلاعات نية العميل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(Customer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Surveys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>):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الوصف: سؤال العملاء الحاليين والمحتملين مباشرة عن نيتهم الشرائية في المستقبل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المميزات: توفر معلومات مباشرة من السوق المستهدف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العيوب: قد لا تترجم النوايا دائماً إلى مشتريات فعلية، وقد تكون العينة غير ممثلة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2. </w:t>
      </w:r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الطرق الكمية (الإحصائية</w:t>
      </w:r>
      <w:proofErr w:type="gramStart"/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</w:rPr>
        <w:t>)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تعتمد هذه الطرق على تحليل البيانات التاريخية (السلاسل الزمنية) واكتشاف العلاقات السببية بين المبيعات ومتغيرات أخرى. تناسب المنتجات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ذات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الأنماط المستقرة وتوفر البيانات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أ. تحليل السلاسل الزمنية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(Time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Series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Analysis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تحلل بيانات المبيعات السابقة لفهم المكونات الأساسية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الاتجاه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(Trend):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الحركة العامة طويلة الأجل (تزايد، تناقص، ثبات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الموسمية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Seasonality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تقلبات دورية متكررة خلال سنة (موسم الأعياد، الصيف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الدورية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Cyclicality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تقلبات طويلة الأجل غير منتظمة مرتبطة بدورات اقتصادية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العشوائية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Random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Variation):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تغيرات غير منتظمة لا يمكن تفسيرها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طرق شائعة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1.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المتوسط المتحرك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Moving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Average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يحسب متوسط آخر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(n)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فترة لتنعيم التقلبات قصيرة الأجل.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بسيط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ولكنه يتأخر في اكتشاف الاتجاهات الجديدة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2.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التنبوء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بالتسوية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الأسية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Exponential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Smoothing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يعطي أوزاناً أكبر للفترات الأحدث. أكثر استجابة للتغيرات الحديثة من المتوسط المتحرك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Hyndman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&amp;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Athanasopoulos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>, 2018).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3.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تحليل الانحدار للسلاسل الزمنية: نماذج أكثر تعقيداً مثل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(ARIMA)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التي تدمج الاتجاه والموسمية والمكونات العشوائية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ب. النماذج السببية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الارتباطية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 (Causal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Models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>):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الوصف: تحاول تحديد العلاقة السببية بين المبيعات (المتغير التابع) ومتغيرات مستقلة تؤثر فيها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طريقة الانحدار الخطي المتعدد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(Multiple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Linear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Regression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هي الأكثر شيوعاً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المتغيرات المستقلة: يمكن أن تشمل الإنفاق على الإعلانات، أسعار المنتجات، دخل المستهلكين، مؤشرات الاقتصاد الكلي، نشاط المنافسين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المميزات: توفر فهماً أعمق للعوامل المؤثرة وتساعد في تقييم سيناريوهات "ماذا لو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".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العيوب: تتطلب بيانات عن جميع المتغيرات المستقلة، وافتراض وجود علاقة خطية ثابتة قد لا يكون دائماً صحيحاً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3. </w:t>
      </w:r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معايير اختيار طريقة التنبؤ المناسبة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لا توجد طريقة واحدة "أفضل"، ويعتمد الاختيار على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1.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أفق التنبؤ: النماذج النوعية أفضل للطويل الأجل، والكمية للقصير والمتوسط الأجل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2.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توفر البيانات: الكمية تتطلب بيانات تاريخية كافية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وموثوقة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3.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طبيعة المنتج/السوق: المنتجات الجديدة أو أسواق التكنولوجيا سريعة التغير تتطلب منهجيات نوعية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4.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الدقة المطلوبة والتكلفة: النماذج الكمية المعقدة أكثر كلفة وقد لا يكون دقتها الأعلى مبررة للقرارات البسيطة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5.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الموارد والخبرة: بعض النماذج الإحصائية تتطلب برمجيات ومحللين مختصين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4.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إطار تطبيقي مقترح للتنبؤ بالمبيعات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1.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تحديد الغرض وأفق التنبؤ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2.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جمع البيانات: تاريخية، سوقية، تنافسية، داخلية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3.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اختيار واختبار عدة طرق: يُفضل استخدام أكثر من طريقة ومقارنة النتائج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4.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إجراء التنبؤ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5.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مراجعة التنبؤ وضبطه: في ضوء العوامل النوعية الجديدة (حملة إعلانية كبرى، دخول منافس جديد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 xml:space="preserve">6.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متابعة الأداء وتقييم الدقة: حساب مقاييس الخطأ مثل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Mean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Absolute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Deviation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- MAD)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أو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Mean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Absolute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Percentage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Error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- MAPE) </w:t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لتحسين الطرق المستقبلية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r w:rsidR="00652FE3">
        <w:rPr>
          <w:rFonts w:ascii="Amiri" w:eastAsia="Times New Roman" w:hAnsi="Amiri" w:cs="Amiri"/>
          <w:color w:val="222222"/>
          <w:sz w:val="28"/>
          <w:szCs w:val="28"/>
        </w:rPr>
        <w:t>Wilson, Keating, &amp; Beal, 2022).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lastRenderedPageBreak/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يظل التنبؤ بالمبيعات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عملاً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يتطلب مزيجاً من التحليل العلمي للبيانات والفطنة التجارية. الطريقة المثلى غالباً ما تكون هجينة، تجمع بين الدقة الرياضية للنماذج الكمية وبين الرؤية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الاستشرافية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التي توفرها الطرق النوعية.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يجب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أن ينظر إلى التنبؤ على أنه عملية ديناميكية مستمرة تحتاج إلى المراجعة والتعديل باستمرار مع ظهور معلومات جديدة، وليس كحدث لمرة واحدة.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استيعاب نقاط ا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rtl/>
        </w:rPr>
        <w:t>لقوة والضعف في كل طريقة يُمكّن مديري المبيعات والتخطيط من بناء تنبؤات أكثر واقعية وموثوقية، مما يدعم قرارات استراتيجية أفضل ويدفع المؤسسة نحو تحقيق أهدافها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Pr="00652FE3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المراجع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  <w:t>Chase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, C. W. (2013).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Demand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>-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driven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forecasting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: A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structured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approach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to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forecasting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(2nd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ed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.). John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Wiley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 &amp; Sons.</w:t>
      </w:r>
      <w:r w:rsidRPr="00652FE3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Hyndman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, R. J., &amp; </w:t>
      </w:r>
      <w:proofErr w:type="spellStart"/>
      <w:r w:rsidRPr="00652FE3">
        <w:rPr>
          <w:rFonts w:ascii="Amiri" w:eastAsia="Times New Roman" w:hAnsi="Amiri" w:cs="Amiri"/>
          <w:color w:val="222222"/>
          <w:sz w:val="28"/>
          <w:szCs w:val="28"/>
        </w:rPr>
        <w:t>Athanasopoulos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</w:rPr>
        <w:t xml:space="preserve">, G. (2018). </w:t>
      </w:r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Forecasting: Principles and practice (2nd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>ed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.). </w:t>
      </w:r>
      <w:proofErr w:type="spellStart"/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>OTexts</w:t>
      </w:r>
      <w:proofErr w:type="spellEnd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>.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> </w:t>
      </w:r>
      <w:hyperlink r:id="rId4" w:tgtFrame="_blank" w:history="1">
        <w:proofErr w:type="gramStart"/>
        <w:r w:rsidRPr="00652FE3">
          <w:rPr>
            <w:rFonts w:ascii="Amiri" w:eastAsia="Times New Roman" w:hAnsi="Amiri" w:cs="Amiri"/>
            <w:color w:val="1155CC"/>
            <w:sz w:val="28"/>
            <w:szCs w:val="28"/>
            <w:u w:val="single"/>
            <w:lang w:val="en-US"/>
          </w:rPr>
          <w:t>https://otexts.com/fpp2/</w:t>
        </w:r>
      </w:hyperlink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br/>
        <w:t>Wilson, J. H., Keating, B., &amp; Beal, M. (2022).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 Business forecasting: Practical problems and solutions (2nd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>ed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.). </w:t>
      </w:r>
      <w:proofErr w:type="gramStart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t>John Wiley &amp; Sons.</w:t>
      </w:r>
      <w:proofErr w:type="gramEnd"/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br/>
      </w:r>
      <w:r w:rsidRPr="00652FE3">
        <w:rPr>
          <w:rFonts w:ascii="Amiri" w:eastAsia="Times New Roman" w:hAnsi="Amiri" w:cs="Amiri"/>
          <w:color w:val="222222"/>
          <w:sz w:val="28"/>
          <w:szCs w:val="28"/>
          <w:lang w:val="en-US"/>
        </w:rPr>
        <w:br/>
      </w:r>
    </w:p>
    <w:sectPr w:rsidR="00080B31" w:rsidRPr="00652FE3" w:rsidSect="00652FE3">
      <w:pgSz w:w="11906" w:h="16838"/>
      <w:pgMar w:top="993" w:right="1417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C51A77"/>
    <w:rsid w:val="00080B31"/>
    <w:rsid w:val="00143CEC"/>
    <w:rsid w:val="00652FE3"/>
    <w:rsid w:val="00B7237E"/>
    <w:rsid w:val="00C51A77"/>
    <w:rsid w:val="00E7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1A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5986">
                      <w:marLeft w:val="0"/>
                      <w:marRight w:val="0"/>
                      <w:marTop w:val="1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3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884">
              <w:marLeft w:val="-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texts.com/fpp2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4</cp:revision>
  <dcterms:created xsi:type="dcterms:W3CDTF">2026-01-05T13:02:00Z</dcterms:created>
  <dcterms:modified xsi:type="dcterms:W3CDTF">2026-01-08T11:43:00Z</dcterms:modified>
</cp:coreProperties>
</file>