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B3" w:rsidRPr="00721388" w:rsidRDefault="001D23B3" w:rsidP="001D23B3">
      <w:pPr>
        <w:shd w:val="clear" w:color="auto" w:fill="FFFFFF"/>
        <w:bidi/>
        <w:spacing w:after="0" w:line="240" w:lineRule="auto"/>
        <w:jc w:val="center"/>
        <w:rPr>
          <w:rFonts w:ascii="Amiri" w:eastAsia="Times New Roman" w:hAnsi="Amiri" w:cs="Amiri"/>
          <w:b/>
          <w:bCs/>
          <w:color w:val="222222"/>
          <w:sz w:val="32"/>
          <w:szCs w:val="32"/>
          <w:rtl/>
          <w:lang w:bidi="ar-DZ"/>
        </w:rPr>
      </w:pPr>
      <w:proofErr w:type="gramStart"/>
      <w:r w:rsidRPr="00721388">
        <w:rPr>
          <w:rFonts w:ascii="Amiri" w:eastAsia="Times New Roman" w:hAnsi="Amiri" w:cs="Amiri"/>
          <w:b/>
          <w:bCs/>
          <w:color w:val="222222"/>
          <w:sz w:val="32"/>
          <w:szCs w:val="32"/>
          <w:rtl/>
        </w:rPr>
        <w:t>عملية</w:t>
      </w:r>
      <w:proofErr w:type="gramEnd"/>
      <w:r w:rsidRPr="00721388">
        <w:rPr>
          <w:rFonts w:ascii="Amiri" w:eastAsia="Times New Roman" w:hAnsi="Amiri" w:cs="Amiri"/>
          <w:b/>
          <w:bCs/>
          <w:color w:val="222222"/>
          <w:sz w:val="32"/>
          <w:szCs w:val="32"/>
          <w:rtl/>
        </w:rPr>
        <w:t xml:space="preserve"> طرح منتجات جديدة على مستوى السوق</w:t>
      </w:r>
    </w:p>
    <w:p w:rsidR="000C4737" w:rsidRDefault="001D23B3" w:rsidP="004A6C29">
      <w:pPr>
        <w:shd w:val="clear" w:color="auto" w:fill="FFFFFF"/>
        <w:bidi/>
        <w:spacing w:line="240" w:lineRule="auto"/>
        <w:rPr>
          <w:rFonts w:ascii="Amiri" w:eastAsia="Times New Roman" w:hAnsi="Amiri" w:cs="Amiri" w:hint="cs"/>
          <w:color w:val="222222"/>
          <w:sz w:val="28"/>
          <w:szCs w:val="28"/>
          <w:rtl/>
          <w:lang w:bidi="ar-DZ"/>
        </w:rPr>
      </w:pP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يعد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طرح منتج جديد في السوق من أكثر العمليات الإستراتيجية خطورة وتعقيدًا في إدارة الأعمال.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فهو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لا يقتصر على مجرد الإعلان عن المنتج في يوم إطلاقه، بل هو عملية متكاملة تبدأ بفكرة أولية وتنتهي بضمان نجاح المنتج واستقراره في السوق.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يهدف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هذا الدرس إلى تقديم شرح مفصل ووافٍ للمراحل الثماني الرئيسية لعملية الطرح الناجح، مع التركيز على الجوانب العملية والتخطيطية التي تضمن تحقيق أقصى استفادة من الاستثمار في المنتج الجديد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721388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المراحل الرئيسية لعملية الطرح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="004A6C29">
        <w:rPr>
          <w:rFonts w:ascii="Amiri" w:eastAsia="Times New Roman" w:hAnsi="Amiri" w:cs="Amiri" w:hint="cs"/>
          <w:b/>
          <w:bCs/>
          <w:color w:val="222222"/>
          <w:sz w:val="28"/>
          <w:szCs w:val="28"/>
          <w:rtl/>
        </w:rPr>
        <w:t xml:space="preserve">1. </w:t>
      </w:r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التطوير الاستراتيجي ووضع الأهداف</w:t>
      </w:r>
      <w:r w:rsidR="004A6C29" w:rsidRPr="004A6C29">
        <w:rPr>
          <w:rFonts w:ascii="Amiri" w:eastAsia="Times New Roman" w:hAnsi="Amiri" w:cs="Amiri" w:hint="cs"/>
          <w:b/>
          <w:bCs/>
          <w:color w:val="222222"/>
          <w:sz w:val="28"/>
          <w:szCs w:val="28"/>
          <w:rtl/>
        </w:rPr>
        <w:t xml:space="preserve"> </w:t>
      </w:r>
      <w:r w:rsidR="00721388" w:rsidRPr="004A6C29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 </w:t>
      </w:r>
      <w:r w:rsidR="00721388">
        <w:rPr>
          <w:rFonts w:ascii="Amiri" w:eastAsia="Times New Roman" w:hAnsi="Amiri" w:cs="Amiri"/>
          <w:color w:val="222222"/>
          <w:sz w:val="28"/>
          <w:szCs w:val="28"/>
        </w:rPr>
        <w:t>(</w:t>
      </w:r>
      <w:proofErr w:type="spellStart"/>
      <w:r w:rsidR="00721388">
        <w:rPr>
          <w:rFonts w:ascii="Amiri" w:eastAsia="Times New Roman" w:hAnsi="Amiri" w:cs="Amiri"/>
          <w:color w:val="222222"/>
          <w:sz w:val="28"/>
          <w:szCs w:val="28"/>
        </w:rPr>
        <w:t>Strategic</w:t>
      </w:r>
      <w:proofErr w:type="spellEnd"/>
      <w:r w:rsidR="00721388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="00721388">
        <w:rPr>
          <w:rFonts w:ascii="Amiri" w:eastAsia="Times New Roman" w:hAnsi="Amiri" w:cs="Amiri"/>
          <w:color w:val="222222"/>
          <w:sz w:val="28"/>
          <w:szCs w:val="28"/>
        </w:rPr>
        <w:t>Development</w:t>
      </w:r>
      <w:proofErr w:type="spellEnd"/>
      <w:r w:rsidR="00721388">
        <w:rPr>
          <w:rFonts w:ascii="Amiri" w:eastAsia="Times New Roman" w:hAnsi="Amiri" w:cs="Amiri"/>
          <w:color w:val="222222"/>
          <w:sz w:val="28"/>
          <w:szCs w:val="28"/>
        </w:rPr>
        <w:t>)</w:t>
      </w:r>
      <w:r w:rsidR="00721388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قبل أي خطوة عملية، يجب أن يكون هناك إستراتيجية واضحة. هذه المرحلة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تتضمن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تحديد أهداف الطرح: ماذا نريد أن نحقق؟ (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مثال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: الحصول على حصة سوقية بنسبة 5% في السنة الأولى، أو تحقيق مبيعات بقيمة مليون دولار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تحديد السوق المستهدف: من هو العميل المثالي لهذا المنتج؟ يجب أن يكون التحديد دقيقًا بناءً على عوامل ديموغرافية ونفسية وسلوكية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تحليل المنافسة: فهم المنتجات المنافسة المباشرة وغير المباشرة، ونقاط قوتها وضعفها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تحديد موضع المنتج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Positioning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كيف سنقدم المنتج في أذهان المستهلكين مقارنة بالمنافسين؟ (مثال: "هذا هو الهاتف الأكثر أمانًا في السوق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").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="004A6C29">
        <w:rPr>
          <w:rFonts w:ascii="Amiri" w:eastAsia="Times New Roman" w:hAnsi="Amiri" w:cs="Amiri"/>
          <w:b/>
          <w:bCs/>
          <w:color w:val="222222"/>
          <w:sz w:val="28"/>
          <w:szCs w:val="28"/>
        </w:rPr>
        <w:t>.2</w:t>
      </w:r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 xml:space="preserve">تطوير خطة التسويق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المختلط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(Marketing Mix - 4Ps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)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هذه هي الخطة التنفيذية التي تحول الإستراتيجية إلى أفعال ملموسة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المنتج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(Product):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التأكد من أن المواصفات النهائية للمنتج تتوافق مع احتياجات السوق المستهدف. يتضمن ذلك التغليف،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العلامة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التجارية، واسم المنتج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السعر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(Price):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تحديد استراتيجية التسعير المناسبة (مثال: تسعير اختراقي، تسعير مشابه للمنافسة، أو تسعير مرتفع يعكس الجودة). يجب أن يأخذ التسعير في الاعتبار التكاليف،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perceived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value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، وأسعار المنافسين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المكان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(Place):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كيف سيصل المنتج إلى العميل؟ تحديد قنوات التوزيع (مثل البيع عبر الإنترنت، منافذ البيع بالتجزئة،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الموزعين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). وضع خطة لإدارة سلسلة التوريد والمخزون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الترويج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(Promotion):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تطوير خطة اتصالات تسويقية متكاملة تشمل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الإعلان (وسائل الإعلام التقليدية والرقمية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العلاقات العامة لإطلاق هالة إيجابية حول المنتج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التسويق المباشر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عروض الإطلاق الترويجية (خصومات، عينات مجانية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).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  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التسويق عبر وسائل التواصل الاجتماعي</w:t>
      </w:r>
      <w:r w:rsidR="00721388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="00721388" w:rsidRPr="00721388">
        <w:rPr>
          <w:rFonts w:ascii="Amiri" w:eastAsia="Times New Roman" w:hAnsi="Amiri" w:cs="Amiri"/>
          <w:b/>
          <w:bCs/>
          <w:color w:val="222222"/>
          <w:sz w:val="28"/>
          <w:szCs w:val="28"/>
        </w:rPr>
        <w:t>.3</w:t>
      </w:r>
      <w:r w:rsidRPr="00721388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 xml:space="preserve">التخطيط </w:t>
      </w:r>
      <w:proofErr w:type="spellStart"/>
      <w:r w:rsidRPr="00721388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اللوجستي</w:t>
      </w:r>
      <w:proofErr w:type="spellEnd"/>
      <w:r w:rsidRPr="00721388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 xml:space="preserve"> والإنتاجي</w:t>
      </w:r>
      <w:r w:rsidR="00721388">
        <w:rPr>
          <w:rFonts w:ascii="Amiri" w:eastAsia="Times New Roman" w:hAnsi="Amiri" w:cs="Amiri" w:hint="cs"/>
          <w:color w:val="222222"/>
          <w:sz w:val="28"/>
          <w:szCs w:val="28"/>
          <w:rtl/>
          <w:lang w:bidi="ar-DZ"/>
        </w:rPr>
        <w:t xml:space="preserve"> 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Logistics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and Production Planning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)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721388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ضمان </w:t>
      </w:r>
      <w:proofErr w:type="spellStart"/>
      <w:r w:rsidRPr="00721388">
        <w:rPr>
          <w:rFonts w:ascii="Amiri" w:eastAsia="Times New Roman" w:hAnsi="Amiri" w:cs="Amiri"/>
          <w:color w:val="222222"/>
          <w:sz w:val="28"/>
          <w:szCs w:val="28"/>
          <w:rtl/>
        </w:rPr>
        <w:t>جاهزية</w:t>
      </w:r>
      <w:proofErr w:type="spellEnd"/>
      <w:r w:rsidRPr="00721388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العمليات الداخلية أمر بالغ الأهمية</w:t>
      </w:r>
      <w:r w:rsidRPr="00721388">
        <w:rPr>
          <w:rFonts w:ascii="Amiri" w:eastAsia="Times New Roman" w:hAnsi="Amiri" w:cs="Amiri"/>
          <w:b/>
          <w:bCs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زيادة الطاقة الإنتاجية: التأكد من قدرة خطوط الإنتاج على تلبية الطلب المتوقع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إدارة سلسلة التوريد: تأمين الموردين وضمان تدفق المواد الخام دون انقطاع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إدارة المخزون: وضع أنظمة لتخزين وتوزيع المنتج النهائي لتجنب نفاد المخزون أو تراكمه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="00721388" w:rsidRPr="00721388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     .4</w:t>
      </w:r>
      <w:r w:rsidRPr="00721388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مرحلة ما قبل الطرح</w:t>
      </w:r>
      <w:r w:rsidR="00721388" w:rsidRPr="00721388">
        <w:rPr>
          <w:rFonts w:ascii="Amiri" w:eastAsia="Times New Roman" w:hAnsi="Amiri" w:cs="Amiri" w:hint="cs"/>
          <w:b/>
          <w:bCs/>
          <w:color w:val="222222"/>
          <w:sz w:val="28"/>
          <w:szCs w:val="28"/>
          <w:rtl/>
          <w:lang w:bidi="ar-DZ"/>
        </w:rPr>
        <w:t xml:space="preserve"> </w:t>
      </w:r>
      <w:r w:rsidRPr="00721388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 </w:t>
      </w:r>
      <w:r w:rsidR="00721388">
        <w:rPr>
          <w:rFonts w:ascii="Amiri" w:eastAsia="Times New Roman" w:hAnsi="Amiri" w:cs="Amiri"/>
          <w:color w:val="222222"/>
          <w:sz w:val="28"/>
          <w:szCs w:val="28"/>
        </w:rPr>
        <w:t>(</w:t>
      </w:r>
      <w:proofErr w:type="spellStart"/>
      <w:r w:rsidR="00721388">
        <w:rPr>
          <w:rFonts w:ascii="Amiri" w:eastAsia="Times New Roman" w:hAnsi="Amiri" w:cs="Amiri"/>
          <w:color w:val="222222"/>
          <w:sz w:val="28"/>
          <w:szCs w:val="28"/>
        </w:rPr>
        <w:t>Pre</w:t>
      </w:r>
      <w:proofErr w:type="spellEnd"/>
      <w:r w:rsidR="00721388">
        <w:rPr>
          <w:rFonts w:ascii="Amiri" w:eastAsia="Times New Roman" w:hAnsi="Amiri" w:cs="Amiri"/>
          <w:color w:val="222222"/>
          <w:sz w:val="28"/>
          <w:szCs w:val="28"/>
        </w:rPr>
        <w:t>-Launch Phase</w:t>
      </w:r>
      <w:proofErr w:type="gramStart"/>
      <w:r w:rsidR="00721388">
        <w:rPr>
          <w:rFonts w:ascii="Amiri" w:eastAsia="Times New Roman" w:hAnsi="Amiri" w:cs="Amiri"/>
          <w:color w:val="222222"/>
          <w:sz w:val="28"/>
          <w:szCs w:val="28"/>
        </w:rPr>
        <w:t>)</w:t>
      </w:r>
      <w:proofErr w:type="gramEnd"/>
      <w:r w:rsidR="00721388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هذه المرحلة تسبق الطرح الفعلي وتهدف إلى بناء التوقع والحماس</w:t>
      </w:r>
      <w:r w:rsidR="004A6C29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بناء التوقع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(Teasers):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استخدام حملات غامضة على وسائل التواصل الاجتماعي والإعلانات لخلق فضول حول المنتج دون الكشف عنه بالكامل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اختبار السوق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(Market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Testing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طرح المنتج في منطقة جغرافية محددة أو لمجموعة صغيرة من المستهلكين (تجربة بيتا) لجمع الملاحظات وإجراء التحسينات النهائية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التدريب الداخلي: تدريب فرق المبيعات وخدمة العملاء على كل ما يخص المنتج لضمان تقديم تجربة متماسكة للعميل</w:t>
      </w:r>
      <w:r w:rsidR="004A6C29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="004A6C29">
        <w:rPr>
          <w:rFonts w:ascii="Amiri" w:eastAsia="Times New Roman" w:hAnsi="Amiri" w:cs="Amiri"/>
          <w:color w:val="222222"/>
          <w:sz w:val="28"/>
          <w:szCs w:val="28"/>
        </w:rPr>
        <w:br/>
      </w:r>
      <w:r w:rsidR="004A6C29" w:rsidRPr="004A6C29">
        <w:rPr>
          <w:rFonts w:ascii="Amiri" w:eastAsia="Times New Roman" w:hAnsi="Amiri" w:cs="Amiri" w:hint="cs"/>
          <w:b/>
          <w:bCs/>
          <w:color w:val="222222"/>
          <w:sz w:val="28"/>
          <w:szCs w:val="28"/>
          <w:rtl/>
        </w:rPr>
        <w:t xml:space="preserve">5. </w:t>
      </w:r>
      <w:proofErr w:type="gramStart"/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مرحلة</w:t>
      </w:r>
      <w:proofErr w:type="gramEnd"/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 xml:space="preserve"> الطرح الرسمي</w:t>
      </w:r>
      <w:r w:rsidR="004A6C29">
        <w:rPr>
          <w:rFonts w:ascii="Amiri" w:eastAsia="Times New Roman" w:hAnsi="Amiri" w:cs="Amiri"/>
          <w:color w:val="222222"/>
          <w:sz w:val="28"/>
          <w:szCs w:val="28"/>
        </w:rPr>
        <w:t xml:space="preserve"> (Official Launch Phase)</w:t>
      </w:r>
      <w:r w:rsidR="004A6C29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هي ذروة العملية وهدفها إحداث أكبر تأثير ممكن في اليوم الأول وما يليه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فعالية الإطلاق: تنظيم مؤتمر صحفي أو حدث لوسائل الإعلام والمؤثرين للإعلان الرسمي عن المنتج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تفعيل جميع قنوات الترويج: بدء الحملات الإعلانية المكثفة عبر جميع القنوات المخطط لها في وقت متزامن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lastRenderedPageBreak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تفعيل قنوات البيع: جعل المنتج متاحًا للشراء فعليًا عبر جميع قنوات التوزيع المحددة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="004A6C29" w:rsidRPr="004A6C29">
        <w:rPr>
          <w:rFonts w:ascii="Amiri" w:eastAsia="Times New Roman" w:hAnsi="Amiri" w:cs="Amiri" w:hint="cs"/>
          <w:b/>
          <w:bCs/>
          <w:color w:val="222222"/>
          <w:sz w:val="28"/>
          <w:szCs w:val="28"/>
          <w:rtl/>
          <w:lang w:bidi="ar-DZ"/>
        </w:rPr>
        <w:t>6.</w:t>
      </w:r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 </w:t>
      </w:r>
      <w:proofErr w:type="gramStart"/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مرحلة</w:t>
      </w:r>
      <w:proofErr w:type="gramEnd"/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 xml:space="preserve"> ما بعد الطرح</w:t>
      </w:r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</w:rPr>
        <w:t xml:space="preserve"> 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(Post-Launch Phase)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لا ينتهي العمل بمجرد طرح المنتج؛ بل تبدأ مرحلة المراقبة والتحسين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مراقبة الأداء: تتبع مؤشرات الأداء الرئيسية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KPIs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)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مثل حجم المبيعات، حصة السوق، ردود فعل العملاء، وحركة المرور على مواقع الإنترنت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جمع التعليقات: الاستماع إلى آراء العملاء عبر استطلاعات الرأي، التقييمات عبر الإنترنت، ووسائل التواصل الاجتماعي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التكيف والتصحيح: استخدام البيانات المجمعة لإجراء تعديلات سريعة على استراتيجية التسويق، المنتج نفسه (من خلال التحديثات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)،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أو حتى التسعير إذا لزم الأمر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="004A6C29" w:rsidRPr="004A6C29">
        <w:rPr>
          <w:rFonts w:ascii="Amiri" w:eastAsia="Times New Roman" w:hAnsi="Amiri" w:cs="Amiri" w:hint="cs"/>
          <w:b/>
          <w:bCs/>
          <w:color w:val="222222"/>
          <w:sz w:val="28"/>
          <w:szCs w:val="28"/>
          <w:rtl/>
        </w:rPr>
        <w:t xml:space="preserve">7. </w:t>
      </w:r>
      <w:r w:rsidRPr="004A6C29">
        <w:rPr>
          <w:rFonts w:ascii="Amiri" w:eastAsia="Times New Roman" w:hAnsi="Amiri" w:cs="Amiri"/>
          <w:b/>
          <w:bCs/>
          <w:color w:val="222222"/>
          <w:sz w:val="28"/>
          <w:szCs w:val="28"/>
          <w:rtl/>
        </w:rPr>
        <w:t>التقييم النهائي وتدوين الدروس المستفادة</w:t>
      </w:r>
      <w:r w:rsidR="004A6C29">
        <w:rPr>
          <w:rFonts w:ascii="Amiri" w:eastAsia="Times New Roman" w:hAnsi="Amiri" w:cs="Amiri" w:hint="cs"/>
          <w:color w:val="222222"/>
          <w:sz w:val="28"/>
          <w:szCs w:val="28"/>
          <w:rtl/>
        </w:rPr>
        <w:t xml:space="preserve"> 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(Evaluation and Learning)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بعد استقرار المنتج في السوق (عادة بعد 6-12 شهرًا)، يتم إجراء تقييم شامل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: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قياس العائد على الاستثمار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(ROI):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هل حقق الطرح الأهداف المالية الموضوعة؟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تحليل النجاحات والإخفاقات: تحديد ما الذي سار بشكل جيد وما الذي يمكن تحسينه في المرات القادمة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· </w:t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توثيق الدروس المستفادة: إنشاء تقرير شامل يوثق العملية برمتها ليكون مرجعًا لفريق تطوير المنتج التالي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عملية طرح منتج جديد هي رحلة استراتيجية شاملة تتطلب تخطيطًا دقيقًا، تنسيقًا بين جميع أقسام الشركة، وتنفيذًا لا تشوبه شائبة. إنها ليست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حدثًا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لمرة واحدة، بل هي دورة حياة تبدأ بالفكرة وتستمر عبر التطوير، الطرح، والتحسين المستمر. إن إتقان هذه العملية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هو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 xml:space="preserve"> ما يميز الشركات الناجحة والقادرة على الابتكار والنمو في أسواق شديدة التنافس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</w:r>
      <w:proofErr w:type="gramStart"/>
      <w:r w:rsidR="000C4737" w:rsidRPr="000C4737">
        <w:rPr>
          <w:rFonts w:ascii="Amiri" w:eastAsia="Times New Roman" w:hAnsi="Amiri" w:cs="Amiri" w:hint="cs"/>
          <w:b/>
          <w:bCs/>
          <w:color w:val="222222"/>
          <w:sz w:val="32"/>
          <w:szCs w:val="32"/>
          <w:rtl/>
          <w:lang w:bidi="ar-DZ"/>
        </w:rPr>
        <w:t>المراجع</w:t>
      </w:r>
      <w:proofErr w:type="gramEnd"/>
    </w:p>
    <w:p w:rsidR="004A6C29" w:rsidRDefault="001D23B3" w:rsidP="000C4737">
      <w:pPr>
        <w:shd w:val="clear" w:color="auto" w:fill="FFFFFF"/>
        <w:bidi/>
        <w:spacing w:line="240" w:lineRule="auto"/>
        <w:jc w:val="right"/>
        <w:rPr>
          <w:rFonts w:ascii="Amiri" w:eastAsia="Times New Roman" w:hAnsi="Amiri" w:cs="Amiri"/>
          <w:color w:val="222222"/>
          <w:sz w:val="28"/>
          <w:szCs w:val="28"/>
        </w:rPr>
      </w:pPr>
      <w:r w:rsidRPr="001D23B3">
        <w:rPr>
          <w:rFonts w:ascii="Amiri" w:eastAsia="Times New Roman" w:hAnsi="Amiri" w:cs="Amiri"/>
          <w:color w:val="222222"/>
          <w:sz w:val="28"/>
          <w:szCs w:val="28"/>
        </w:rPr>
        <w:t>Kotler, P., &amp; Keller, K. L. (2016). Marketing management</w:t>
      </w:r>
      <w:r w:rsidR="000C4737">
        <w:rPr>
          <w:rFonts w:ascii="Amiri" w:eastAsia="Times New Roman" w:hAnsi="Amiri" w:cs="Amiri"/>
          <w:color w:val="222222"/>
          <w:sz w:val="28"/>
          <w:szCs w:val="28"/>
        </w:rPr>
        <w:t xml:space="preserve"> (15th </w:t>
      </w:r>
      <w:proofErr w:type="spellStart"/>
      <w:r w:rsidR="000C4737">
        <w:rPr>
          <w:rFonts w:ascii="Amiri" w:eastAsia="Times New Roman" w:hAnsi="Amiri" w:cs="Amiri"/>
          <w:color w:val="222222"/>
          <w:sz w:val="28"/>
          <w:szCs w:val="28"/>
        </w:rPr>
        <w:t>ed</w:t>
      </w:r>
      <w:proofErr w:type="spellEnd"/>
      <w:r w:rsidR="000C4737">
        <w:rPr>
          <w:rFonts w:ascii="Amiri" w:eastAsia="Times New Roman" w:hAnsi="Amiri" w:cs="Amiri"/>
          <w:color w:val="222222"/>
          <w:sz w:val="28"/>
          <w:szCs w:val="28"/>
        </w:rPr>
        <w:t>.). Pearson Education.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br/>
        <w:t xml:space="preserve">Moore, G. A. (2014).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Crossing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the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chasm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: Marketing and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selling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disruptive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products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to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mainstream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customers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 (3rd </w:t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</w:rPr>
        <w:t>ed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</w:rPr>
        <w:t xml:space="preserve">.). </w:t>
      </w: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>Harper Business.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br/>
      </w:r>
      <w:proofErr w:type="spellStart"/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lastRenderedPageBreak/>
        <w:t>Perreault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>, W. D., Cannon, J. P., &amp; McCarthy, E. J. (2021).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 Essentials of marketing: A marketing strategy planning approach (17</w:t>
      </w:r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th </w:t>
      </w:r>
      <w:proofErr w:type="gramStart"/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>ed</w:t>
      </w:r>
      <w:proofErr w:type="gramEnd"/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.). </w:t>
      </w:r>
      <w:proofErr w:type="gramStart"/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>McGraw-Hill Education.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br/>
      </w:r>
      <w:proofErr w:type="spellStart"/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>Ries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>, A., &amp; Trout, J. (2001).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 Positioning: The battle for your mind </w:t>
      </w:r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(20th </w:t>
      </w:r>
      <w:proofErr w:type="spellStart"/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>anniv</w:t>
      </w:r>
      <w:proofErr w:type="spellEnd"/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. </w:t>
      </w:r>
      <w:proofErr w:type="gramStart"/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>ed</w:t>
      </w:r>
      <w:proofErr w:type="gramEnd"/>
      <w:r w:rsidR="000C4737">
        <w:rPr>
          <w:rFonts w:ascii="Amiri" w:eastAsia="Times New Roman" w:hAnsi="Amiri" w:cs="Amiri"/>
          <w:color w:val="222222"/>
          <w:sz w:val="28"/>
          <w:szCs w:val="28"/>
          <w:lang w:val="en-US"/>
        </w:rPr>
        <w:t>.). McGraw-Hill.</w:t>
      </w:r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br/>
      </w:r>
      <w:proofErr w:type="spellStart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>Ulwick</w:t>
      </w:r>
      <w:proofErr w:type="spellEnd"/>
      <w:r w:rsidRPr="001D23B3">
        <w:rPr>
          <w:rFonts w:ascii="Amiri" w:eastAsia="Times New Roman" w:hAnsi="Amiri" w:cs="Amiri"/>
          <w:color w:val="222222"/>
          <w:sz w:val="28"/>
          <w:szCs w:val="28"/>
          <w:lang w:val="en-US"/>
        </w:rPr>
        <w:t xml:space="preserve">, A. W. (2005). What customers want: Using outcome-driven innovation to create breakthrough products and services. </w:t>
      </w:r>
      <w:proofErr w:type="spellStart"/>
      <w:r w:rsidR="004A6C29">
        <w:rPr>
          <w:rFonts w:ascii="Amiri" w:eastAsia="Times New Roman" w:hAnsi="Amiri" w:cs="Amiri"/>
          <w:color w:val="222222"/>
          <w:sz w:val="28"/>
          <w:szCs w:val="28"/>
        </w:rPr>
        <w:t>McGraw</w:t>
      </w:r>
      <w:proofErr w:type="spellEnd"/>
      <w:r w:rsidR="004A6C29">
        <w:rPr>
          <w:rFonts w:ascii="Amiri" w:eastAsia="Times New Roman" w:hAnsi="Amiri" w:cs="Amiri"/>
          <w:color w:val="222222"/>
          <w:sz w:val="28"/>
          <w:szCs w:val="28"/>
        </w:rPr>
        <w:t>-Hill.</w:t>
      </w:r>
    </w:p>
    <w:p w:rsidR="001D23B3" w:rsidRPr="001D23B3" w:rsidRDefault="001D23B3" w:rsidP="004A6C29">
      <w:pPr>
        <w:shd w:val="clear" w:color="auto" w:fill="FFFFFF"/>
        <w:bidi/>
        <w:spacing w:line="240" w:lineRule="auto"/>
        <w:rPr>
          <w:rFonts w:ascii="Amiri" w:eastAsia="Times New Roman" w:hAnsi="Amiri" w:cs="Amiri"/>
          <w:color w:val="222222"/>
          <w:sz w:val="28"/>
          <w:szCs w:val="28"/>
        </w:rPr>
      </w:pPr>
      <w:proofErr w:type="gramStart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ملاحظة</w:t>
      </w:r>
      <w:proofErr w:type="gramEnd"/>
      <w:r w:rsidRPr="001D23B3">
        <w:rPr>
          <w:rFonts w:ascii="Amiri" w:eastAsia="Times New Roman" w:hAnsi="Amiri" w:cs="Amiri"/>
          <w:color w:val="222222"/>
          <w:sz w:val="28"/>
          <w:szCs w:val="28"/>
          <w:rtl/>
        </w:rPr>
        <w:t>: هذه المراجع افتراضية وشائعة الاستخدام في هذا المجال، ويجب استبدالها بمراجع فعلية تم الرجوع إليها إذا كان هذا الدرس لأغراض أكاديمية فعلية</w:t>
      </w:r>
      <w:r w:rsidRPr="001D23B3">
        <w:rPr>
          <w:rFonts w:ascii="Amiri" w:eastAsia="Times New Roman" w:hAnsi="Amiri" w:cs="Amiri"/>
          <w:color w:val="222222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"/>
        <w:gridCol w:w="8790"/>
      </w:tblGrid>
      <w:tr w:rsidR="001D23B3" w:rsidRPr="001D23B3" w:rsidTr="001D23B3">
        <w:tc>
          <w:tcPr>
            <w:tcW w:w="609" w:type="dxa"/>
            <w:tcMar>
              <w:top w:w="0" w:type="dxa"/>
              <w:left w:w="222" w:type="dxa"/>
              <w:bottom w:w="0" w:type="dxa"/>
              <w:right w:w="222" w:type="dxa"/>
            </w:tcMar>
            <w:hideMark/>
          </w:tcPr>
          <w:p w:rsidR="001D23B3" w:rsidRPr="001D23B3" w:rsidRDefault="00C35562" w:rsidP="004A6C29">
            <w:pPr>
              <w:bidi/>
              <w:spacing w:after="0" w:line="240" w:lineRule="auto"/>
              <w:rPr>
                <w:rFonts w:ascii="Amiri" w:eastAsia="Times New Roman" w:hAnsi="Amiri" w:cs="Amiri"/>
                <w:sz w:val="28"/>
                <w:szCs w:val="28"/>
              </w:rPr>
            </w:pPr>
            <w:r w:rsidRPr="00C35562">
              <w:rPr>
                <w:rFonts w:ascii="Amiri" w:eastAsia="Times New Roman" w:hAnsi="Amiri" w:cs="Amiri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:29_1" o:spid="_x0000_i1025" type="#_x0000_t75" alt="" style="width:24.25pt;height:24.25pt"/>
              </w:pict>
            </w:r>
          </w:p>
        </w:tc>
        <w:tc>
          <w:tcPr>
            <w:tcW w:w="122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23B3" w:rsidRPr="001D23B3" w:rsidRDefault="001D23B3" w:rsidP="004A6C29">
            <w:pPr>
              <w:bidi/>
              <w:spacing w:after="0" w:line="240" w:lineRule="auto"/>
              <w:rPr>
                <w:rFonts w:ascii="Amiri" w:eastAsia="Times New Roman" w:hAnsi="Amiri" w:cs="Amiri"/>
                <w:sz w:val="28"/>
                <w:szCs w:val="28"/>
              </w:rPr>
            </w:pPr>
          </w:p>
        </w:tc>
      </w:tr>
    </w:tbl>
    <w:p w:rsidR="000235E6" w:rsidRDefault="000235E6" w:rsidP="004A6C29">
      <w:pPr>
        <w:bidi/>
        <w:rPr>
          <w:rtl/>
          <w:lang w:bidi="ar-DZ"/>
        </w:rPr>
      </w:pPr>
    </w:p>
    <w:sectPr w:rsidR="000235E6" w:rsidSect="000C4737">
      <w:pgSz w:w="11906" w:h="16838"/>
      <w:pgMar w:top="1417" w:right="1417" w:bottom="993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1D23B3"/>
    <w:rsid w:val="000235E6"/>
    <w:rsid w:val="000C4737"/>
    <w:rsid w:val="001D23B3"/>
    <w:rsid w:val="004A6C29"/>
    <w:rsid w:val="00721388"/>
    <w:rsid w:val="00C35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5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3752">
                      <w:marLeft w:val="0"/>
                      <w:marRight w:val="0"/>
                      <w:marTop w:val="1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2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4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6849">
              <w:marLeft w:val="-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carinfo</dc:creator>
  <cp:keywords/>
  <dc:description/>
  <cp:lastModifiedBy>carinfo</cp:lastModifiedBy>
  <cp:revision>4</cp:revision>
  <dcterms:created xsi:type="dcterms:W3CDTF">2026-01-05T13:00:00Z</dcterms:created>
  <dcterms:modified xsi:type="dcterms:W3CDTF">2026-01-05T14:07:00Z</dcterms:modified>
</cp:coreProperties>
</file>