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5B248" w14:textId="77777777" w:rsidR="00DA3D03" w:rsidRDefault="00062243">
      <w:pPr>
        <w:spacing w:after="277" w:line="259" w:lineRule="auto"/>
        <w:ind w:left="0" w:right="983" w:firstLine="0"/>
        <w:jc w:val="right"/>
      </w:pPr>
      <w:r>
        <w:rPr>
          <w:b/>
        </w:rPr>
        <w:t xml:space="preserve">Ministère de l’enseignement supérieur et de la recherche scientifique </w:t>
      </w:r>
    </w:p>
    <w:p w14:paraId="12C550EC" w14:textId="77777777" w:rsidR="00DA3D03" w:rsidRDefault="00062243">
      <w:pPr>
        <w:pStyle w:val="Titre1"/>
        <w:spacing w:after="272"/>
        <w:ind w:left="2031" w:right="0"/>
      </w:pPr>
      <w:r>
        <w:t xml:space="preserve">Centre Universitaire </w:t>
      </w:r>
      <w:proofErr w:type="spellStart"/>
      <w:r>
        <w:t>Abdelhafid</w:t>
      </w:r>
      <w:proofErr w:type="spellEnd"/>
      <w:r>
        <w:t xml:space="preserve"> </w:t>
      </w:r>
      <w:proofErr w:type="spellStart"/>
      <w:r>
        <w:t>Boussouf</w:t>
      </w:r>
      <w:proofErr w:type="spellEnd"/>
      <w:r>
        <w:t xml:space="preserve"> – Mila </w:t>
      </w:r>
    </w:p>
    <w:p w14:paraId="36BE1C44" w14:textId="77777777" w:rsidR="00DA3D03" w:rsidRDefault="00062243">
      <w:pPr>
        <w:spacing w:after="276" w:line="259" w:lineRule="auto"/>
        <w:ind w:left="169" w:firstLine="0"/>
        <w:jc w:val="center"/>
      </w:pPr>
      <w:r>
        <w:rPr>
          <w:b/>
        </w:rPr>
        <w:t xml:space="preserve">  </w:t>
      </w:r>
    </w:p>
    <w:p w14:paraId="364F2ED3" w14:textId="77777777" w:rsidR="00DA3D03" w:rsidRDefault="00062243">
      <w:pPr>
        <w:spacing w:after="263" w:line="259" w:lineRule="auto"/>
        <w:ind w:left="109" w:firstLine="0"/>
        <w:jc w:val="center"/>
      </w:pPr>
      <w:r>
        <w:rPr>
          <w:b/>
        </w:rPr>
        <w:t xml:space="preserve"> </w:t>
      </w:r>
    </w:p>
    <w:p w14:paraId="16C4317E" w14:textId="77777777" w:rsidR="00DA3D03" w:rsidRDefault="00062243">
      <w:pPr>
        <w:spacing w:after="220" w:line="259" w:lineRule="auto"/>
        <w:ind w:left="107" w:firstLine="0"/>
        <w:jc w:val="center"/>
      </w:pPr>
      <w:r>
        <w:rPr>
          <w:noProof/>
        </w:rPr>
        <w:drawing>
          <wp:inline distT="0" distB="0" distL="0" distR="0" wp14:anchorId="13E5C75D" wp14:editId="711E075C">
            <wp:extent cx="2064639" cy="283146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
                    <a:stretch>
                      <a:fillRect/>
                    </a:stretch>
                  </pic:blipFill>
                  <pic:spPr>
                    <a:xfrm>
                      <a:off x="0" y="0"/>
                      <a:ext cx="2064639" cy="2831465"/>
                    </a:xfrm>
                    <a:prstGeom prst="rect">
                      <a:avLst/>
                    </a:prstGeom>
                  </pic:spPr>
                </pic:pic>
              </a:graphicData>
            </a:graphic>
          </wp:inline>
        </w:drawing>
      </w:r>
      <w:r>
        <w:rPr>
          <w:b/>
        </w:rPr>
        <w:t xml:space="preserve"> </w:t>
      </w:r>
    </w:p>
    <w:p w14:paraId="7FAB6445" w14:textId="77777777" w:rsidR="00DA3D03" w:rsidRDefault="00062243">
      <w:pPr>
        <w:spacing w:after="272" w:line="259" w:lineRule="auto"/>
        <w:ind w:left="109" w:firstLine="0"/>
        <w:jc w:val="center"/>
      </w:pPr>
      <w:r>
        <w:rPr>
          <w:b/>
        </w:rPr>
        <w:t xml:space="preserve"> </w:t>
      </w:r>
    </w:p>
    <w:p w14:paraId="6D329F6D" w14:textId="77777777" w:rsidR="00DA3D03" w:rsidRDefault="00062243">
      <w:pPr>
        <w:spacing w:after="276" w:line="259" w:lineRule="auto"/>
        <w:ind w:left="169" w:firstLine="0"/>
        <w:jc w:val="center"/>
      </w:pPr>
      <w:r>
        <w:rPr>
          <w:b/>
        </w:rPr>
        <w:t xml:space="preserve">  </w:t>
      </w:r>
    </w:p>
    <w:p w14:paraId="4A1B1C3F" w14:textId="77777777" w:rsidR="00DA3D03" w:rsidRDefault="00062243">
      <w:pPr>
        <w:spacing w:after="275" w:line="259" w:lineRule="auto"/>
        <w:ind w:left="57"/>
        <w:jc w:val="center"/>
      </w:pPr>
      <w:r>
        <w:rPr>
          <w:b/>
        </w:rPr>
        <w:t xml:space="preserve">Faculté des Lettres et des Langues </w:t>
      </w:r>
    </w:p>
    <w:p w14:paraId="0D177C46" w14:textId="77777777" w:rsidR="00DA3D03" w:rsidRDefault="00062243">
      <w:pPr>
        <w:spacing w:after="275" w:line="259" w:lineRule="auto"/>
        <w:ind w:left="57"/>
        <w:jc w:val="center"/>
      </w:pPr>
      <w:r>
        <w:rPr>
          <w:b/>
        </w:rPr>
        <w:t xml:space="preserve">Département de Français </w:t>
      </w:r>
    </w:p>
    <w:p w14:paraId="590745AC" w14:textId="77777777" w:rsidR="00DA3D03" w:rsidRDefault="00062243">
      <w:pPr>
        <w:spacing w:after="276" w:line="259" w:lineRule="auto"/>
        <w:ind w:left="169" w:firstLine="0"/>
        <w:jc w:val="center"/>
      </w:pPr>
      <w:r>
        <w:rPr>
          <w:b/>
        </w:rPr>
        <w:t xml:space="preserve">  </w:t>
      </w:r>
    </w:p>
    <w:p w14:paraId="0708B2D3" w14:textId="77777777" w:rsidR="00DA3D03" w:rsidRDefault="00062243">
      <w:pPr>
        <w:spacing w:after="275" w:line="259" w:lineRule="auto"/>
        <w:ind w:left="57" w:right="4"/>
        <w:jc w:val="center"/>
      </w:pPr>
      <w:r>
        <w:rPr>
          <w:b/>
        </w:rPr>
        <w:t xml:space="preserve">Module </w:t>
      </w:r>
    </w:p>
    <w:p w14:paraId="73C10C3C" w14:textId="77777777" w:rsidR="00DA3D03" w:rsidRDefault="00062243">
      <w:pPr>
        <w:spacing w:after="276" w:line="259" w:lineRule="auto"/>
        <w:ind w:left="2027"/>
      </w:pPr>
      <w:r>
        <w:rPr>
          <w:b/>
        </w:rPr>
        <w:t xml:space="preserve">TECHNIQUE DU TRAVAIL UNIVERSITAIRE </w:t>
      </w:r>
    </w:p>
    <w:p w14:paraId="4FFF53DB" w14:textId="77777777" w:rsidR="00DA3D03" w:rsidRDefault="00062243">
      <w:pPr>
        <w:spacing w:after="275" w:line="259" w:lineRule="auto"/>
        <w:ind w:left="57" w:right="2"/>
        <w:jc w:val="center"/>
      </w:pPr>
      <w:r>
        <w:rPr>
          <w:b/>
        </w:rPr>
        <w:t xml:space="preserve">(T.T.U)  </w:t>
      </w:r>
    </w:p>
    <w:p w14:paraId="1140CE5B" w14:textId="77777777" w:rsidR="00DA3D03" w:rsidRDefault="00062243">
      <w:pPr>
        <w:spacing w:after="295" w:line="259" w:lineRule="auto"/>
        <w:ind w:left="-5"/>
      </w:pPr>
      <w:r>
        <w:rPr>
          <w:b/>
        </w:rPr>
        <w:t>Cours du 1</w:t>
      </w:r>
      <w:r>
        <w:rPr>
          <w:b/>
          <w:vertAlign w:val="superscript"/>
        </w:rPr>
        <w:t>er</w:t>
      </w:r>
      <w:r>
        <w:rPr>
          <w:b/>
        </w:rPr>
        <w:t xml:space="preserve"> semestre</w:t>
      </w:r>
      <w:r>
        <w:t xml:space="preserve">  </w:t>
      </w:r>
    </w:p>
    <w:p w14:paraId="7E392BB5" w14:textId="77777777" w:rsidR="00DA3D03" w:rsidRDefault="00062243">
      <w:pPr>
        <w:spacing w:after="276" w:line="259" w:lineRule="auto"/>
        <w:ind w:left="-5"/>
      </w:pPr>
      <w:r>
        <w:rPr>
          <w:b/>
        </w:rPr>
        <w:t xml:space="preserve">Niveau : 1ère année LMD </w:t>
      </w:r>
    </w:p>
    <w:p w14:paraId="724EB6DC" w14:textId="77777777" w:rsidR="00DA3D03" w:rsidRDefault="00062243">
      <w:pPr>
        <w:spacing w:after="272" w:line="259" w:lineRule="auto"/>
        <w:ind w:left="-5"/>
      </w:pPr>
      <w:r>
        <w:rPr>
          <w:b/>
        </w:rPr>
        <w:t xml:space="preserve">Enseignante : BOUBRIDAA.S  </w:t>
      </w:r>
    </w:p>
    <w:p w14:paraId="50CA1CB8" w14:textId="2D4B28BA" w:rsidR="00DA3D03" w:rsidRDefault="00062243">
      <w:pPr>
        <w:spacing w:after="5" w:line="259" w:lineRule="auto"/>
        <w:ind w:left="-5"/>
      </w:pPr>
      <w:r>
        <w:rPr>
          <w:b/>
        </w:rPr>
        <w:t>Année universitaire :202</w:t>
      </w:r>
      <w:r w:rsidR="00BC6E05">
        <w:rPr>
          <w:b/>
          <w:lang w:val="fr-FR"/>
        </w:rPr>
        <w:t>5</w:t>
      </w:r>
      <w:r>
        <w:rPr>
          <w:b/>
        </w:rPr>
        <w:t>/202</w:t>
      </w:r>
      <w:r w:rsidR="00BC6E05">
        <w:rPr>
          <w:b/>
          <w:lang w:val="fr-FR"/>
        </w:rPr>
        <w:t>6</w:t>
      </w:r>
      <w:r>
        <w:rPr>
          <w:b/>
        </w:rPr>
        <w:t xml:space="preserve"> </w:t>
      </w:r>
    </w:p>
    <w:p w14:paraId="74BC8FFD" w14:textId="77777777" w:rsidR="00DA3D03" w:rsidRDefault="00062243">
      <w:pPr>
        <w:spacing w:after="276" w:line="259" w:lineRule="auto"/>
        <w:ind w:left="-5"/>
      </w:pPr>
      <w:r>
        <w:rPr>
          <w:b/>
        </w:rPr>
        <w:lastRenderedPageBreak/>
        <w:t xml:space="preserve">Cours : 01 Comprendre le système LMD </w:t>
      </w:r>
    </w:p>
    <w:p w14:paraId="00ECD241" w14:textId="77777777" w:rsidR="00DA3D03" w:rsidRDefault="00062243">
      <w:pPr>
        <w:spacing w:after="0" w:line="259" w:lineRule="auto"/>
        <w:ind w:left="2281" w:firstLine="0"/>
      </w:pPr>
      <w:r>
        <w:rPr>
          <w:b/>
        </w:rPr>
        <w:t xml:space="preserve"> </w:t>
      </w:r>
    </w:p>
    <w:p w14:paraId="184AA61D" w14:textId="77777777" w:rsidR="00DA3D03" w:rsidRDefault="00062243">
      <w:pPr>
        <w:pStyle w:val="Titre1"/>
        <w:ind w:left="294" w:right="0"/>
      </w:pPr>
      <w:r>
        <w:t>1.</w:t>
      </w:r>
      <w:r>
        <w:rPr>
          <w:rFonts w:ascii="Arial" w:eastAsia="Arial" w:hAnsi="Arial" w:cs="Arial"/>
        </w:rPr>
        <w:t xml:space="preserve"> </w:t>
      </w:r>
      <w:r>
        <w:t>Introduction</w:t>
      </w:r>
      <w:r>
        <w:rPr>
          <w:b w:val="0"/>
        </w:rPr>
        <w:t xml:space="preserve"> </w:t>
      </w:r>
      <w:r>
        <w:t>: Comprendre le système LMD</w:t>
      </w:r>
      <w:r>
        <w:rPr>
          <w:vertAlign w:val="superscript"/>
        </w:rPr>
        <w:footnoteReference w:id="1"/>
      </w:r>
      <w:r>
        <w:rPr>
          <w:b w:val="0"/>
        </w:rPr>
        <w:t xml:space="preserve"> </w:t>
      </w:r>
    </w:p>
    <w:p w14:paraId="02D3573E" w14:textId="77777777" w:rsidR="00DA3D03" w:rsidRDefault="00062243">
      <w:pPr>
        <w:spacing w:after="0" w:line="259" w:lineRule="auto"/>
        <w:ind w:left="720" w:firstLine="0"/>
      </w:pPr>
      <w:r>
        <w:t xml:space="preserve"> </w:t>
      </w:r>
    </w:p>
    <w:p w14:paraId="00C6A70D" w14:textId="77777777" w:rsidR="00DA3D03" w:rsidRDefault="00062243">
      <w:r>
        <w:t xml:space="preserve"> </w:t>
      </w:r>
      <w:r>
        <w:tab/>
        <w:t xml:space="preserve">Le LMD est un dispositif instauré en Algérie par le décret exécutif n°04-371 </w:t>
      </w:r>
      <w:proofErr w:type="gramStart"/>
      <w:r>
        <w:t>du</w:t>
      </w:r>
      <w:proofErr w:type="gramEnd"/>
      <w:r>
        <w:t xml:space="preserve"> 21 novembre 2004. Son objectif est d'intégrer l'Université dans le développement économique tout en harmonisant le système d'enseignement sup</w:t>
      </w:r>
      <w:r>
        <w:t xml:space="preserve">érieur algérien avec les standards internationaux, selon un modèle novateur. Ce système repose sur une structure de trois cycles de formation (Licence-Master-Doctorat), chacun ayant des objectifs et des crédits spécifiques. </w:t>
      </w:r>
    </w:p>
    <w:p w14:paraId="60035E6D" w14:textId="77777777" w:rsidR="00DA3D03" w:rsidRDefault="00062243">
      <w:pPr>
        <w:spacing w:after="1" w:line="259" w:lineRule="auto"/>
        <w:ind w:left="720" w:firstLine="0"/>
      </w:pPr>
      <w:r>
        <w:t xml:space="preserve"> </w:t>
      </w:r>
    </w:p>
    <w:p w14:paraId="7C4A535E" w14:textId="77777777" w:rsidR="00DA3D03" w:rsidRDefault="00062243">
      <w:pPr>
        <w:spacing w:after="5" w:line="259" w:lineRule="auto"/>
        <w:ind w:left="294"/>
      </w:pPr>
      <w:r>
        <w:rPr>
          <w:b/>
        </w:rPr>
        <w:t>2.</w:t>
      </w:r>
      <w:r>
        <w:rPr>
          <w:rFonts w:ascii="Arial" w:eastAsia="Arial" w:hAnsi="Arial" w:cs="Arial"/>
          <w:b/>
        </w:rPr>
        <w:t xml:space="preserve"> </w:t>
      </w:r>
      <w:r>
        <w:rPr>
          <w:b/>
        </w:rPr>
        <w:t xml:space="preserve">La structure des parcours </w:t>
      </w:r>
      <w:r>
        <w:rPr>
          <w:b/>
        </w:rPr>
        <w:t>de formation</w:t>
      </w:r>
      <w:r>
        <w:rPr>
          <w:b/>
          <w:vertAlign w:val="superscript"/>
        </w:rPr>
        <w:footnoteReference w:id="2"/>
      </w:r>
      <w:r>
        <w:rPr>
          <w:b/>
        </w:rPr>
        <w:t xml:space="preserve"> </w:t>
      </w:r>
    </w:p>
    <w:p w14:paraId="4A6D3568" w14:textId="77777777" w:rsidR="00DA3D03" w:rsidRDefault="00062243">
      <w:pPr>
        <w:spacing w:after="0" w:line="259" w:lineRule="auto"/>
        <w:ind w:left="1081" w:firstLine="0"/>
      </w:pPr>
      <w:r>
        <w:rPr>
          <w:b/>
        </w:rPr>
        <w:t xml:space="preserve"> </w:t>
      </w:r>
    </w:p>
    <w:p w14:paraId="5AA6C526" w14:textId="77777777" w:rsidR="00DA3D03" w:rsidRDefault="00062243">
      <w:pPr>
        <w:pStyle w:val="Titre1"/>
        <w:ind w:left="1091" w:right="0"/>
      </w:pPr>
      <w:r>
        <w:t>a.</w:t>
      </w:r>
      <w:r>
        <w:rPr>
          <w:rFonts w:ascii="Arial" w:eastAsia="Arial" w:hAnsi="Arial" w:cs="Arial"/>
        </w:rPr>
        <w:t xml:space="preserve"> </w:t>
      </w:r>
      <w:r>
        <w:t xml:space="preserve"> Le cycle Licence </w:t>
      </w:r>
    </w:p>
    <w:p w14:paraId="4AE631FF" w14:textId="77777777" w:rsidR="00DA3D03" w:rsidRDefault="00062243">
      <w:pPr>
        <w:ind w:left="145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80D46B0" wp14:editId="205DA7EE">
                <wp:simplePos x="0" y="0"/>
                <wp:positionH relativeFrom="page">
                  <wp:posOffset>6670040</wp:posOffset>
                </wp:positionH>
                <wp:positionV relativeFrom="page">
                  <wp:posOffset>8531479</wp:posOffset>
                </wp:positionV>
                <wp:extent cx="368300" cy="274320"/>
                <wp:effectExtent l="0" t="0" r="0" b="0"/>
                <wp:wrapTopAndBottom/>
                <wp:docPr id="3188" name="Group 3188"/>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58" name="Shape 58"/>
                        <wps:cNvSpPr/>
                        <wps:spPr>
                          <a:xfrm>
                            <a:off x="273431" y="179577"/>
                            <a:ext cx="94869" cy="94742"/>
                          </a:xfrm>
                          <a:custGeom>
                            <a:avLst/>
                            <a:gdLst/>
                            <a:ahLst/>
                            <a:cxnLst/>
                            <a:rect l="0" t="0" r="0" b="0"/>
                            <a:pathLst>
                              <a:path w="94869" h="94742">
                                <a:moveTo>
                                  <a:pt x="94869" y="0"/>
                                </a:moveTo>
                                <a:lnTo>
                                  <a:pt x="0" y="94742"/>
                                </a:lnTo>
                                <a:lnTo>
                                  <a:pt x="19050" y="18924"/>
                                </a:lnTo>
                                <a:lnTo>
                                  <a:pt x="94869"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59" name="Shape 59"/>
                        <wps:cNvSpPr/>
                        <wps:spPr>
                          <a:xfrm>
                            <a:off x="0" y="0"/>
                            <a:ext cx="368300" cy="274320"/>
                          </a:xfrm>
                          <a:custGeom>
                            <a:avLst/>
                            <a:gdLst/>
                            <a:ahLst/>
                            <a:cxnLst/>
                            <a:rect l="0" t="0" r="0" b="0"/>
                            <a:pathLst>
                              <a:path w="368300" h="274320">
                                <a:moveTo>
                                  <a:pt x="273431" y="274320"/>
                                </a:moveTo>
                                <a:lnTo>
                                  <a:pt x="292481" y="198501"/>
                                </a:lnTo>
                                <a:lnTo>
                                  <a:pt x="368300" y="179577"/>
                                </a:lnTo>
                                <a:lnTo>
                                  <a:pt x="273431" y="274320"/>
                                </a:lnTo>
                                <a:lnTo>
                                  <a:pt x="0" y="274320"/>
                                </a:lnTo>
                                <a:lnTo>
                                  <a:pt x="0" y="0"/>
                                </a:lnTo>
                                <a:lnTo>
                                  <a:pt x="368300" y="0"/>
                                </a:lnTo>
                                <a:lnTo>
                                  <a:pt x="368300" y="179577"/>
                                </a:ln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60" name="Rectangle 60"/>
                        <wps:cNvSpPr/>
                        <wps:spPr>
                          <a:xfrm>
                            <a:off x="159766" y="64763"/>
                            <a:ext cx="71213" cy="140802"/>
                          </a:xfrm>
                          <a:prstGeom prst="rect">
                            <a:avLst/>
                          </a:prstGeom>
                          <a:ln>
                            <a:noFill/>
                          </a:ln>
                        </wps:spPr>
                        <wps:txbx>
                          <w:txbxContent>
                            <w:p w14:paraId="0D0F3B15" w14:textId="77777777" w:rsidR="00DA3D03" w:rsidRDefault="00062243">
                              <w:pPr>
                                <w:spacing w:after="160" w:line="259" w:lineRule="auto"/>
                                <w:ind w:left="0" w:firstLine="0"/>
                              </w:pPr>
                              <w:r>
                                <w:rPr>
                                  <w:rFonts w:ascii="Calibri" w:eastAsia="Calibri" w:hAnsi="Calibri" w:cs="Calibri"/>
                                  <w:w w:val="103"/>
                                  <w:sz w:val="16"/>
                                </w:rPr>
                                <w:t>2</w:t>
                              </w:r>
                            </w:p>
                          </w:txbxContent>
                        </wps:txbx>
                        <wps:bodyPr horzOverflow="overflow" vert="horz" lIns="0" tIns="0" rIns="0" bIns="0" rtlCol="0">
                          <a:noAutofit/>
                        </wps:bodyPr>
                      </wps:wsp>
                      <wps:wsp>
                        <wps:cNvPr id="61" name="Rectangle 61"/>
                        <wps:cNvSpPr/>
                        <wps:spPr>
                          <a:xfrm>
                            <a:off x="212978" y="23613"/>
                            <a:ext cx="55538" cy="211203"/>
                          </a:xfrm>
                          <a:prstGeom prst="rect">
                            <a:avLst/>
                          </a:prstGeom>
                          <a:ln>
                            <a:noFill/>
                          </a:ln>
                        </wps:spPr>
                        <wps:txbx>
                          <w:txbxContent>
                            <w:p w14:paraId="4C931C3E" w14:textId="77777777" w:rsidR="00DA3D03" w:rsidRDefault="00062243">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188" style="width:29pt;height:21.6pt;position:absolute;mso-position-horizontal-relative:page;mso-position-horizontal:absolute;margin-left:525.2pt;mso-position-vertical-relative:page;margin-top:671.77pt;" coordsize="3683,2743">
                <v:shape id="Shape 58" style="position:absolute;width:948;height:947;left:2734;top:1795;" coordsize="94869,94742" path="m94869,0l0,94742l19050,18924l94869,0x">
                  <v:stroke weight="0pt" endcap="flat" joinstyle="miter" miterlimit="10" on="false" color="#000000" opacity="0"/>
                  <v:fill on="true" color="#cdcdcd"/>
                </v:shape>
                <v:shape id="Shape 59" style="position:absolute;width:3683;height:2743;left:0;top:0;" coordsize="368300,274320" path="m273431,274320l292481,198501l368300,179577l273431,274320l0,274320l0,0l368300,0l368300,179577">
                  <v:stroke weight="0.25pt" endcap="flat" joinstyle="round" on="true" color="#808080"/>
                  <v:fill on="false" color="#000000" opacity="0"/>
                </v:shape>
                <v:rect id="Rectangle 60" style="position:absolute;width:712;height:1408;left:1597;top:647;" filled="f" stroked="f">
                  <v:textbox inset="0,0,0,0">
                    <w:txbxContent>
                      <w:p>
                        <w:pPr>
                          <w:spacing w:before="0" w:after="160" w:line="259" w:lineRule="auto"/>
                          <w:ind w:left="0" w:firstLine="0"/>
                        </w:pPr>
                        <w:r>
                          <w:rPr>
                            <w:rFonts w:cs="Calibri" w:hAnsi="Calibri" w:eastAsia="Calibri" w:ascii="Calibri"/>
                            <w:w w:val="103"/>
                            <w:sz w:val="16"/>
                          </w:rPr>
                          <w:t xml:space="preserve">2</w:t>
                        </w:r>
                      </w:p>
                    </w:txbxContent>
                  </v:textbox>
                </v:rect>
                <v:rect id="Rectangle 61" style="position:absolute;width:555;height:2112;left:2129;top:236;" filled="f" stroked="f">
                  <v:textbox inset="0,0,0,0">
                    <w:txbxContent>
                      <w:p>
                        <w:pPr>
                          <w:spacing w:before="0" w:after="160" w:line="259" w:lineRule="auto"/>
                          <w:ind w:left="0" w:firstLine="0"/>
                        </w:pPr>
                        <w:r>
                          <w:rPr>
                            <w:rFonts w:cs="Calibri" w:hAnsi="Calibri" w:eastAsia="Calibri" w:ascii="Calibri"/>
                          </w:rPr>
                          <w:t xml:space="preserve"> </w:t>
                        </w:r>
                      </w:p>
                    </w:txbxContent>
                  </v:textbox>
                </v:rect>
                <w10:wrap type="topAndBottom"/>
              </v:group>
            </w:pict>
          </mc:Fallback>
        </mc:AlternateContent>
      </w:r>
      <w:r>
        <w:t xml:space="preserve"> </w:t>
      </w:r>
      <w:r>
        <w:tab/>
        <w:t xml:space="preserve">Le cycle Licence s'étend sur trois ans et représente </w:t>
      </w:r>
      <w:r>
        <w:t>un total de 180 crédits ECTS (Système Européen de Transfert de Crédits). Il est structuré en six semestres, durant lesquels les étudiants développent des connaissances essentielles dans leur domaine d'étude. En général, la première année se concentre sur l</w:t>
      </w:r>
      <w:r>
        <w:t xml:space="preserve">'intégration des concepts de base, la deuxième année vise à approfondir ces connaissances, tandis que la troisième année est dédiée à la spécialisation. </w:t>
      </w:r>
    </w:p>
    <w:p w14:paraId="7C18F2C1" w14:textId="77777777" w:rsidR="00DA3D03" w:rsidRDefault="00062243">
      <w:pPr>
        <w:spacing w:after="0" w:line="259" w:lineRule="auto"/>
        <w:ind w:left="1441" w:firstLine="0"/>
      </w:pPr>
      <w:r>
        <w:t xml:space="preserve"> </w:t>
      </w:r>
    </w:p>
    <w:p w14:paraId="6425BE43" w14:textId="77777777" w:rsidR="00DA3D03" w:rsidRDefault="00062243">
      <w:pPr>
        <w:pStyle w:val="Titre1"/>
        <w:spacing w:after="43"/>
        <w:ind w:left="1091" w:right="0"/>
      </w:pPr>
      <w:r>
        <w:t>b.</w:t>
      </w:r>
      <w:r>
        <w:rPr>
          <w:rFonts w:ascii="Arial" w:eastAsia="Arial" w:hAnsi="Arial" w:cs="Arial"/>
        </w:rPr>
        <w:t xml:space="preserve"> </w:t>
      </w:r>
      <w:r>
        <w:t xml:space="preserve">Le cycle Master </w:t>
      </w:r>
    </w:p>
    <w:p w14:paraId="1700FCC4" w14:textId="77777777" w:rsidR="00DA3D03" w:rsidRDefault="00062243">
      <w:pPr>
        <w:ind w:left="1451"/>
      </w:pPr>
      <w:r>
        <w:t xml:space="preserve"> </w:t>
      </w:r>
      <w:r>
        <w:tab/>
        <w:t>Le cycle de Master s’étend sur deux ans et compte 120 crédits ECTS, portant le</w:t>
      </w:r>
      <w:r>
        <w:t xml:space="preserve"> total à 300 crédits après la Licence. Ce cycle se divise en deux années (M1 et M2), avec une distinction entre les parcours recherche et professionnel. Le Master prépare les étudiants soit à une insertion professionnelle, soit à la poursuite d’études doct</w:t>
      </w:r>
      <w:r>
        <w:t>orales.</w:t>
      </w:r>
      <w:r>
        <w:rPr>
          <w:b/>
        </w:rPr>
        <w:t xml:space="preserve"> </w:t>
      </w:r>
    </w:p>
    <w:p w14:paraId="1BED9850" w14:textId="77777777" w:rsidR="00DA3D03" w:rsidRDefault="00062243">
      <w:pPr>
        <w:spacing w:after="1" w:line="259" w:lineRule="auto"/>
        <w:ind w:left="1081" w:firstLine="0"/>
      </w:pPr>
      <w:r>
        <w:t xml:space="preserve"> </w:t>
      </w:r>
      <w:r>
        <w:tab/>
        <w:t xml:space="preserve"> </w:t>
      </w:r>
    </w:p>
    <w:p w14:paraId="04F8F5E1" w14:textId="77777777" w:rsidR="00DA3D03" w:rsidRDefault="00062243">
      <w:pPr>
        <w:pStyle w:val="Titre1"/>
        <w:ind w:left="1091" w:right="0"/>
      </w:pPr>
      <w:r>
        <w:t>c.</w:t>
      </w:r>
      <w:r>
        <w:rPr>
          <w:rFonts w:ascii="Arial" w:eastAsia="Arial" w:hAnsi="Arial" w:cs="Arial"/>
        </w:rPr>
        <w:t xml:space="preserve"> </w:t>
      </w:r>
      <w:r>
        <w:t xml:space="preserve">Le cycle Doctorat </w:t>
      </w:r>
    </w:p>
    <w:p w14:paraId="5DFD70C8" w14:textId="77777777" w:rsidR="00DA3D03" w:rsidRDefault="00062243">
      <w:pPr>
        <w:ind w:left="1451"/>
      </w:pPr>
      <w:r>
        <w:t xml:space="preserve"> </w:t>
      </w:r>
      <w:r>
        <w:tab/>
        <w:t xml:space="preserve">Le cycle de Doctorat constitue le niveau le plus avancé du système LMD et nécessite un diplôme de Master pour y accéder. Sa durée est généralement de trois ans et se conclut par la rédaction d'une thèse, totalisant 480 </w:t>
      </w:r>
      <w:r>
        <w:t xml:space="preserve">crédits ECTS </w:t>
      </w:r>
    </w:p>
    <w:p w14:paraId="5EDCA3C3" w14:textId="77777777" w:rsidR="00DA3D03" w:rsidRDefault="00062243">
      <w:pPr>
        <w:spacing w:after="0" w:line="259" w:lineRule="auto"/>
        <w:ind w:left="1441" w:firstLine="0"/>
      </w:pPr>
      <w:r>
        <w:t xml:space="preserve"> </w:t>
      </w:r>
    </w:p>
    <w:p w14:paraId="51835A63" w14:textId="77777777" w:rsidR="00DA3D03" w:rsidRDefault="00062243">
      <w:pPr>
        <w:spacing w:after="0" w:line="259" w:lineRule="auto"/>
        <w:ind w:left="1441" w:firstLine="0"/>
      </w:pPr>
      <w:r>
        <w:t xml:space="preserve"> </w:t>
      </w:r>
    </w:p>
    <w:p w14:paraId="372F6D0B" w14:textId="77777777" w:rsidR="00DA3D03" w:rsidRDefault="00062243">
      <w:pPr>
        <w:spacing w:after="576" w:line="259" w:lineRule="auto"/>
        <w:ind w:left="1441" w:firstLine="0"/>
      </w:pPr>
      <w:r>
        <w:lastRenderedPageBreak/>
        <w:t xml:space="preserve"> </w:t>
      </w:r>
    </w:p>
    <w:p w14:paraId="31771A1C" w14:textId="77777777" w:rsidR="00DA3D03" w:rsidRDefault="00062243">
      <w:pPr>
        <w:spacing w:after="0" w:line="259" w:lineRule="auto"/>
        <w:ind w:left="0" w:firstLine="0"/>
      </w:pPr>
      <w:r>
        <w:rPr>
          <w:rFonts w:ascii="Calibri" w:eastAsia="Calibri" w:hAnsi="Calibri" w:cs="Calibri"/>
          <w:noProof/>
          <w:sz w:val="22"/>
        </w:rPr>
        <mc:AlternateContent>
          <mc:Choice Requires="wpg">
            <w:drawing>
              <wp:inline distT="0" distB="0" distL="0" distR="0" wp14:anchorId="44000EB5" wp14:editId="514106E7">
                <wp:extent cx="1829435" cy="7620"/>
                <wp:effectExtent l="0" t="0" r="0" b="0"/>
                <wp:docPr id="3189" name="Group 3189"/>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3674" name="Shape 367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89" style="width:144.05pt;height:0.599976pt;mso-position-horizontal-relative:char;mso-position-vertical-relative:line" coordsize="18294,76">
                <v:shape id="Shape 3675" style="position:absolute;width:18294;height:91;left:0;top:0;" coordsize="1829435,9144" path="m0,0l1829435,0l1829435,9144l0,9144l0,0">
                  <v:stroke weight="0pt" endcap="flat" joinstyle="round" on="false" color="#000000" opacity="0"/>
                  <v:fill on="true" color="#000000"/>
                </v:shape>
              </v:group>
            </w:pict>
          </mc:Fallback>
        </mc:AlternateContent>
      </w:r>
      <w:r>
        <w:rPr>
          <w:rFonts w:ascii="Calibri" w:eastAsia="Calibri" w:hAnsi="Calibri" w:cs="Calibri"/>
        </w:rPr>
        <w:t xml:space="preserve"> </w:t>
      </w:r>
    </w:p>
    <w:p w14:paraId="41317937" w14:textId="77777777" w:rsidR="00DA3D03" w:rsidRDefault="00062243">
      <w:pPr>
        <w:spacing w:after="264" w:line="259" w:lineRule="auto"/>
        <w:ind w:left="-5"/>
      </w:pPr>
      <w:r>
        <w:rPr>
          <w:b/>
        </w:rPr>
        <w:t xml:space="preserve">Schéma des études dans le cadre du LMD : </w:t>
      </w:r>
    </w:p>
    <w:p w14:paraId="2204130A" w14:textId="77777777" w:rsidR="00DA3D03" w:rsidRDefault="00062243">
      <w:pPr>
        <w:spacing w:after="0" w:line="259" w:lineRule="auto"/>
        <w:ind w:left="0" w:right="383" w:firstLine="0"/>
        <w:jc w:val="right"/>
      </w:pPr>
      <w:r>
        <w:rPr>
          <w:noProof/>
        </w:rPr>
        <w:drawing>
          <wp:inline distT="0" distB="0" distL="0" distR="0" wp14:anchorId="46B29AE4" wp14:editId="4CED07E6">
            <wp:extent cx="4761865" cy="2856865"/>
            <wp:effectExtent l="0" t="0" r="0" b="0"/>
            <wp:docPr id="316" name="Picture 316"/>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8"/>
                    <a:stretch>
                      <a:fillRect/>
                    </a:stretch>
                  </pic:blipFill>
                  <pic:spPr>
                    <a:xfrm>
                      <a:off x="0" y="0"/>
                      <a:ext cx="4761865" cy="2856865"/>
                    </a:xfrm>
                    <a:prstGeom prst="rect">
                      <a:avLst/>
                    </a:prstGeom>
                  </pic:spPr>
                </pic:pic>
              </a:graphicData>
            </a:graphic>
          </wp:inline>
        </w:drawing>
      </w:r>
      <w:r>
        <w:t xml:space="preserve"> </w:t>
      </w:r>
    </w:p>
    <w:p w14:paraId="115B3B3B" w14:textId="77777777" w:rsidR="00DA3D03" w:rsidRDefault="00062243">
      <w:pPr>
        <w:spacing w:after="276" w:line="259" w:lineRule="auto"/>
        <w:ind w:left="1081" w:firstLine="0"/>
      </w:pPr>
      <w:r>
        <w:t xml:space="preserve"> </w:t>
      </w:r>
    </w:p>
    <w:p w14:paraId="73FBFCAE" w14:textId="77777777" w:rsidR="00DA3D03" w:rsidRDefault="00062243">
      <w:pPr>
        <w:spacing w:after="326" w:line="259" w:lineRule="auto"/>
        <w:ind w:left="1081" w:firstLine="0"/>
      </w:pPr>
      <w:r>
        <w:rPr>
          <w:b/>
        </w:rPr>
        <w:t xml:space="preserve"> </w:t>
      </w:r>
    </w:p>
    <w:p w14:paraId="25198C89" w14:textId="77777777" w:rsidR="00DA3D03" w:rsidRDefault="00062243">
      <w:pPr>
        <w:pStyle w:val="Titre1"/>
        <w:ind w:left="294" w:right="0"/>
      </w:pPr>
      <w:r>
        <w:t>3.</w:t>
      </w:r>
      <w:r>
        <w:rPr>
          <w:rFonts w:ascii="Arial" w:eastAsia="Arial" w:hAnsi="Arial" w:cs="Arial"/>
        </w:rPr>
        <w:t xml:space="preserve"> </w:t>
      </w:r>
      <w:r>
        <w:t xml:space="preserve">Définition d’un crédit ECTS </w:t>
      </w:r>
    </w:p>
    <w:p w14:paraId="603117D8" w14:textId="77777777" w:rsidR="00DA3D03" w:rsidRDefault="00062243">
      <w:pPr>
        <w:ind w:left="1076"/>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C54F20C" wp14:editId="21D69AFE">
                <wp:simplePos x="0" y="0"/>
                <wp:positionH relativeFrom="page">
                  <wp:posOffset>6670040</wp:posOffset>
                </wp:positionH>
                <wp:positionV relativeFrom="page">
                  <wp:posOffset>9864852</wp:posOffset>
                </wp:positionV>
                <wp:extent cx="368300" cy="274320"/>
                <wp:effectExtent l="0" t="0" r="0" b="0"/>
                <wp:wrapTopAndBottom/>
                <wp:docPr id="2927" name="Group 2927"/>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239" name="Shape 239"/>
                        <wps:cNvSpPr/>
                        <wps:spPr>
                          <a:xfrm>
                            <a:off x="273431" y="179515"/>
                            <a:ext cx="94869" cy="94805"/>
                          </a:xfrm>
                          <a:custGeom>
                            <a:avLst/>
                            <a:gdLst/>
                            <a:ahLst/>
                            <a:cxnLst/>
                            <a:rect l="0" t="0" r="0" b="0"/>
                            <a:pathLst>
                              <a:path w="94869" h="94805">
                                <a:moveTo>
                                  <a:pt x="94869" y="0"/>
                                </a:moveTo>
                                <a:lnTo>
                                  <a:pt x="0" y="94805"/>
                                </a:lnTo>
                                <a:lnTo>
                                  <a:pt x="19050" y="18961"/>
                                </a:lnTo>
                                <a:lnTo>
                                  <a:pt x="94869"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240" name="Shape 240"/>
                        <wps:cNvSpPr/>
                        <wps:spPr>
                          <a:xfrm>
                            <a:off x="0" y="0"/>
                            <a:ext cx="368300" cy="274320"/>
                          </a:xfrm>
                          <a:custGeom>
                            <a:avLst/>
                            <a:gdLst/>
                            <a:ahLst/>
                            <a:cxnLst/>
                            <a:rect l="0" t="0" r="0" b="0"/>
                            <a:pathLst>
                              <a:path w="368300" h="274320">
                                <a:moveTo>
                                  <a:pt x="273431" y="274320"/>
                                </a:moveTo>
                                <a:lnTo>
                                  <a:pt x="292481" y="198475"/>
                                </a:lnTo>
                                <a:lnTo>
                                  <a:pt x="368300" y="179515"/>
                                </a:lnTo>
                                <a:lnTo>
                                  <a:pt x="273431" y="274320"/>
                                </a:lnTo>
                                <a:lnTo>
                                  <a:pt x="0" y="274320"/>
                                </a:lnTo>
                                <a:lnTo>
                                  <a:pt x="0" y="0"/>
                                </a:lnTo>
                                <a:lnTo>
                                  <a:pt x="368300" y="0"/>
                                </a:lnTo>
                                <a:lnTo>
                                  <a:pt x="368300" y="179515"/>
                                </a:ln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241" name="Rectangle 241"/>
                        <wps:cNvSpPr/>
                        <wps:spPr>
                          <a:xfrm>
                            <a:off x="159766" y="65208"/>
                            <a:ext cx="71213" cy="140802"/>
                          </a:xfrm>
                          <a:prstGeom prst="rect">
                            <a:avLst/>
                          </a:prstGeom>
                          <a:ln>
                            <a:noFill/>
                          </a:ln>
                        </wps:spPr>
                        <wps:txbx>
                          <w:txbxContent>
                            <w:p w14:paraId="5A0F9870" w14:textId="77777777" w:rsidR="00DA3D03" w:rsidRDefault="00062243">
                              <w:pPr>
                                <w:spacing w:after="160" w:line="259" w:lineRule="auto"/>
                                <w:ind w:left="0" w:firstLine="0"/>
                              </w:pPr>
                              <w:r>
                                <w:rPr>
                                  <w:rFonts w:ascii="Calibri" w:eastAsia="Calibri" w:hAnsi="Calibri" w:cs="Calibri"/>
                                  <w:w w:val="103"/>
                                  <w:sz w:val="16"/>
                                </w:rPr>
                                <w:t>3</w:t>
                              </w:r>
                            </w:p>
                          </w:txbxContent>
                        </wps:txbx>
                        <wps:bodyPr horzOverflow="overflow" vert="horz" lIns="0" tIns="0" rIns="0" bIns="0" rtlCol="0">
                          <a:noAutofit/>
                        </wps:bodyPr>
                      </wps:wsp>
                      <wps:wsp>
                        <wps:cNvPr id="242" name="Rectangle 242"/>
                        <wps:cNvSpPr/>
                        <wps:spPr>
                          <a:xfrm>
                            <a:off x="212978" y="24057"/>
                            <a:ext cx="55538" cy="211203"/>
                          </a:xfrm>
                          <a:prstGeom prst="rect">
                            <a:avLst/>
                          </a:prstGeom>
                          <a:ln>
                            <a:noFill/>
                          </a:ln>
                        </wps:spPr>
                        <wps:txbx>
                          <w:txbxContent>
                            <w:p w14:paraId="00F08A79" w14:textId="77777777" w:rsidR="00DA3D03" w:rsidRDefault="00062243">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927" style="width:29pt;height:21.6pt;position:absolute;mso-position-horizontal-relative:page;mso-position-horizontal:absolute;margin-left:525.2pt;mso-position-vertical-relative:page;margin-top:776.76pt;" coordsize="3683,2743">
                <v:shape id="Shape 239" style="position:absolute;width:948;height:948;left:2734;top:1795;" coordsize="94869,94805" path="m94869,0l0,94805l19050,18961l94869,0x">
                  <v:stroke weight="0pt" endcap="flat" joinstyle="miter" miterlimit="10" on="false" color="#000000" opacity="0"/>
                  <v:fill on="true" color="#cdcdcd"/>
                </v:shape>
                <v:shape id="Shape 240" style="position:absolute;width:3683;height:2743;left:0;top:0;" coordsize="368300,274320" path="m273431,274320l292481,198475l368300,179515l273431,274320l0,274320l0,0l368300,0l368300,179515">
                  <v:stroke weight="0.25pt" endcap="flat" joinstyle="round" on="true" color="#808080"/>
                  <v:fill on="false" color="#000000" opacity="0"/>
                </v:shape>
                <v:rect id="Rectangle 241" style="position:absolute;width:712;height:1408;left:1597;top:652;" filled="f" stroked="f">
                  <v:textbox inset="0,0,0,0">
                    <w:txbxContent>
                      <w:p>
                        <w:pPr>
                          <w:spacing w:before="0" w:after="160" w:line="259" w:lineRule="auto"/>
                          <w:ind w:left="0" w:firstLine="0"/>
                        </w:pPr>
                        <w:r>
                          <w:rPr>
                            <w:rFonts w:cs="Calibri" w:hAnsi="Calibri" w:eastAsia="Calibri" w:ascii="Calibri"/>
                            <w:w w:val="103"/>
                            <w:sz w:val="16"/>
                          </w:rPr>
                          <w:t xml:space="preserve">3</w:t>
                        </w:r>
                      </w:p>
                    </w:txbxContent>
                  </v:textbox>
                </v:rect>
                <v:rect id="Rectangle 242" style="position:absolute;width:555;height:2112;left:2129;top:240;" filled="f" stroked="f">
                  <v:textbox inset="0,0,0,0">
                    <w:txbxContent>
                      <w:p>
                        <w:pPr>
                          <w:spacing w:before="0" w:after="160" w:line="259" w:lineRule="auto"/>
                          <w:ind w:left="0" w:firstLine="0"/>
                        </w:pPr>
                        <w:r>
                          <w:rPr>
                            <w:rFonts w:cs="Calibri" w:hAnsi="Calibri" w:eastAsia="Calibri" w:ascii="Calibri"/>
                          </w:rPr>
                          <w:t xml:space="preserve"> </w:t>
                        </w:r>
                      </w:p>
                    </w:txbxContent>
                  </v:textbox>
                </v:rect>
                <w10:wrap type="topAndBottom"/>
              </v:group>
            </w:pict>
          </mc:Fallback>
        </mc:AlternateContent>
      </w:r>
      <w:r>
        <w:t xml:space="preserve"> </w:t>
      </w:r>
      <w:r>
        <w:tab/>
      </w:r>
      <w:r>
        <w:t>Un crédit ECTS équivaut à une charge de travail totale (CTT) d'environ 20 heures pour l'étudiant, englobant les cours, les travaux pratiques et l'étude personnelle. Un semestre universitaire représente 30 crédits ECTS, ce qui correspond à un total de 600 h</w:t>
      </w:r>
      <w:r>
        <w:t xml:space="preserve">eures de travail par semestre. </w:t>
      </w:r>
    </w:p>
    <w:p w14:paraId="566C9C86" w14:textId="77777777" w:rsidR="00DA3D03" w:rsidRDefault="00062243">
      <w:pPr>
        <w:spacing w:after="35" w:line="259" w:lineRule="auto"/>
        <w:ind w:left="1081" w:firstLine="0"/>
      </w:pPr>
      <w:r>
        <w:t xml:space="preserve"> </w:t>
      </w:r>
    </w:p>
    <w:p w14:paraId="1FBD9F77" w14:textId="77777777" w:rsidR="00DA3D03" w:rsidRDefault="00062243">
      <w:pPr>
        <w:pStyle w:val="Titre1"/>
        <w:ind w:left="294" w:right="0"/>
      </w:pPr>
      <w:r>
        <w:t>4.</w:t>
      </w:r>
      <w:r>
        <w:rPr>
          <w:rFonts w:ascii="Arial" w:eastAsia="Arial" w:hAnsi="Arial" w:cs="Arial"/>
        </w:rPr>
        <w:t xml:space="preserve"> </w:t>
      </w:r>
      <w:r>
        <w:t xml:space="preserve">Les mécanismes de l’évaluation continue  </w:t>
      </w:r>
    </w:p>
    <w:p w14:paraId="489B6974" w14:textId="77777777" w:rsidR="00DA3D03" w:rsidRDefault="00062243">
      <w:pPr>
        <w:ind w:left="1076"/>
      </w:pPr>
      <w:r>
        <w:t xml:space="preserve"> </w:t>
      </w:r>
      <w:r>
        <w:tab/>
      </w:r>
      <w:r>
        <w:t>L'évaluation continue est un processus permettant aux étudiants de valider leurs compétences tout au long du semestre par le biais de différentes méthodes d'évaluation, telles que les examens, les projets ou les présentations. Chaque unité d'enseignement (</w:t>
      </w:r>
      <w:r>
        <w:t xml:space="preserve">UE) doit être validée par une moyenne minimale requise pour obtenir le diplôme final. </w:t>
      </w:r>
    </w:p>
    <w:p w14:paraId="0D295D16" w14:textId="77777777" w:rsidR="00DA3D03" w:rsidRDefault="00062243">
      <w:pPr>
        <w:spacing w:after="2" w:line="259" w:lineRule="auto"/>
        <w:ind w:left="1081" w:firstLine="0"/>
      </w:pPr>
      <w:r>
        <w:t xml:space="preserve"> </w:t>
      </w:r>
    </w:p>
    <w:p w14:paraId="06E4D596" w14:textId="77777777" w:rsidR="00DA3D03" w:rsidRDefault="00062243">
      <w:pPr>
        <w:pStyle w:val="Titre1"/>
        <w:ind w:left="294" w:right="0"/>
      </w:pPr>
      <w:r>
        <w:t>5.</w:t>
      </w:r>
      <w:r>
        <w:rPr>
          <w:rFonts w:ascii="Arial" w:eastAsia="Arial" w:hAnsi="Arial" w:cs="Arial"/>
        </w:rPr>
        <w:t xml:space="preserve"> </w:t>
      </w:r>
      <w:r>
        <w:t xml:space="preserve">L’importance de l’assiduité en travaux dirigés (TD) et travaux pratiques (TP) </w:t>
      </w:r>
    </w:p>
    <w:p w14:paraId="13E27EA3" w14:textId="77777777" w:rsidR="00DA3D03" w:rsidRDefault="00062243">
      <w:pPr>
        <w:spacing w:after="0" w:line="259" w:lineRule="auto"/>
        <w:ind w:left="1081" w:firstLine="0"/>
      </w:pPr>
      <w:r>
        <w:t xml:space="preserve"> </w:t>
      </w:r>
    </w:p>
    <w:p w14:paraId="7320EDF5" w14:textId="77777777" w:rsidR="00DA3D03" w:rsidRDefault="00062243">
      <w:pPr>
        <w:ind w:left="1076"/>
      </w:pPr>
      <w:r>
        <w:t xml:space="preserve"> </w:t>
      </w:r>
      <w:r>
        <w:tab/>
      </w:r>
      <w:r>
        <w:t>L'assiduité en TD et TP est cruciale pour le succès académique, car elle permet aux étudiants d'appliquer leurs connaissances théoriques dans un cadre pratique et interactif. Une participation régulière contribue également à la compréhension des matières e</w:t>
      </w:r>
      <w:r>
        <w:t xml:space="preserve">nseignées. </w:t>
      </w:r>
    </w:p>
    <w:p w14:paraId="5155B96D" w14:textId="77777777" w:rsidR="00DA3D03" w:rsidRDefault="00062243">
      <w:pPr>
        <w:spacing w:line="259" w:lineRule="auto"/>
        <w:ind w:left="1081" w:firstLine="0"/>
      </w:pPr>
      <w:r>
        <w:t xml:space="preserve"> </w:t>
      </w:r>
    </w:p>
    <w:p w14:paraId="60B77A50" w14:textId="77777777" w:rsidR="00DA3D03" w:rsidRDefault="00062243">
      <w:pPr>
        <w:spacing w:after="5" w:line="259" w:lineRule="auto"/>
        <w:ind w:left="294"/>
      </w:pPr>
      <w:r>
        <w:rPr>
          <w:b/>
        </w:rPr>
        <w:t>6.</w:t>
      </w:r>
      <w:r>
        <w:rPr>
          <w:rFonts w:ascii="Arial" w:eastAsia="Arial" w:hAnsi="Arial" w:cs="Arial"/>
          <w:b/>
        </w:rPr>
        <w:t xml:space="preserve"> </w:t>
      </w:r>
      <w:r>
        <w:rPr>
          <w:b/>
        </w:rPr>
        <w:t xml:space="preserve"> L’avancement dans le cursus académique </w:t>
      </w:r>
    </w:p>
    <w:p w14:paraId="79DC4898" w14:textId="77777777" w:rsidR="00DA3D03" w:rsidRDefault="00062243">
      <w:pPr>
        <w:spacing w:after="0" w:line="259" w:lineRule="auto"/>
        <w:ind w:left="1081" w:firstLine="0"/>
      </w:pPr>
      <w:r>
        <w:rPr>
          <w:b/>
        </w:rPr>
        <w:lastRenderedPageBreak/>
        <w:t xml:space="preserve"> </w:t>
      </w:r>
    </w:p>
    <w:p w14:paraId="12D9E0E3" w14:textId="77777777" w:rsidR="00DA3D03" w:rsidRDefault="00062243">
      <w:pPr>
        <w:pStyle w:val="Titre1"/>
        <w:spacing w:after="272"/>
        <w:ind w:left="730" w:right="0"/>
      </w:pPr>
      <w:r>
        <w:t>a.</w:t>
      </w:r>
      <w:r>
        <w:rPr>
          <w:rFonts w:ascii="Arial" w:eastAsia="Arial" w:hAnsi="Arial" w:cs="Arial"/>
        </w:rPr>
        <w:t xml:space="preserve"> </w:t>
      </w:r>
      <w:r>
        <w:t xml:space="preserve"> La transition de L1 à L2 </w:t>
      </w:r>
    </w:p>
    <w:p w14:paraId="4B952D12" w14:textId="77777777" w:rsidR="00DA3D03" w:rsidRDefault="00062243">
      <w:pPr>
        <w:spacing w:after="286"/>
      </w:pPr>
      <w:r>
        <w:t xml:space="preserve"> </w:t>
      </w:r>
      <w:r>
        <w:tab/>
        <w:t>La transition de la première année (L1) à la deuxième année (L2) est généralement basée sur l'acquisition des crédits nécessaires, qui doivent être obtenus par la v</w:t>
      </w:r>
      <w:r>
        <w:t xml:space="preserve">alidation des unités d'enseignement (UE). Les étudiants doivent démontrer une compréhension des fondamentaux de leur domaine d'étude. Cette étape marque également un élargissement des connaissances, avec une introduction à des matières plus spécialisées. </w:t>
      </w:r>
    </w:p>
    <w:p w14:paraId="34EEE5C1" w14:textId="77777777" w:rsidR="00DA3D03" w:rsidRDefault="00062243">
      <w:pPr>
        <w:pStyle w:val="Titre1"/>
        <w:spacing w:after="272"/>
        <w:ind w:left="730" w:right="0"/>
      </w:pPr>
      <w:r>
        <w:t>b.</w:t>
      </w:r>
      <w:r>
        <w:rPr>
          <w:rFonts w:ascii="Arial" w:eastAsia="Arial" w:hAnsi="Arial" w:cs="Arial"/>
        </w:rPr>
        <w:t xml:space="preserve"> </w:t>
      </w:r>
      <w:r>
        <w:rPr>
          <w:b w:val="0"/>
        </w:rPr>
        <w:t xml:space="preserve"> </w:t>
      </w:r>
      <w:r>
        <w:t xml:space="preserve">La transition de L2 à L3 </w:t>
      </w:r>
    </w:p>
    <w:p w14:paraId="4BF0EB43" w14:textId="77777777" w:rsidR="00DA3D03" w:rsidRDefault="00062243">
      <w:pPr>
        <w:spacing w:after="275"/>
      </w:pPr>
      <w:r>
        <w:t xml:space="preserve"> </w:t>
      </w:r>
      <w:r>
        <w:tab/>
        <w:t>Le passage de la deuxième année (L2) à la troisième année (L3) implique une spécialisation accrue. Les étudiants choisissent souvent un parcours spécifique en fonction de leurs intérêts et des débouchés professionnels envisa</w:t>
      </w:r>
      <w:r>
        <w:t xml:space="preserve">gés. Pour réussir cette transition, ils doivent avoir validé un certain nombre de crédits ECTS et démontré leur capacité à appliquer les connaissances acquises dans des contextes plus avancés. </w:t>
      </w:r>
    </w:p>
    <w:p w14:paraId="747E547C" w14:textId="77777777" w:rsidR="00DA3D03" w:rsidRDefault="00062243">
      <w:pPr>
        <w:pStyle w:val="Titre1"/>
        <w:spacing w:after="276"/>
        <w:ind w:left="730" w:right="0"/>
      </w:pPr>
      <w:r>
        <w:t>c.</w:t>
      </w:r>
      <w:r>
        <w:rPr>
          <w:rFonts w:ascii="Arial" w:eastAsia="Arial" w:hAnsi="Arial" w:cs="Arial"/>
        </w:rPr>
        <w:t xml:space="preserve"> </w:t>
      </w:r>
      <w:r>
        <w:t xml:space="preserve"> La transition de M1 à M2 </w:t>
      </w:r>
    </w:p>
    <w:p w14:paraId="2D7C0F83" w14:textId="77777777" w:rsidR="00DA3D03" w:rsidRDefault="00062243">
      <w:pPr>
        <w:spacing w:after="272"/>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104B394" wp14:editId="6C69FC2B">
                <wp:simplePos x="0" y="0"/>
                <wp:positionH relativeFrom="page">
                  <wp:posOffset>6670040</wp:posOffset>
                </wp:positionH>
                <wp:positionV relativeFrom="page">
                  <wp:posOffset>9864852</wp:posOffset>
                </wp:positionV>
                <wp:extent cx="368300" cy="274320"/>
                <wp:effectExtent l="0" t="0" r="0" b="0"/>
                <wp:wrapTopAndBottom/>
                <wp:docPr id="2926" name="Group 2926"/>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325" name="Shape 325"/>
                        <wps:cNvSpPr/>
                        <wps:spPr>
                          <a:xfrm>
                            <a:off x="273431" y="179515"/>
                            <a:ext cx="94869" cy="94805"/>
                          </a:xfrm>
                          <a:custGeom>
                            <a:avLst/>
                            <a:gdLst/>
                            <a:ahLst/>
                            <a:cxnLst/>
                            <a:rect l="0" t="0" r="0" b="0"/>
                            <a:pathLst>
                              <a:path w="94869" h="94805">
                                <a:moveTo>
                                  <a:pt x="94869" y="0"/>
                                </a:moveTo>
                                <a:lnTo>
                                  <a:pt x="0" y="94805"/>
                                </a:lnTo>
                                <a:lnTo>
                                  <a:pt x="19050" y="18961"/>
                                </a:lnTo>
                                <a:lnTo>
                                  <a:pt x="94869"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326" name="Shape 326"/>
                        <wps:cNvSpPr/>
                        <wps:spPr>
                          <a:xfrm>
                            <a:off x="0" y="0"/>
                            <a:ext cx="368300" cy="274320"/>
                          </a:xfrm>
                          <a:custGeom>
                            <a:avLst/>
                            <a:gdLst/>
                            <a:ahLst/>
                            <a:cxnLst/>
                            <a:rect l="0" t="0" r="0" b="0"/>
                            <a:pathLst>
                              <a:path w="368300" h="274320">
                                <a:moveTo>
                                  <a:pt x="273431" y="274320"/>
                                </a:moveTo>
                                <a:lnTo>
                                  <a:pt x="292481" y="198475"/>
                                </a:lnTo>
                                <a:lnTo>
                                  <a:pt x="368300" y="179515"/>
                                </a:lnTo>
                                <a:lnTo>
                                  <a:pt x="273431" y="274320"/>
                                </a:lnTo>
                                <a:lnTo>
                                  <a:pt x="0" y="274320"/>
                                </a:lnTo>
                                <a:lnTo>
                                  <a:pt x="0" y="0"/>
                                </a:lnTo>
                                <a:lnTo>
                                  <a:pt x="368300" y="0"/>
                                </a:lnTo>
                                <a:lnTo>
                                  <a:pt x="368300" y="179515"/>
                                </a:ln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327" name="Rectangle 327"/>
                        <wps:cNvSpPr/>
                        <wps:spPr>
                          <a:xfrm>
                            <a:off x="159766" y="65208"/>
                            <a:ext cx="71213" cy="140802"/>
                          </a:xfrm>
                          <a:prstGeom prst="rect">
                            <a:avLst/>
                          </a:prstGeom>
                          <a:ln>
                            <a:noFill/>
                          </a:ln>
                        </wps:spPr>
                        <wps:txbx>
                          <w:txbxContent>
                            <w:p w14:paraId="4F518A28" w14:textId="77777777" w:rsidR="00DA3D03" w:rsidRDefault="00062243">
                              <w:pPr>
                                <w:spacing w:after="160" w:line="259" w:lineRule="auto"/>
                                <w:ind w:left="0" w:firstLine="0"/>
                              </w:pPr>
                              <w:r>
                                <w:rPr>
                                  <w:rFonts w:ascii="Calibri" w:eastAsia="Calibri" w:hAnsi="Calibri" w:cs="Calibri"/>
                                  <w:w w:val="103"/>
                                  <w:sz w:val="16"/>
                                </w:rPr>
                                <w:t>4</w:t>
                              </w:r>
                            </w:p>
                          </w:txbxContent>
                        </wps:txbx>
                        <wps:bodyPr horzOverflow="overflow" vert="horz" lIns="0" tIns="0" rIns="0" bIns="0" rtlCol="0">
                          <a:noAutofit/>
                        </wps:bodyPr>
                      </wps:wsp>
                      <wps:wsp>
                        <wps:cNvPr id="328" name="Rectangle 328"/>
                        <wps:cNvSpPr/>
                        <wps:spPr>
                          <a:xfrm>
                            <a:off x="212978" y="24057"/>
                            <a:ext cx="55538" cy="211203"/>
                          </a:xfrm>
                          <a:prstGeom prst="rect">
                            <a:avLst/>
                          </a:prstGeom>
                          <a:ln>
                            <a:noFill/>
                          </a:ln>
                        </wps:spPr>
                        <wps:txbx>
                          <w:txbxContent>
                            <w:p w14:paraId="2C093A60" w14:textId="77777777" w:rsidR="00DA3D03" w:rsidRDefault="00062243">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926" style="width:29pt;height:21.6pt;position:absolute;mso-position-horizontal-relative:page;mso-position-horizontal:absolute;margin-left:525.2pt;mso-position-vertical-relative:page;margin-top:776.76pt;" coordsize="3683,2743">
                <v:shape id="Shape 325" style="position:absolute;width:948;height:948;left:2734;top:1795;" coordsize="94869,94805" path="m94869,0l0,94805l19050,18961l94869,0x">
                  <v:stroke weight="0pt" endcap="flat" joinstyle="miter" miterlimit="10" on="false" color="#000000" opacity="0"/>
                  <v:fill on="true" color="#cdcdcd"/>
                </v:shape>
                <v:shape id="Shape 326" style="position:absolute;width:3683;height:2743;left:0;top:0;" coordsize="368300,274320" path="m273431,274320l292481,198475l368300,179515l273431,274320l0,274320l0,0l368300,0l368300,179515">
                  <v:stroke weight="0.25pt" endcap="flat" joinstyle="round" on="true" color="#808080"/>
                  <v:fill on="false" color="#000000" opacity="0"/>
                </v:shape>
                <v:rect id="Rectangle 327" style="position:absolute;width:712;height:1408;left:1597;top:652;" filled="f" stroked="f">
                  <v:textbox inset="0,0,0,0">
                    <w:txbxContent>
                      <w:p>
                        <w:pPr>
                          <w:spacing w:before="0" w:after="160" w:line="259" w:lineRule="auto"/>
                          <w:ind w:left="0" w:firstLine="0"/>
                        </w:pPr>
                        <w:r>
                          <w:rPr>
                            <w:rFonts w:cs="Calibri" w:hAnsi="Calibri" w:eastAsia="Calibri" w:ascii="Calibri"/>
                            <w:w w:val="103"/>
                            <w:sz w:val="16"/>
                          </w:rPr>
                          <w:t xml:space="preserve">4</w:t>
                        </w:r>
                      </w:p>
                    </w:txbxContent>
                  </v:textbox>
                </v:rect>
                <v:rect id="Rectangle 328" style="position:absolute;width:555;height:2112;left:2129;top:240;" filled="f" stroked="f">
                  <v:textbox inset="0,0,0,0">
                    <w:txbxContent>
                      <w:p>
                        <w:pPr>
                          <w:spacing w:before="0" w:after="160" w:line="259" w:lineRule="auto"/>
                          <w:ind w:left="0" w:firstLine="0"/>
                        </w:pPr>
                        <w:r>
                          <w:rPr>
                            <w:rFonts w:cs="Calibri" w:hAnsi="Calibri" w:eastAsia="Calibri" w:ascii="Calibri"/>
                          </w:rPr>
                          <w:t xml:space="preserve"> </w:t>
                        </w:r>
                      </w:p>
                    </w:txbxContent>
                  </v:textbox>
                </v:rect>
                <w10:wrap type="topAndBottom"/>
              </v:group>
            </w:pict>
          </mc:Fallback>
        </mc:AlternateContent>
      </w:r>
      <w:r>
        <w:t xml:space="preserve"> </w:t>
      </w:r>
      <w:r>
        <w:tab/>
      </w:r>
      <w:r>
        <w:t>La transition entre le Master 1 (M1) et le Master 2 (M2) est généralement plus sélective. Les étudiants doivent obtenir une moyenne suffisante et répondre aux critères d'admission spécifiques de leur programme de M2. Cette étape est cruciale, car elle déte</w:t>
      </w:r>
      <w:r>
        <w:t xml:space="preserve">rmine l'orientation vers un parcours professionnel ou vers la recherche, avec une préparation approfondie pour la rédaction d'un mémoire ou d'une thèse en fonction du choix effectué. </w:t>
      </w:r>
    </w:p>
    <w:p w14:paraId="0B6BCED0" w14:textId="77777777" w:rsidR="00DA3D03" w:rsidRDefault="00062243">
      <w:pPr>
        <w:spacing w:after="5" w:line="259" w:lineRule="auto"/>
        <w:ind w:left="1091"/>
      </w:pPr>
      <w:r>
        <w:rPr>
          <w:b/>
        </w:rPr>
        <w:t xml:space="preserve">TD : </w:t>
      </w:r>
    </w:p>
    <w:p w14:paraId="41E9BA35" w14:textId="77777777" w:rsidR="00DA3D03" w:rsidRDefault="00062243">
      <w:pPr>
        <w:numPr>
          <w:ilvl w:val="0"/>
          <w:numId w:val="1"/>
        </w:numPr>
        <w:ind w:hanging="360"/>
      </w:pPr>
      <w:r>
        <w:t xml:space="preserve">Quels sont les trois cycles de formation dans le système LMD ? </w:t>
      </w:r>
    </w:p>
    <w:p w14:paraId="3E996962" w14:textId="77777777" w:rsidR="00DA3D03" w:rsidRDefault="00062243">
      <w:pPr>
        <w:numPr>
          <w:ilvl w:val="0"/>
          <w:numId w:val="1"/>
        </w:numPr>
        <w:ind w:hanging="360"/>
      </w:pPr>
      <w:r>
        <w:t>Qu</w:t>
      </w:r>
      <w:r>
        <w:t xml:space="preserve">elle est la durée de chaque cycle et combien de crédits ECTS leur sont associés ? </w:t>
      </w:r>
    </w:p>
    <w:p w14:paraId="1E6C9E2F" w14:textId="77777777" w:rsidR="00DA3D03" w:rsidRDefault="00062243">
      <w:pPr>
        <w:numPr>
          <w:ilvl w:val="0"/>
          <w:numId w:val="1"/>
        </w:numPr>
        <w:spacing w:after="276"/>
        <w:ind w:hanging="360"/>
      </w:pPr>
      <w:r>
        <w:t xml:space="preserve">Quelles sont les principales différences entre le cycle Licence et le cycle Master ? </w:t>
      </w:r>
    </w:p>
    <w:p w14:paraId="47FD32C9" w14:textId="77777777" w:rsidR="00DA3D03" w:rsidRDefault="00062243">
      <w:pPr>
        <w:spacing w:after="271" w:line="259" w:lineRule="auto"/>
        <w:ind w:left="720" w:firstLine="0"/>
      </w:pPr>
      <w:r>
        <w:t xml:space="preserve"> </w:t>
      </w:r>
    </w:p>
    <w:p w14:paraId="57922E52" w14:textId="77777777" w:rsidR="00DA3D03" w:rsidRDefault="00062243">
      <w:pPr>
        <w:spacing w:after="288" w:line="259" w:lineRule="auto"/>
        <w:ind w:left="1441" w:firstLine="0"/>
      </w:pPr>
      <w:r>
        <w:t xml:space="preserve"> </w:t>
      </w:r>
    </w:p>
    <w:p w14:paraId="1E07EFCF" w14:textId="77777777" w:rsidR="00DA3D03" w:rsidRDefault="00062243">
      <w:pPr>
        <w:spacing w:after="312" w:line="259" w:lineRule="auto"/>
        <w:ind w:left="0" w:firstLine="0"/>
      </w:pPr>
      <w:r>
        <w:rPr>
          <w:rFonts w:ascii="Calibri" w:eastAsia="Calibri" w:hAnsi="Calibri" w:cs="Calibri"/>
        </w:rPr>
        <w:t xml:space="preserve"> </w:t>
      </w:r>
    </w:p>
    <w:p w14:paraId="3187A0E2" w14:textId="77777777" w:rsidR="00DA3D03" w:rsidRDefault="00062243">
      <w:pPr>
        <w:spacing w:after="308" w:line="259" w:lineRule="auto"/>
        <w:ind w:left="0" w:firstLine="0"/>
      </w:pPr>
      <w:r>
        <w:rPr>
          <w:rFonts w:ascii="Calibri" w:eastAsia="Calibri" w:hAnsi="Calibri" w:cs="Calibri"/>
        </w:rPr>
        <w:t xml:space="preserve"> </w:t>
      </w:r>
    </w:p>
    <w:p w14:paraId="3B33B8EC" w14:textId="77777777" w:rsidR="00DA3D03" w:rsidRDefault="00062243">
      <w:pPr>
        <w:spacing w:after="312" w:line="259" w:lineRule="auto"/>
        <w:ind w:left="0" w:firstLine="0"/>
      </w:pPr>
      <w:r>
        <w:rPr>
          <w:rFonts w:ascii="Calibri" w:eastAsia="Calibri" w:hAnsi="Calibri" w:cs="Calibri"/>
        </w:rPr>
        <w:t xml:space="preserve"> </w:t>
      </w:r>
    </w:p>
    <w:p w14:paraId="4A49FFC3" w14:textId="77777777" w:rsidR="00DA3D03" w:rsidRDefault="00062243">
      <w:pPr>
        <w:spacing w:after="0" w:line="259" w:lineRule="auto"/>
        <w:ind w:left="0" w:firstLine="0"/>
      </w:pPr>
      <w:r>
        <w:rPr>
          <w:rFonts w:ascii="Calibri" w:eastAsia="Calibri" w:hAnsi="Calibri" w:cs="Calibri"/>
        </w:rPr>
        <w:t xml:space="preserve"> </w:t>
      </w:r>
    </w:p>
    <w:sectPr w:rsidR="00DA3D03">
      <w:headerReference w:type="even" r:id="rId9"/>
      <w:headerReference w:type="default" r:id="rId10"/>
      <w:headerReference w:type="first" r:id="rId11"/>
      <w:footnotePr>
        <w:numRestart w:val="eachPage"/>
      </w:footnotePr>
      <w:pgSz w:w="11908" w:h="16836"/>
      <w:pgMar w:top="1427" w:right="1466" w:bottom="1553"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0D43A" w14:textId="77777777" w:rsidR="00062243" w:rsidRDefault="00062243">
      <w:pPr>
        <w:spacing w:after="0" w:line="240" w:lineRule="auto"/>
      </w:pPr>
      <w:r>
        <w:separator/>
      </w:r>
    </w:p>
  </w:endnote>
  <w:endnote w:type="continuationSeparator" w:id="0">
    <w:p w14:paraId="247829CD" w14:textId="77777777" w:rsidR="00062243" w:rsidRDefault="0006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EB126" w14:textId="77777777" w:rsidR="00062243" w:rsidRDefault="00062243">
      <w:pPr>
        <w:spacing w:after="319" w:line="259" w:lineRule="auto"/>
        <w:ind w:left="0" w:firstLine="0"/>
      </w:pPr>
      <w:r>
        <w:separator/>
      </w:r>
    </w:p>
  </w:footnote>
  <w:footnote w:type="continuationSeparator" w:id="0">
    <w:p w14:paraId="64EB48FD" w14:textId="77777777" w:rsidR="00062243" w:rsidRDefault="00062243">
      <w:pPr>
        <w:spacing w:after="319" w:line="259" w:lineRule="auto"/>
        <w:ind w:left="0" w:firstLine="0"/>
      </w:pPr>
      <w:r>
        <w:continuationSeparator/>
      </w:r>
    </w:p>
  </w:footnote>
  <w:footnote w:id="1">
    <w:p w14:paraId="52D5F108" w14:textId="77777777" w:rsidR="00DA3D03" w:rsidRDefault="00062243">
      <w:pPr>
        <w:pStyle w:val="footnotedescription"/>
        <w:spacing w:after="319"/>
      </w:pPr>
      <w:r>
        <w:rPr>
          <w:rStyle w:val="footnotemark"/>
        </w:rPr>
        <w:footnoteRef/>
      </w:r>
      <w:r>
        <w:t xml:space="preserve"> </w:t>
      </w:r>
      <w:hyperlink r:id="rId1">
        <w:r>
          <w:t>http://sciences.univ</w:t>
        </w:r>
      </w:hyperlink>
      <w:hyperlink r:id="rId2">
        <w:r>
          <w:t>-</w:t>
        </w:r>
      </w:hyperlink>
      <w:hyperlink r:id="rId3">
        <w:r>
          <w:t>alger.dz/?page_id=3193</w:t>
        </w:r>
      </w:hyperlink>
      <w:hyperlink r:id="rId4">
        <w:r>
          <w:rPr>
            <w:color w:val="000000"/>
            <w:u w:val="none" w:color="000000"/>
          </w:rPr>
          <w:t xml:space="preserve"> </w:t>
        </w:r>
      </w:hyperlink>
    </w:p>
  </w:footnote>
  <w:footnote w:id="2">
    <w:p w14:paraId="748C965F" w14:textId="77777777" w:rsidR="00DA3D03" w:rsidRDefault="00062243">
      <w:pPr>
        <w:pStyle w:val="footnotedescription"/>
        <w:spacing w:after="292"/>
      </w:pPr>
      <w:r>
        <w:rPr>
          <w:rStyle w:val="footnotemark"/>
        </w:rPr>
        <w:footnoteRef/>
      </w:r>
      <w:r>
        <w:t xml:space="preserve"> </w:t>
      </w:r>
      <w:hyperlink r:id="rId5">
        <w:r>
          <w:t>https://www.letudiant.fr/etudes/fac/qu</w:t>
        </w:r>
      </w:hyperlink>
      <w:hyperlink r:id="rId6">
        <w:r>
          <w:t>-</w:t>
        </w:r>
      </w:hyperlink>
      <w:hyperlink r:id="rId7">
        <w:r>
          <w:t>est</w:t>
        </w:r>
      </w:hyperlink>
      <w:hyperlink r:id="rId8">
        <w:r>
          <w:t>-</w:t>
        </w:r>
      </w:hyperlink>
      <w:hyperlink r:id="rId9">
        <w:r>
          <w:t>ce</w:t>
        </w:r>
      </w:hyperlink>
      <w:hyperlink r:id="rId10">
        <w:r>
          <w:t>-</w:t>
        </w:r>
      </w:hyperlink>
      <w:hyperlink r:id="rId11">
        <w:r>
          <w:t>que</w:t>
        </w:r>
      </w:hyperlink>
      <w:hyperlink r:id="rId12">
        <w:r>
          <w:t>-</w:t>
        </w:r>
      </w:hyperlink>
      <w:hyperlink r:id="rId13">
        <w:r>
          <w:t>le</w:t>
        </w:r>
      </w:hyperlink>
      <w:hyperlink r:id="rId14">
        <w:r>
          <w:t>-</w:t>
        </w:r>
      </w:hyperlink>
      <w:hyperlink r:id="rId15">
        <w:r>
          <w:t>systeme</w:t>
        </w:r>
      </w:hyperlink>
      <w:hyperlink r:id="rId16">
        <w:r>
          <w:t>-</w:t>
        </w:r>
      </w:hyperlink>
      <w:hyperlink r:id="rId17">
        <w:r>
          <w:t>lmd</w:t>
        </w:r>
      </w:hyperlink>
      <w:hyperlink r:id="rId18">
        <w:r>
          <w:t>-</w:t>
        </w:r>
      </w:hyperlink>
      <w:hyperlink r:id="rId19">
        <w:r>
          <w:t>licence</w:t>
        </w:r>
      </w:hyperlink>
      <w:hyperlink r:id="rId20">
        <w:r>
          <w:t>-</w:t>
        </w:r>
      </w:hyperlink>
      <w:hyperlink r:id="rId21">
        <w:r>
          <w:t>master</w:t>
        </w:r>
      </w:hyperlink>
      <w:hyperlink r:id="rId22">
        <w:r>
          <w:t>-</w:t>
        </w:r>
      </w:hyperlink>
      <w:hyperlink r:id="rId23">
        <w:r>
          <w:t>doctorat.html</w:t>
        </w:r>
      </w:hyperlink>
      <w:hyperlink r:id="rId24">
        <w:r>
          <w:rPr>
            <w:color w:val="000000"/>
            <w:u w:val="none" w:color="000000"/>
          </w:rPr>
          <w:t xml:space="preserve"> </w:t>
        </w:r>
      </w:hyperlink>
    </w:p>
    <w:p w14:paraId="5071ABE1" w14:textId="77777777" w:rsidR="00DA3D03" w:rsidRDefault="00062243">
      <w:pPr>
        <w:pStyle w:val="footnotedescription"/>
        <w:spacing w:after="0"/>
      </w:pPr>
      <w:r>
        <w:rPr>
          <w:color w:val="000000"/>
          <w:u w:val="none" w:color="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6D8C7" w14:textId="77777777" w:rsidR="00DA3D03" w:rsidRDefault="00062243">
    <w:pPr>
      <w:spacing w:after="0" w:line="259" w:lineRule="auto"/>
      <w:ind w:left="1845" w:firstLine="0"/>
    </w:pPr>
    <w:r>
      <w:rPr>
        <w:sz w:val="22"/>
      </w:rPr>
      <w:t xml:space="preserve">Technique du travail universitaire _BOUBRIDAA </w:t>
    </w:r>
    <w:proofErr w:type="spellStart"/>
    <w:r>
      <w:rPr>
        <w:sz w:val="22"/>
      </w:rPr>
      <w:t>Selssabila</w:t>
    </w:r>
    <w:proofErr w:type="spellEnd"/>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BDCDD" w14:textId="77777777" w:rsidR="00DA3D03" w:rsidRDefault="00062243">
    <w:pPr>
      <w:spacing w:after="0" w:line="259" w:lineRule="auto"/>
      <w:ind w:left="1845" w:firstLine="0"/>
    </w:pPr>
    <w:r>
      <w:rPr>
        <w:sz w:val="22"/>
      </w:rPr>
      <w:t xml:space="preserve">Technique du travail universitaire _BOUBRIDAA </w:t>
    </w:r>
    <w:proofErr w:type="spellStart"/>
    <w:r>
      <w:rPr>
        <w:sz w:val="22"/>
      </w:rPr>
      <w:t>Selssabila</w:t>
    </w:r>
    <w:proofErr w:type="spellEnd"/>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05217" w14:textId="77777777" w:rsidR="00DA3D03" w:rsidRDefault="00DA3D0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3468A9"/>
    <w:multiLevelType w:val="hybridMultilevel"/>
    <w:tmpl w:val="C08099F8"/>
    <w:lvl w:ilvl="0" w:tplc="54C20CAC">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E8BE1E">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C86F80">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BAE51C">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AAD8C6">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7AB8B0">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5CAC80">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F22A9C">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B257EC">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D03"/>
    <w:rsid w:val="00062243"/>
    <w:rsid w:val="00BC6E05"/>
    <w:rsid w:val="00DA3D03"/>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6A7B"/>
  <w15:docId w15:val="{F7763693-DEAC-40D7-9281-94519778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DZ" w:eastAsia="fr-D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730" w:hanging="10"/>
    </w:pPr>
    <w:rPr>
      <w:rFonts w:ascii="Times New Roman" w:eastAsia="Times New Roman" w:hAnsi="Times New Roman" w:cs="Times New Roman"/>
      <w:color w:val="000000"/>
      <w:sz w:val="24"/>
    </w:rPr>
  </w:style>
  <w:style w:type="paragraph" w:styleId="Titre1">
    <w:name w:val="heading 1"/>
    <w:next w:val="Normal"/>
    <w:link w:val="Titre1Car"/>
    <w:uiPriority w:val="9"/>
    <w:qFormat/>
    <w:pPr>
      <w:keepNext/>
      <w:keepLines/>
      <w:spacing w:after="5"/>
      <w:ind w:left="10" w:right="983" w:hanging="10"/>
      <w:outlineLvl w:val="0"/>
    </w:pPr>
    <w:rPr>
      <w:rFonts w:ascii="Times New Roman" w:eastAsia="Times New Roman" w:hAnsi="Times New Roman" w:cs="Times New Roman"/>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305"/>
    </w:pPr>
    <w:rPr>
      <w:rFonts w:ascii="Calibri" w:eastAsia="Calibri" w:hAnsi="Calibri" w:cs="Calibri"/>
      <w:color w:val="0563C1"/>
      <w:sz w:val="20"/>
      <w:u w:val="single" w:color="0563C1"/>
    </w:rPr>
  </w:style>
  <w:style w:type="character" w:customStyle="1" w:styleId="footnotedescriptionChar">
    <w:name w:val="footnote description Char"/>
    <w:link w:val="footnotedescription"/>
    <w:rPr>
      <w:rFonts w:ascii="Calibri" w:eastAsia="Calibri" w:hAnsi="Calibri" w:cs="Calibri"/>
      <w:color w:val="0563C1"/>
      <w:sz w:val="20"/>
      <w:u w:val="single" w:color="0563C1"/>
    </w:rPr>
  </w:style>
  <w:style w:type="character" w:customStyle="1" w:styleId="footnotemark">
    <w:name w:val="footnote mark"/>
    <w:hidden/>
    <w:rPr>
      <w:rFonts w:ascii="Calibri" w:eastAsia="Calibri" w:hAnsi="Calibri" w:cs="Calibri"/>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letudiant.fr/etudes/fac/qu-est-ce-que-le-systeme-lmd-licence-master-doctorat.html" TargetMode="External"/><Relationship Id="rId13" Type="http://schemas.openxmlformats.org/officeDocument/2006/relationships/hyperlink" Target="https://www.letudiant.fr/etudes/fac/qu-est-ce-que-le-systeme-lmd-licence-master-doctorat.html" TargetMode="External"/><Relationship Id="rId18" Type="http://schemas.openxmlformats.org/officeDocument/2006/relationships/hyperlink" Target="https://www.letudiant.fr/etudes/fac/qu-est-ce-que-le-systeme-lmd-licence-master-doctorat.html" TargetMode="External"/><Relationship Id="rId3" Type="http://schemas.openxmlformats.org/officeDocument/2006/relationships/hyperlink" Target="http://sciences.univ-alger.dz/?page_id=3193" TargetMode="External"/><Relationship Id="rId21" Type="http://schemas.openxmlformats.org/officeDocument/2006/relationships/hyperlink" Target="https://www.letudiant.fr/etudes/fac/qu-est-ce-que-le-systeme-lmd-licence-master-doctorat.html" TargetMode="External"/><Relationship Id="rId7" Type="http://schemas.openxmlformats.org/officeDocument/2006/relationships/hyperlink" Target="https://www.letudiant.fr/etudes/fac/qu-est-ce-que-le-systeme-lmd-licence-master-doctorat.html" TargetMode="External"/><Relationship Id="rId12" Type="http://schemas.openxmlformats.org/officeDocument/2006/relationships/hyperlink" Target="https://www.letudiant.fr/etudes/fac/qu-est-ce-que-le-systeme-lmd-licence-master-doctorat.html" TargetMode="External"/><Relationship Id="rId17" Type="http://schemas.openxmlformats.org/officeDocument/2006/relationships/hyperlink" Target="https://www.letudiant.fr/etudes/fac/qu-est-ce-que-le-systeme-lmd-licence-master-doctorat.html" TargetMode="External"/><Relationship Id="rId2" Type="http://schemas.openxmlformats.org/officeDocument/2006/relationships/hyperlink" Target="http://sciences.univ-alger.dz/?page_id=3193" TargetMode="External"/><Relationship Id="rId16" Type="http://schemas.openxmlformats.org/officeDocument/2006/relationships/hyperlink" Target="https://www.letudiant.fr/etudes/fac/qu-est-ce-que-le-systeme-lmd-licence-master-doctorat.html" TargetMode="External"/><Relationship Id="rId20" Type="http://schemas.openxmlformats.org/officeDocument/2006/relationships/hyperlink" Target="https://www.letudiant.fr/etudes/fac/qu-est-ce-que-le-systeme-lmd-licence-master-doctorat.html" TargetMode="External"/><Relationship Id="rId1" Type="http://schemas.openxmlformats.org/officeDocument/2006/relationships/hyperlink" Target="http://sciences.univ-alger.dz/?page_id=3193" TargetMode="External"/><Relationship Id="rId6" Type="http://schemas.openxmlformats.org/officeDocument/2006/relationships/hyperlink" Target="https://www.letudiant.fr/etudes/fac/qu-est-ce-que-le-systeme-lmd-licence-master-doctorat.html" TargetMode="External"/><Relationship Id="rId11" Type="http://schemas.openxmlformats.org/officeDocument/2006/relationships/hyperlink" Target="https://www.letudiant.fr/etudes/fac/qu-est-ce-que-le-systeme-lmd-licence-master-doctorat.html" TargetMode="External"/><Relationship Id="rId24" Type="http://schemas.openxmlformats.org/officeDocument/2006/relationships/hyperlink" Target="https://www.letudiant.fr/etudes/fac/qu-est-ce-que-le-systeme-lmd-licence-master-doctorat.html" TargetMode="External"/><Relationship Id="rId5" Type="http://schemas.openxmlformats.org/officeDocument/2006/relationships/hyperlink" Target="https://www.letudiant.fr/etudes/fac/qu-est-ce-que-le-systeme-lmd-licence-master-doctorat.html" TargetMode="External"/><Relationship Id="rId15" Type="http://schemas.openxmlformats.org/officeDocument/2006/relationships/hyperlink" Target="https://www.letudiant.fr/etudes/fac/qu-est-ce-que-le-systeme-lmd-licence-master-doctorat.html" TargetMode="External"/><Relationship Id="rId23" Type="http://schemas.openxmlformats.org/officeDocument/2006/relationships/hyperlink" Target="https://www.letudiant.fr/etudes/fac/qu-est-ce-que-le-systeme-lmd-licence-master-doctorat.html" TargetMode="External"/><Relationship Id="rId10" Type="http://schemas.openxmlformats.org/officeDocument/2006/relationships/hyperlink" Target="https://www.letudiant.fr/etudes/fac/qu-est-ce-que-le-systeme-lmd-licence-master-doctorat.html" TargetMode="External"/><Relationship Id="rId19" Type="http://schemas.openxmlformats.org/officeDocument/2006/relationships/hyperlink" Target="https://www.letudiant.fr/etudes/fac/qu-est-ce-que-le-systeme-lmd-licence-master-doctorat.html" TargetMode="External"/><Relationship Id="rId4" Type="http://schemas.openxmlformats.org/officeDocument/2006/relationships/hyperlink" Target="http://sciences.univ-alger.dz/?page_id=3193" TargetMode="External"/><Relationship Id="rId9" Type="http://schemas.openxmlformats.org/officeDocument/2006/relationships/hyperlink" Target="https://www.letudiant.fr/etudes/fac/qu-est-ce-que-le-systeme-lmd-licence-master-doctorat.html" TargetMode="External"/><Relationship Id="rId14" Type="http://schemas.openxmlformats.org/officeDocument/2006/relationships/hyperlink" Target="https://www.letudiant.fr/etudes/fac/qu-est-ce-que-le-systeme-lmd-licence-master-doctorat.html" TargetMode="External"/><Relationship Id="rId22" Type="http://schemas.openxmlformats.org/officeDocument/2006/relationships/hyperlink" Target="https://www.letudiant.fr/etudes/fac/qu-est-ce-que-le-systeme-lmd-licence-master-doctora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SELSSABILA</dc:creator>
  <cp:keywords/>
  <cp:lastModifiedBy>SELSSABILA</cp:lastModifiedBy>
  <cp:revision>2</cp:revision>
  <dcterms:created xsi:type="dcterms:W3CDTF">2025-11-17T10:31:00Z</dcterms:created>
  <dcterms:modified xsi:type="dcterms:W3CDTF">2025-11-17T10:31:00Z</dcterms:modified>
</cp:coreProperties>
</file>