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373" w:rsidRPr="00F57373" w:rsidRDefault="00F57373" w:rsidP="00F57373">
      <w:pPr>
        <w:jc w:val="center"/>
        <w:rPr>
          <w:b/>
          <w:bCs/>
          <w:sz w:val="32"/>
          <w:szCs w:val="32"/>
          <w:rtl/>
        </w:rPr>
      </w:pPr>
      <w:r w:rsidRPr="00F57373">
        <w:rPr>
          <w:rFonts w:hint="cs"/>
          <w:b/>
          <w:bCs/>
          <w:sz w:val="32"/>
          <w:szCs w:val="32"/>
          <w:rtl/>
        </w:rPr>
        <w:t>الإجابة النموذجية</w:t>
      </w:r>
    </w:p>
    <w:p w:rsidR="00EC708F" w:rsidRDefault="00EC708F" w:rsidP="00EC708F">
      <w:pPr>
        <w:jc w:val="right"/>
        <w:rPr>
          <w:b/>
          <w:bCs/>
          <w:sz w:val="28"/>
          <w:szCs w:val="28"/>
        </w:rPr>
      </w:pPr>
      <w:r w:rsidRPr="00EC708F">
        <w:rPr>
          <w:rFonts w:hint="cs"/>
          <w:b/>
          <w:bCs/>
          <w:sz w:val="28"/>
          <w:szCs w:val="28"/>
          <w:rtl/>
        </w:rPr>
        <w:t>السؤال الأول: تكلم عن الحماية الإدارية المقررة للممتلكا</w:t>
      </w:r>
      <w:r w:rsidRPr="00EC708F">
        <w:rPr>
          <w:rFonts w:hint="eastAsia"/>
          <w:b/>
          <w:bCs/>
          <w:sz w:val="28"/>
          <w:szCs w:val="28"/>
          <w:rtl/>
        </w:rPr>
        <w:t>ت</w:t>
      </w:r>
      <w:r w:rsidRPr="00EC708F">
        <w:rPr>
          <w:rFonts w:hint="cs"/>
          <w:b/>
          <w:bCs/>
          <w:sz w:val="28"/>
          <w:szCs w:val="28"/>
          <w:rtl/>
        </w:rPr>
        <w:t xml:space="preserve"> الثقافية غبر المادية ؟</w:t>
      </w:r>
      <w:r w:rsidR="00227CDE">
        <w:rPr>
          <w:rFonts w:hint="cs"/>
          <w:b/>
          <w:bCs/>
          <w:sz w:val="28"/>
          <w:szCs w:val="28"/>
          <w:rtl/>
        </w:rPr>
        <w:t>(10ن)</w:t>
      </w:r>
    </w:p>
    <w:p w:rsidR="00F57373" w:rsidRDefault="00F57373" w:rsidP="00F57373">
      <w:pPr>
        <w:bidi/>
        <w:spacing w:line="240" w:lineRule="auto"/>
        <w:jc w:val="both"/>
        <w:rPr>
          <w:rFonts w:ascii="Simplified Arabic" w:hAnsi="Simplified Arabic" w:cs="Simplified Arabic"/>
          <w:sz w:val="28"/>
          <w:szCs w:val="28"/>
          <w:rtl/>
          <w:lang w:bidi="ar-DZ"/>
        </w:rPr>
      </w:pPr>
      <w:r w:rsidRPr="00EC5A14">
        <w:rPr>
          <w:rFonts w:ascii="Simplified Arabic" w:hAnsi="Simplified Arabic" w:cs="Simplified Arabic" w:hint="cs"/>
          <w:sz w:val="28"/>
          <w:szCs w:val="28"/>
          <w:rtl/>
          <w:lang w:bidi="ar-DZ"/>
        </w:rPr>
        <w:t xml:space="preserve">يلاحظ أن المشرع الجزائري قد عمل على حماية الممتلكات الثقافية غير المادية </w:t>
      </w:r>
      <w:r>
        <w:rPr>
          <w:rFonts w:ascii="Simplified Arabic" w:hAnsi="Simplified Arabic" w:cs="Simplified Arabic" w:hint="cs"/>
          <w:sz w:val="28"/>
          <w:szCs w:val="28"/>
          <w:rtl/>
          <w:lang w:bidi="ar-DZ"/>
        </w:rPr>
        <w:t xml:space="preserve"> قبل أن تصدر اتفاقية بشأن صون التراث الثقافي غير المادي المعتمدة بباريس في 17 أكتوبر 2003 والتي صادقت عليها الجزائر بين سنتي 2003 و 2004.</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-تعرف الممتلكات الثقافية غير المادية بأنها مجموعة معارف أو تصورات اجتماعية، أو معرفة، أو مهارة، أو كفاءات أو تقنيات قائمة على التقاليد في مختلف ميادين التراث الثقافي، وتمثل الدلالات الحقيقية للارتباط بالهوية الثقافية ويحوزها شخص أو مجموعة أشخاص.</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ويتعلق الأمر بالميادين الآتية: عل</w:t>
      </w:r>
      <w:r>
        <w:rPr>
          <w:rFonts w:ascii="Simplified Arabic" w:hAnsi="Simplified Arabic" w:cs="Simplified Arabic" w:hint="eastAsia"/>
          <w:sz w:val="28"/>
          <w:szCs w:val="28"/>
          <w:rtl/>
          <w:lang w:bidi="ar-DZ"/>
        </w:rPr>
        <w:t>م</w:t>
      </w:r>
      <w:r>
        <w:rPr>
          <w:rFonts w:ascii="Simplified Arabic" w:hAnsi="Simplified Arabic" w:cs="Simplified Arabic" w:hint="cs"/>
          <w:sz w:val="28"/>
          <w:szCs w:val="28"/>
          <w:rtl/>
          <w:lang w:bidi="ar-DZ"/>
        </w:rPr>
        <w:t xml:space="preserve"> الموسيقى العريقة، الأغاني التقليدية والشعبية، الأناشيد، الألحان، المسرح، فن الرقص، الإيقاعات الحركية، الاحتفالات الدينية فنون الطبخ، التعابير الأدبية الشفوية، القصص التاريخية، الحكايات والحكم، الأساطير، الألغاز، الأمثال، الأقوال المأثورة والمواعظ، الأتعاب التقليدية.</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-يتمثل الهدف من حماية الممتلكات الثقافية غير المادية في دراسة التعابير والمواد  الثقافية التقليدية وصيانتها والحفاظ عليها وتعني على خصوص ما يأت</w:t>
      </w:r>
      <w:r>
        <w:rPr>
          <w:rFonts w:ascii="Simplified Arabic" w:hAnsi="Simplified Arabic" w:cs="Simplified Arabic" w:hint="eastAsia"/>
          <w:sz w:val="28"/>
          <w:szCs w:val="28"/>
          <w:rtl/>
          <w:lang w:bidi="ar-DZ"/>
        </w:rPr>
        <w:t>ي</w:t>
      </w:r>
      <w:r>
        <w:rPr>
          <w:rFonts w:ascii="Simplified Arabic" w:hAnsi="Simplified Arabic" w:cs="Simplified Arabic" w:hint="cs"/>
          <w:sz w:val="28"/>
          <w:szCs w:val="28"/>
          <w:rtl/>
          <w:lang w:bidi="ar-DZ"/>
        </w:rPr>
        <w:t xml:space="preserve">: </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-إنشاء مدونات وبنوك معطيات تخص التراث الثقافي غير المادي عن طريق التعريف والتدوين والتصنيف والجمع والتسجيل بكافة الوسائل المناسبة.</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-قيام رجال العلم والمؤسسات المختصة بدراسة المواد المتحصل عليها لتعميق المعرفة والكشف عن المراجع الذاتية الاجتماعية والتاريخية.</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-الحفاظ على سلامة التقاليد بالحرص على تفادي تشويهها عند القيام بنقلها ونشرها.</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-تخضع مواد الثقافة التقليدية والشعبية التي يتم جمعها الإجراءات لحفظ الملائمة بطبيعتها بحيث تحافظ على ذاكرتنا بجميع أشكالها وتنقلها إلى الأجيال اللاحقة.</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-نشر الثقافة غير المادية التقليدية والشعبية بجميع الوسائل مثل: المعارض والتظاهرات المختلفة والمنشورات، وكل أشكال الاتصال وأساليبه ووسائله المتنوعة، وإنشاء متاحف أو أقسام متاحف.</w:t>
      </w:r>
    </w:p>
    <w:p w:rsidR="00F57373" w:rsidRDefault="00F57373" w:rsidP="00F5737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-التعرف على الأشخاص أو مجموعة الأشخاص الحائزين ممتلكا ثقافيا غير مادي في أحد ميادين التراث الثقافي التقليدي والشعبي.</w:t>
      </w:r>
    </w:p>
    <w:p w:rsidR="00227CDE" w:rsidRDefault="00F57373" w:rsidP="00F57373">
      <w:pPr>
        <w:bidi/>
        <w:spacing w:line="240" w:lineRule="auto"/>
        <w:jc w:val="both"/>
        <w:rPr>
          <w:rFonts w:hint="cs"/>
          <w:sz w:val="28"/>
          <w:szCs w:val="28"/>
          <w:rtl/>
        </w:rPr>
      </w:pPr>
      <w:r>
        <w:rPr>
          <w:rFonts w:ascii="Simplified Arabic" w:hAnsi="Simplified Arabic" w:cs="Simplified Arabic" w:hint="cs"/>
          <w:sz w:val="28"/>
          <w:szCs w:val="28"/>
          <w:rtl/>
          <w:lang w:bidi="ar-DZ"/>
        </w:rPr>
        <w:t>تختزن الممتلكات الثقافية المحددة هويتها بالوسائل المذكورة سابقا بمبادرة من الوزير المكلف بالثقافة أو الجماعات المحلية، أو الجمعيات، أو الهيئات والمؤسسات المتخصصة، أو أي شخص آخر مؤهل لذلك في بنك وطني للمعطيات ينشئه الوزير المكل</w:t>
      </w:r>
      <w:r>
        <w:rPr>
          <w:rFonts w:ascii="Simplified Arabic" w:hAnsi="Simplified Arabic" w:cs="Simplified Arabic" w:hint="eastAsia"/>
          <w:sz w:val="28"/>
          <w:szCs w:val="28"/>
          <w:rtl/>
          <w:lang w:bidi="ar-DZ"/>
        </w:rPr>
        <w:t>ف</w:t>
      </w:r>
      <w:r>
        <w:rPr>
          <w:rFonts w:ascii="Simplified Arabic" w:hAnsi="Simplified Arabic" w:cs="Simplified Arabic" w:hint="cs"/>
          <w:sz w:val="28"/>
          <w:szCs w:val="28"/>
          <w:rtl/>
          <w:lang w:bidi="ar-DZ"/>
        </w:rPr>
        <w:t xml:space="preserve"> بالثقافة، ولقد تم إنشاء ذلك بالمرسوم التنفيذي رقم 03-325 المؤرخ 5 أكتوبر 2003، يحدد كيفيات تخزين الممتلكات الثقافية غير المادية في البنك الوطني للمعطيات</w:t>
      </w:r>
      <w:r w:rsidR="00EC708F">
        <w:rPr>
          <w:rFonts w:hint="cs"/>
          <w:sz w:val="28"/>
          <w:szCs w:val="28"/>
          <w:rtl/>
        </w:rPr>
        <w:t>..</w:t>
      </w:r>
    </w:p>
    <w:p w:rsidR="00C6119E" w:rsidRDefault="00C6119E" w:rsidP="00C6119E">
      <w:pPr>
        <w:bidi/>
        <w:spacing w:line="240" w:lineRule="auto"/>
        <w:jc w:val="both"/>
        <w:rPr>
          <w:rFonts w:hint="cs"/>
          <w:sz w:val="28"/>
          <w:szCs w:val="28"/>
          <w:rtl/>
        </w:rPr>
      </w:pPr>
    </w:p>
    <w:p w:rsidR="00C6119E" w:rsidRPr="00F57373" w:rsidRDefault="00C6119E" w:rsidP="00C6119E">
      <w:pPr>
        <w:bidi/>
        <w:spacing w:line="240" w:lineRule="auto"/>
        <w:jc w:val="both"/>
        <w:rPr>
          <w:rFonts w:ascii="Simplified Arabic" w:hAnsi="Simplified Arabic" w:cs="Simplified Arabic"/>
          <w:sz w:val="28"/>
          <w:szCs w:val="28"/>
          <w:rtl/>
          <w:lang w:bidi="ar-DZ"/>
        </w:rPr>
      </w:pPr>
    </w:p>
    <w:p w:rsidR="00EC708F" w:rsidRDefault="00227CDE" w:rsidP="00227CDE">
      <w:pPr>
        <w:jc w:val="center"/>
        <w:rPr>
          <w:rFonts w:hint="cs"/>
          <w:sz w:val="24"/>
          <w:szCs w:val="24"/>
          <w:rtl/>
        </w:rPr>
      </w:pPr>
      <w:r>
        <w:rPr>
          <w:rFonts w:hint="cs"/>
          <w:sz w:val="24"/>
          <w:szCs w:val="24"/>
          <w:rtl/>
        </w:rPr>
        <w:t>½</w:t>
      </w:r>
    </w:p>
    <w:p w:rsidR="00C6119E" w:rsidRDefault="00C6119E" w:rsidP="00227CDE">
      <w:pPr>
        <w:jc w:val="center"/>
        <w:rPr>
          <w:sz w:val="24"/>
          <w:szCs w:val="24"/>
          <w:rtl/>
        </w:rPr>
      </w:pPr>
    </w:p>
    <w:p w:rsidR="00227CDE" w:rsidRDefault="00227CDE" w:rsidP="00227CDE">
      <w:pPr>
        <w:jc w:val="right"/>
        <w:rPr>
          <w:b/>
          <w:bCs/>
          <w:sz w:val="28"/>
          <w:szCs w:val="28"/>
          <w:rtl/>
        </w:rPr>
      </w:pPr>
      <w:r w:rsidRPr="00227CDE">
        <w:rPr>
          <w:rFonts w:hint="cs"/>
          <w:b/>
          <w:bCs/>
          <w:sz w:val="28"/>
          <w:szCs w:val="28"/>
          <w:rtl/>
        </w:rPr>
        <w:t>السؤال الثاني: نظرا لأهمية الممتلكات الثقافية والعقارية سواء من الناحية التاريخية أو السياحية أو العلمية وحتى الاجتماعية ، جرم المشرع بموجب القانون98/06المؤرخ 15جوان1998العديد من الأفعال التي من شأنها تهدد سلامتها، وفرض عقوبات متعددة على مرتكبها، أذكر الأفعال المجرمة سواء جنحة أو  مخالفات مع درجاتها؟ (10ن)</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b/>
          <w:bCs/>
          <w:i/>
          <w:iCs/>
          <w:sz w:val="28"/>
          <w:szCs w:val="28"/>
          <w:rtl/>
          <w:lang w:bidi="ar-DZ"/>
        </w:rPr>
        <w:t>الأفعال المجرمة:</w:t>
      </w:r>
      <w:r w:rsidRPr="00003230">
        <w:rPr>
          <w:rFonts w:ascii="Sakkal Majalla" w:hAnsi="Sakkal Majalla" w:cs="Sakkal Majalla"/>
          <w:sz w:val="28"/>
          <w:szCs w:val="28"/>
          <w:rtl/>
          <w:lang w:bidi="ar-DZ"/>
        </w:rPr>
        <w:t>اعتمد المشرع في التميز بين الجرائم على درجة الخطورة وجسامتها، بعدما جعل معيار التفرقة تكمن في العقوبة، وعلى أساس ذلك قسمها إلى : جنايات، جنح، ومخالفات.</w:t>
      </w:r>
    </w:p>
    <w:p w:rsidR="00F57373" w:rsidRPr="00003230" w:rsidRDefault="00F57373" w:rsidP="00F57373">
      <w:pPr>
        <w:bidi/>
        <w:spacing w:after="0"/>
        <w:jc w:val="both"/>
        <w:rPr>
          <w:rFonts w:ascii="Sakkal Majalla" w:hAnsi="Sakkal Majalla" w:cs="Sakkal Majalla"/>
          <w:sz w:val="28"/>
          <w:szCs w:val="28"/>
          <w:rtl/>
          <w:lang w:bidi="ar-DZ"/>
        </w:rPr>
      </w:pPr>
    </w:p>
    <w:p w:rsidR="00F57373" w:rsidRPr="00003230" w:rsidRDefault="00F57373" w:rsidP="00F57373">
      <w:pPr>
        <w:bidi/>
        <w:spacing w:after="0"/>
        <w:jc w:val="both"/>
        <w:rPr>
          <w:rFonts w:ascii="Sakkal Majalla" w:hAnsi="Sakkal Majalla" w:cs="Sakkal Majalla"/>
          <w:b/>
          <w:bCs/>
          <w:sz w:val="28"/>
          <w:szCs w:val="28"/>
          <w:rtl/>
          <w:lang w:bidi="ar-DZ"/>
        </w:rPr>
      </w:pPr>
      <w:r w:rsidRPr="00003230">
        <w:rPr>
          <w:rFonts w:ascii="Sakkal Majalla" w:hAnsi="Sakkal Majalla" w:cs="Sakkal Majalla"/>
          <w:b/>
          <w:bCs/>
          <w:sz w:val="28"/>
          <w:szCs w:val="28"/>
          <w:rtl/>
          <w:lang w:bidi="ar-DZ"/>
        </w:rPr>
        <w:t>3-1-1- بالنسبة للأفعال المصنفة جنحا يمكن تقسيمها إلى:</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b/>
          <w:bCs/>
          <w:sz w:val="28"/>
          <w:szCs w:val="28"/>
          <w:rtl/>
          <w:lang w:bidi="ar-DZ"/>
        </w:rPr>
        <w:tab/>
        <w:t>أ ­ جنح من الدرجة الأول:</w:t>
      </w:r>
      <w:r w:rsidRPr="00003230">
        <w:rPr>
          <w:rFonts w:ascii="Sakkal Majalla" w:hAnsi="Sakkal Majalla" w:cs="Sakkal Majalla"/>
          <w:sz w:val="28"/>
          <w:szCs w:val="28"/>
          <w:rtl/>
          <w:lang w:bidi="ar-DZ"/>
        </w:rPr>
        <w:t xml:space="preserve"> وتتمثل في:</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إخفاء أشياء متأتية من عمليات حفر أو تنقيب، مكتشفة بالصدفة وأثناء القيام بأبحاث أثرية مرخص بها.</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­إخفاء أشياء متأتية من أبحاث أجريت تحت مياه البحر.</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­بيع أو إخفاء ممتلكات ثقافية مصنفة أو مسجلة في قائمة الجرد الإضافي، وكذلك الممتلكات الثقافية المتأتية من تقطيعها أو من تجزئتها.</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الإتلاف أو التشويه العمدي لأحد الممتلكات العقارية المقترحة للتصنيف أو المصنفة أو المسجلة في قائمة الجرد الإضافي، دون المساس لأي تعويض عن الضرر.</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الإتلاف أو التدمير أو التشويه العمدي للأشياء مكتشفة أثناء أبحاث أثرية</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r>
      <w:r w:rsidRPr="00003230">
        <w:rPr>
          <w:rFonts w:ascii="Sakkal Majalla" w:hAnsi="Sakkal Majalla" w:cs="Sakkal Majalla"/>
          <w:b/>
          <w:bCs/>
          <w:sz w:val="28"/>
          <w:szCs w:val="28"/>
          <w:rtl/>
          <w:lang w:bidi="ar-DZ"/>
        </w:rPr>
        <w:t>ب­ جنح من الدرجة الثانية:</w:t>
      </w:r>
      <w:r w:rsidRPr="00003230">
        <w:rPr>
          <w:rFonts w:ascii="Sakkal Majalla" w:hAnsi="Sakkal Majalla" w:cs="Sakkal Majalla"/>
          <w:sz w:val="28"/>
          <w:szCs w:val="28"/>
          <w:rtl/>
          <w:lang w:bidi="ar-DZ"/>
        </w:rPr>
        <w:t xml:space="preserve"> تتمثل في :</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إجراء الأبحاث الأثرية دون ترخيص من الوزير المكلف بالثقافة.</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عدم التصريح بالمكتشفات الفجائية</w:t>
      </w:r>
      <w:r>
        <w:rPr>
          <w:rFonts w:ascii="Sakkal Majalla" w:hAnsi="Sakkal Majalla" w:cs="Sakkal Majalla" w:hint="cs"/>
          <w:sz w:val="28"/>
          <w:szCs w:val="28"/>
          <w:vertAlign w:val="superscript"/>
          <w:rtl/>
          <w:lang w:bidi="ar-DZ"/>
        </w:rPr>
        <w:t>.</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b/>
          <w:bCs/>
          <w:sz w:val="28"/>
          <w:szCs w:val="28"/>
          <w:rtl/>
          <w:lang w:bidi="ar-DZ"/>
        </w:rPr>
        <w:t>3-1-2- بالنسبة للأفعال المصنفة مخالفات:</w:t>
      </w:r>
      <w:r w:rsidRPr="00003230">
        <w:rPr>
          <w:rFonts w:ascii="Sakkal Majalla" w:hAnsi="Sakkal Majalla" w:cs="Sakkal Majalla"/>
          <w:sz w:val="28"/>
          <w:szCs w:val="28"/>
          <w:rtl/>
          <w:lang w:bidi="ar-DZ"/>
        </w:rPr>
        <w:t xml:space="preserve"> يمكن بدورها تقسيمها إلى:</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r>
      <w:r w:rsidRPr="00003230">
        <w:rPr>
          <w:rFonts w:ascii="Sakkal Majalla" w:hAnsi="Sakkal Majalla" w:cs="Sakkal Majalla"/>
          <w:b/>
          <w:bCs/>
          <w:sz w:val="28"/>
          <w:szCs w:val="28"/>
          <w:rtl/>
          <w:lang w:bidi="ar-DZ"/>
        </w:rPr>
        <w:t xml:space="preserve">آ­مخالفات من الدرجة الأولى: </w:t>
      </w:r>
      <w:r w:rsidRPr="00003230">
        <w:rPr>
          <w:rFonts w:ascii="Sakkal Majalla" w:hAnsi="Sakkal Majalla" w:cs="Sakkal Majalla"/>
          <w:sz w:val="28"/>
          <w:szCs w:val="28"/>
          <w:rtl/>
          <w:lang w:bidi="ar-DZ"/>
        </w:rPr>
        <w:t>وتتمثل في:</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­المخالفات المتعلقة بالإشهار، وتنظيم الحفلات وأخذ الصور ومشاهد فوتوغرافية أو أشغال كبرى عمومية أو خاصة، أو تشجير أو قطع الأشجار.</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شغل ممتلك ثقافي عقاري مصنف أو استعماله استعمالا لا يطابق الارتفاقات المحددة والمذكورة في الترخيص المسبق الذي سلمه الوزير المكلف بالثقافة</w:t>
      </w:r>
      <w:r>
        <w:rPr>
          <w:rFonts w:ascii="Sakkal Majalla" w:hAnsi="Sakkal Majalla" w:cs="Sakkal Majalla" w:hint="cs"/>
          <w:sz w:val="28"/>
          <w:szCs w:val="28"/>
          <w:vertAlign w:val="superscript"/>
          <w:rtl/>
          <w:lang w:bidi="ar-DZ"/>
        </w:rPr>
        <w:t>.</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القيام بأعمال إصلاح لممتلكات ثقافية عقارية مقترحة للتصنيف أو مصنفة وللعقارات المشمولة في المنطقة المحمية، أو إعادة تأهيلها أو ترميمها أو لإضافة إليها أو استصلاحها أو إعادة تشكيلها أو هدمها بما يخالف الإجراءات المنصوص عليها في القانون 98/04 المتعلق بحماية التراث الثقافي.</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r>
      <w:r w:rsidRPr="00003230">
        <w:rPr>
          <w:rFonts w:ascii="Sakkal Majalla" w:hAnsi="Sakkal Majalla" w:cs="Sakkal Majalla"/>
          <w:b/>
          <w:bCs/>
          <w:sz w:val="28"/>
          <w:szCs w:val="28"/>
          <w:rtl/>
          <w:lang w:bidi="ar-DZ"/>
        </w:rPr>
        <w:t xml:space="preserve">ب­مخالفات من الدرجة الثانية: </w:t>
      </w:r>
      <w:r w:rsidRPr="00003230">
        <w:rPr>
          <w:rFonts w:ascii="Sakkal Majalla" w:hAnsi="Sakkal Majalla" w:cs="Sakkal Majalla"/>
          <w:sz w:val="28"/>
          <w:szCs w:val="28"/>
          <w:rtl/>
          <w:lang w:bidi="ar-DZ"/>
        </w:rPr>
        <w:t>وتتمثل في:</w:t>
      </w:r>
    </w:p>
    <w:p w:rsidR="00F57373" w:rsidRPr="00003230" w:rsidRDefault="00F57373" w:rsidP="00F57373">
      <w:pPr>
        <w:bidi/>
        <w:spacing w:after="0"/>
        <w:jc w:val="both"/>
        <w:rPr>
          <w:rFonts w:ascii="Sakkal Majalla" w:hAnsi="Sakkal Majalla" w:cs="Sakkal Majalla"/>
          <w:sz w:val="28"/>
          <w:szCs w:val="28"/>
          <w:rtl/>
          <w:lang w:bidi="ar-DZ"/>
        </w:rPr>
      </w:pPr>
      <w:r w:rsidRPr="00003230">
        <w:rPr>
          <w:rFonts w:ascii="Sakkal Majalla" w:hAnsi="Sakkal Majalla" w:cs="Sakkal Majalla"/>
          <w:sz w:val="28"/>
          <w:szCs w:val="28"/>
          <w:rtl/>
          <w:lang w:bidi="ar-DZ"/>
        </w:rPr>
        <w:tab/>
        <w:t>­ اعتراض المالك أو المستأجر أو أي شاغل آخر حسن النية لممتلك ثقافي عقاري مصنف أو مسجل في قائمة الجرد الإضافي أو عقار مشمول في منطقة حماية الممتلك الثقافي المصنف، عقار مشمول في محيط قطاع محفوظ على زيارة رجال الفن المؤهلين خصيصا لهذا العقار.</w:t>
      </w:r>
    </w:p>
    <w:p w:rsidR="00227CDE" w:rsidRDefault="00227CDE" w:rsidP="00227CDE">
      <w:pPr>
        <w:jc w:val="right"/>
        <w:rPr>
          <w:sz w:val="28"/>
          <w:szCs w:val="28"/>
          <w:rtl/>
          <w:lang w:bidi="ar-DZ"/>
        </w:rPr>
      </w:pPr>
    </w:p>
    <w:p w:rsidR="00227CDE" w:rsidRPr="000E5F2B" w:rsidRDefault="00227CDE" w:rsidP="00227CDE">
      <w:pPr>
        <w:rPr>
          <w:b/>
          <w:bCs/>
          <w:sz w:val="28"/>
          <w:szCs w:val="28"/>
        </w:rPr>
      </w:pPr>
      <w:r w:rsidRPr="000E5F2B">
        <w:rPr>
          <w:rFonts w:hint="cs"/>
          <w:b/>
          <w:bCs/>
          <w:sz w:val="28"/>
          <w:szCs w:val="28"/>
          <w:rtl/>
        </w:rPr>
        <w:t>بالتوفيق أستاذة المادة</w:t>
      </w:r>
    </w:p>
    <w:sectPr w:rsidR="00227CDE" w:rsidRPr="000E5F2B" w:rsidSect="00967E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EFD" w:rsidRDefault="009E4EFD" w:rsidP="00227CDE">
      <w:pPr>
        <w:spacing w:after="0" w:line="240" w:lineRule="auto"/>
      </w:pPr>
      <w:r>
        <w:separator/>
      </w:r>
    </w:p>
  </w:endnote>
  <w:endnote w:type="continuationSeparator" w:id="1">
    <w:p w:rsidR="009E4EFD" w:rsidRDefault="009E4EFD" w:rsidP="00227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Sakkal Majalla">
    <w:altName w:val="Times New Roman"/>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EFD" w:rsidRDefault="009E4EFD" w:rsidP="00227CDE">
      <w:pPr>
        <w:spacing w:after="0" w:line="240" w:lineRule="auto"/>
      </w:pPr>
      <w:r>
        <w:separator/>
      </w:r>
    </w:p>
  </w:footnote>
  <w:footnote w:type="continuationSeparator" w:id="1">
    <w:p w:rsidR="009E4EFD" w:rsidRDefault="009E4EFD" w:rsidP="00227C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EC708F"/>
    <w:rsid w:val="000E5F2B"/>
    <w:rsid w:val="00227CDE"/>
    <w:rsid w:val="008D698F"/>
    <w:rsid w:val="00967E37"/>
    <w:rsid w:val="009E4EFD"/>
    <w:rsid w:val="00BF6F79"/>
    <w:rsid w:val="00C6119E"/>
    <w:rsid w:val="00C7520F"/>
    <w:rsid w:val="00EC708F"/>
    <w:rsid w:val="00F57373"/>
    <w:rsid w:val="00F96D78"/>
    <w:rsid w:val="00FD6B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E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C708F"/>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227C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27CDE"/>
  </w:style>
  <w:style w:type="paragraph" w:styleId="Pieddepage">
    <w:name w:val="footer"/>
    <w:basedOn w:val="Normal"/>
    <w:link w:val="PieddepageCar"/>
    <w:uiPriority w:val="99"/>
    <w:semiHidden/>
    <w:unhideWhenUsed/>
    <w:rsid w:val="00227CD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27C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231F-1386-4756-A4CF-06659C3D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667</Words>
  <Characters>3670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car</dc:creator>
  <cp:keywords/>
  <dc:description/>
  <cp:lastModifiedBy>pc car</cp:lastModifiedBy>
  <cp:revision>8</cp:revision>
  <dcterms:created xsi:type="dcterms:W3CDTF">2026-05-05T17:07:00Z</dcterms:created>
  <dcterms:modified xsi:type="dcterms:W3CDTF">2026-05-17T13:23:00Z</dcterms:modified>
</cp:coreProperties>
</file>