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C06" w:rsidRPr="00511C06" w:rsidRDefault="00511C06" w:rsidP="00511C06">
      <w:pPr>
        <w:pStyle w:val="NormalWeb"/>
        <w:rPr>
          <w:lang w:val="en-TT"/>
        </w:rPr>
      </w:pPr>
      <w:r w:rsidRPr="00511C06">
        <w:rPr>
          <w:rStyle w:val="lev"/>
          <w:lang w:val="en-TT"/>
        </w:rPr>
        <w:t>Chapter 5: Monoclonal and Recombinant Antibodies</w:t>
      </w:r>
    </w:p>
    <w:p w:rsidR="00511C06" w:rsidRPr="00511C06" w:rsidRDefault="00511C06" w:rsidP="00511C06">
      <w:pPr>
        <w:pStyle w:val="NormalWeb"/>
        <w:rPr>
          <w:lang w:val="en-TT"/>
        </w:rPr>
      </w:pPr>
      <w:r w:rsidRPr="00511C06">
        <w:rPr>
          <w:rStyle w:val="lev"/>
          <w:lang w:val="en-TT"/>
        </w:rPr>
        <w:t>1. Definition of Immunoglobulins</w:t>
      </w:r>
    </w:p>
    <w:p w:rsidR="00511C06" w:rsidRPr="00511C06" w:rsidRDefault="00511C06" w:rsidP="00511C06">
      <w:pPr>
        <w:pStyle w:val="NormalWeb"/>
        <w:rPr>
          <w:lang w:val="en-TT"/>
        </w:rPr>
      </w:pPr>
      <w:r w:rsidRPr="00511C06">
        <w:rPr>
          <w:lang w:val="en-TT"/>
        </w:rPr>
        <w:t>Immunoglobulins (Ig) are glycoproteins that carry antibody activity (Ab). They are capable of binding specifically, through the paratope, to a single antigenic determinant known as an epitope. They are the soluble effectors of antigen-specific humoral immunity.</w:t>
      </w:r>
    </w:p>
    <w:p w:rsidR="00511C06" w:rsidRPr="00511C06" w:rsidRDefault="00511C06" w:rsidP="00511C06">
      <w:pPr>
        <w:pStyle w:val="NormalWeb"/>
        <w:rPr>
          <w:lang w:val="en-TT"/>
        </w:rPr>
      </w:pPr>
      <w:r w:rsidRPr="00511C06">
        <w:rPr>
          <w:rStyle w:val="lev"/>
          <w:lang w:val="en-TT"/>
        </w:rPr>
        <w:t>2. Structure of Immunoglobulins</w:t>
      </w:r>
    </w:p>
    <w:p w:rsidR="00511C06" w:rsidRPr="00511C06" w:rsidRDefault="00511C06" w:rsidP="00511C06">
      <w:pPr>
        <w:pStyle w:val="NormalWeb"/>
        <w:rPr>
          <w:lang w:val="en-TT"/>
        </w:rPr>
      </w:pPr>
      <w:r w:rsidRPr="00511C06">
        <w:rPr>
          <w:rStyle w:val="lev"/>
          <w:lang w:val="en-TT"/>
        </w:rPr>
        <w:t>Heavy and Light Chains</w:t>
      </w:r>
      <w:r w:rsidRPr="00511C06">
        <w:rPr>
          <w:lang w:val="en-TT"/>
        </w:rPr>
        <w:br/>
        <w:t>Antibodies (Abs) are glycoproteins belonging to the immunoglobulin superfamily and are composed of four polypeptide chains: two heavy chains (CH) (H for heavy) and two light chains (CL) (L for light). These chains are linked together by a variable number of disulfide bonds, which provide flexibility to the molecule.</w:t>
      </w:r>
    </w:p>
    <w:p w:rsidR="00511C06" w:rsidRPr="00511C06" w:rsidRDefault="00511C06" w:rsidP="00511C06">
      <w:pPr>
        <w:pStyle w:val="NormalWeb"/>
        <w:rPr>
          <w:lang w:val="en-TT"/>
        </w:rPr>
      </w:pPr>
      <w:r w:rsidRPr="00511C06">
        <w:rPr>
          <w:rStyle w:val="lev"/>
          <w:lang w:val="en-TT"/>
        </w:rPr>
        <w:t>Hinge Region</w:t>
      </w:r>
      <w:r w:rsidRPr="00511C06">
        <w:rPr>
          <w:lang w:val="en-TT"/>
        </w:rPr>
        <w:br/>
        <w:t>This is the region where the arms of the Y-shaped antibody structure are located. It is called the “hinge” region because it allows the molecule to have a certain degree of flexibility.</w:t>
      </w:r>
    </w:p>
    <w:p w:rsidR="00511C06" w:rsidRPr="00511C06" w:rsidRDefault="00511C06" w:rsidP="00511C06">
      <w:pPr>
        <w:pStyle w:val="NormalWeb"/>
        <w:rPr>
          <w:lang w:val="en-TT"/>
        </w:rPr>
      </w:pPr>
      <w:r w:rsidRPr="00511C06">
        <w:rPr>
          <w:rStyle w:val="lev"/>
          <w:lang w:val="en-TT"/>
        </w:rPr>
        <w:t>Constant Domains</w:t>
      </w:r>
      <w:r w:rsidRPr="00511C06">
        <w:rPr>
          <w:lang w:val="en-TT"/>
        </w:rPr>
        <w:br/>
        <w:t>Constant domains are characterized by an amino acid sequence that is very similar from one antibody to another and is characteristic of the species and the isotype. Each light chain contains one constant domain, noted CL. The heavy chains contain, depending on the isotype, three or four constant domains: CH1, CH2, CH3, and CH4 (Figure 1). The constant domains are not involved in antigen (Ag) recognition but play a role in the activation of the complement system.</w:t>
      </w:r>
    </w:p>
    <w:p w:rsidR="00511C06" w:rsidRPr="00511C06" w:rsidRDefault="00511C06" w:rsidP="00511C06">
      <w:pPr>
        <w:pStyle w:val="NormalWeb"/>
        <w:rPr>
          <w:lang w:val="en-TT"/>
        </w:rPr>
      </w:pPr>
      <w:r w:rsidRPr="00511C06">
        <w:rPr>
          <w:rStyle w:val="lev"/>
          <w:lang w:val="en-TT"/>
        </w:rPr>
        <w:t>Variable Domains</w:t>
      </w:r>
      <w:r w:rsidRPr="00511C06">
        <w:rPr>
          <w:lang w:val="en-TT"/>
        </w:rPr>
        <w:br/>
        <w:t>An antibody has four variable domains located at the ends of the two “arms” of the immunoglobulin. The association between a variable domain carried by a heavy chain (VH) and the adjacent variable domain carried by a light chain (VL) forms the antigen recognition site (or paratope). Thus, an immunoglobulin molecule has two antigen-binding sites, one at the end of each arm. These two sites are identical, allowing one antibody to bind two antigen molecules.</w:t>
      </w:r>
    </w:p>
    <w:p w:rsidR="002F21E1" w:rsidRPr="002F21E1" w:rsidRDefault="002F21E1" w:rsidP="002F21E1">
      <w:pPr>
        <w:pStyle w:val="NormalWeb"/>
        <w:rPr>
          <w:lang w:val="en-TT"/>
        </w:rPr>
      </w:pPr>
      <w:r w:rsidRPr="002F21E1">
        <w:rPr>
          <w:rStyle w:val="lev"/>
          <w:lang w:val="en-TT"/>
        </w:rPr>
        <w:t>Fab Fragment</w:t>
      </w:r>
      <w:r w:rsidRPr="002F21E1">
        <w:rPr>
          <w:lang w:val="en-TT"/>
        </w:rPr>
        <w:br/>
        <w:t>These fragments are called Fab because they contain the antigen-binding sites of the antibody. Each Fab fragment is monovalent. The antibody-binding site is formed by the association of the VH and VL domains. Different combinations of VH and VL domains lead to antibodies that can bind to different antigenic determinants.</w:t>
      </w:r>
    </w:p>
    <w:p w:rsidR="002F21E1" w:rsidRPr="002F21E1" w:rsidRDefault="002F21E1" w:rsidP="002F21E1">
      <w:pPr>
        <w:pStyle w:val="NormalWeb"/>
        <w:rPr>
          <w:lang w:val="en-TT"/>
        </w:rPr>
      </w:pPr>
      <w:r w:rsidRPr="002F21E1">
        <w:rPr>
          <w:rStyle w:val="lev"/>
          <w:lang w:val="en-TT"/>
        </w:rPr>
        <w:t>Fc Fragment</w:t>
      </w:r>
      <w:r w:rsidRPr="002F21E1">
        <w:rPr>
          <w:lang w:val="en-TT"/>
        </w:rPr>
        <w:br/>
        <w:t>The effector functions of immunoglobulins are mainly carried by this part of the molecule. Different functions are associated with different domains of the Fc fragment. Normally, an antibody can exert its function only after it has first bound to the antigen.</w:t>
      </w:r>
    </w:p>
    <w:p w:rsidR="00923B97" w:rsidRDefault="002F21E1" w:rsidP="00923B97">
      <w:pPr>
        <w:ind w:left="-567"/>
        <w:jc w:val="center"/>
        <w:rPr>
          <w:lang w:val="en-TT"/>
        </w:rPr>
      </w:pPr>
      <w:r>
        <w:rPr>
          <w:noProof/>
          <w:lang w:eastAsia="fr-FR"/>
        </w:rPr>
        <w:lastRenderedPageBreak/>
        <w:drawing>
          <wp:inline distT="0" distB="0" distL="0" distR="0">
            <wp:extent cx="4674217" cy="3107040"/>
            <wp:effectExtent l="19050" t="19050" r="12700" b="177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6158" cy="3108330"/>
                    </a:xfrm>
                    <a:prstGeom prst="rect">
                      <a:avLst/>
                    </a:prstGeom>
                    <a:noFill/>
                    <a:ln w="9525">
                      <a:solidFill>
                        <a:schemeClr val="tx1"/>
                      </a:solidFill>
                    </a:ln>
                  </pic:spPr>
                </pic:pic>
              </a:graphicData>
            </a:graphic>
          </wp:inline>
        </w:drawing>
      </w:r>
    </w:p>
    <w:p w:rsidR="00923B97" w:rsidRDefault="00923B97" w:rsidP="00923B97">
      <w:pPr>
        <w:pStyle w:val="NormalWeb"/>
      </w:pPr>
      <w:r>
        <w:rPr>
          <w:rStyle w:val="lev"/>
        </w:rPr>
        <w:t>3. Classes and Subclasses of Immunoglobulins</w:t>
      </w:r>
    </w:p>
    <w:p w:rsidR="00923B97" w:rsidRPr="00923B97" w:rsidRDefault="00923B97" w:rsidP="00923B97">
      <w:pPr>
        <w:pStyle w:val="NormalWeb"/>
        <w:rPr>
          <w:lang w:val="en-TT"/>
        </w:rPr>
      </w:pPr>
      <w:r w:rsidRPr="00923B97">
        <w:rPr>
          <w:lang w:val="en-TT"/>
        </w:rPr>
        <w:t xml:space="preserve">The isotype of an antibody is determined by the constant regions of the heavy chains. Humans, like all mammals, possess five antibody isotypes: </w:t>
      </w:r>
      <w:r w:rsidRPr="00923B97">
        <w:rPr>
          <w:rStyle w:val="lev"/>
          <w:lang w:val="en-TT"/>
        </w:rPr>
        <w:t>IgM, IgD, IgG, IgE, and IgA</w:t>
      </w:r>
      <w:r w:rsidRPr="00923B97">
        <w:rPr>
          <w:lang w:val="en-TT"/>
        </w:rPr>
        <w:t xml:space="preserve">. The constant domain of the heavy chain is referred to respectively as </w:t>
      </w:r>
      <w:r w:rsidRPr="00923B97">
        <w:rPr>
          <w:rStyle w:val="lev"/>
          <w:lang w:val="en-TT"/>
        </w:rPr>
        <w:t>C</w:t>
      </w:r>
      <w:r>
        <w:rPr>
          <w:rStyle w:val="lev"/>
        </w:rPr>
        <w:t>μ</w:t>
      </w:r>
      <w:r w:rsidRPr="00923B97">
        <w:rPr>
          <w:rStyle w:val="lev"/>
          <w:lang w:val="en-TT"/>
        </w:rPr>
        <w:t>, C</w:t>
      </w:r>
      <w:r>
        <w:rPr>
          <w:rStyle w:val="lev"/>
        </w:rPr>
        <w:t>δ</w:t>
      </w:r>
      <w:r w:rsidRPr="00923B97">
        <w:rPr>
          <w:rStyle w:val="lev"/>
          <w:lang w:val="en-TT"/>
        </w:rPr>
        <w:t>, C</w:t>
      </w:r>
      <w:r>
        <w:rPr>
          <w:rStyle w:val="lev"/>
        </w:rPr>
        <w:t>γ</w:t>
      </w:r>
      <w:r w:rsidRPr="00923B97">
        <w:rPr>
          <w:rStyle w:val="lev"/>
          <w:lang w:val="en-TT"/>
        </w:rPr>
        <w:t>, C</w:t>
      </w:r>
      <w:r>
        <w:rPr>
          <w:rStyle w:val="lev"/>
        </w:rPr>
        <w:t>ε</w:t>
      </w:r>
      <w:r w:rsidRPr="00923B97">
        <w:rPr>
          <w:rStyle w:val="lev"/>
          <w:lang w:val="en-TT"/>
        </w:rPr>
        <w:t>, and C</w:t>
      </w:r>
      <w:r>
        <w:rPr>
          <w:rStyle w:val="lev"/>
        </w:rPr>
        <w:t>α</w:t>
      </w:r>
      <w:r w:rsidRPr="00923B97">
        <w:rPr>
          <w:lang w:val="en-TT"/>
        </w:rPr>
        <w:t>.</w:t>
      </w:r>
    </w:p>
    <w:p w:rsidR="00923B97" w:rsidRPr="00923B97" w:rsidRDefault="00923B97" w:rsidP="00923B97">
      <w:pPr>
        <w:pStyle w:val="NormalWeb"/>
        <w:rPr>
          <w:lang w:val="en-TT"/>
        </w:rPr>
      </w:pPr>
      <w:r w:rsidRPr="00923B97">
        <w:rPr>
          <w:lang w:val="en-TT"/>
        </w:rPr>
        <w:t xml:space="preserve">There are </w:t>
      </w:r>
      <w:r w:rsidRPr="00923B97">
        <w:rPr>
          <w:rStyle w:val="lev"/>
          <w:lang w:val="en-TT"/>
        </w:rPr>
        <w:t>four subclasses of IgG</w:t>
      </w:r>
      <w:r w:rsidRPr="00923B97">
        <w:rPr>
          <w:lang w:val="en-TT"/>
        </w:rPr>
        <w:t xml:space="preserve"> designated </w:t>
      </w:r>
      <w:r w:rsidRPr="00923B97">
        <w:rPr>
          <w:rStyle w:val="lev"/>
          <w:lang w:val="en-TT"/>
        </w:rPr>
        <w:t>IgG1, IgG2, IgG3, and IgG4</w:t>
      </w:r>
      <w:r w:rsidRPr="00923B97">
        <w:rPr>
          <w:lang w:val="en-TT"/>
        </w:rPr>
        <w:t xml:space="preserve">, and </w:t>
      </w:r>
      <w:r w:rsidRPr="00923B97">
        <w:rPr>
          <w:rStyle w:val="lev"/>
          <w:lang w:val="en-TT"/>
        </w:rPr>
        <w:t>two subclasses of IgA</w:t>
      </w:r>
      <w:r w:rsidRPr="00923B97">
        <w:rPr>
          <w:lang w:val="en-TT"/>
        </w:rPr>
        <w:t xml:space="preserve"> (</w:t>
      </w:r>
      <w:r w:rsidRPr="00923B97">
        <w:rPr>
          <w:rStyle w:val="lev"/>
          <w:lang w:val="en-TT"/>
        </w:rPr>
        <w:t>IgA1 and IgA2</w:t>
      </w:r>
      <w:r w:rsidRPr="00923B97">
        <w:rPr>
          <w:lang w:val="en-TT"/>
        </w:rPr>
        <w:t xml:space="preserve">). These subclasses are defined by the constant domains of the heavy chains </w:t>
      </w:r>
      <w:r w:rsidRPr="00923B97">
        <w:rPr>
          <w:rStyle w:val="lev"/>
          <w:lang w:val="en-TT"/>
        </w:rPr>
        <w:t>C</w:t>
      </w:r>
      <w:r>
        <w:rPr>
          <w:rStyle w:val="lev"/>
        </w:rPr>
        <w:t>γ</w:t>
      </w:r>
      <w:r w:rsidRPr="00923B97">
        <w:rPr>
          <w:rStyle w:val="lev"/>
          <w:lang w:val="en-TT"/>
        </w:rPr>
        <w:t>1, C</w:t>
      </w:r>
      <w:r>
        <w:rPr>
          <w:rStyle w:val="lev"/>
        </w:rPr>
        <w:t>γ</w:t>
      </w:r>
      <w:r w:rsidRPr="00923B97">
        <w:rPr>
          <w:rStyle w:val="lev"/>
          <w:lang w:val="en-TT"/>
        </w:rPr>
        <w:t>2, C</w:t>
      </w:r>
      <w:r>
        <w:rPr>
          <w:rStyle w:val="lev"/>
        </w:rPr>
        <w:t>γ</w:t>
      </w:r>
      <w:r w:rsidRPr="00923B97">
        <w:rPr>
          <w:rStyle w:val="lev"/>
          <w:lang w:val="en-TT"/>
        </w:rPr>
        <w:t>3, C</w:t>
      </w:r>
      <w:r>
        <w:rPr>
          <w:rStyle w:val="lev"/>
        </w:rPr>
        <w:t>γ</w:t>
      </w:r>
      <w:r w:rsidRPr="00923B97">
        <w:rPr>
          <w:rStyle w:val="lev"/>
          <w:lang w:val="en-TT"/>
        </w:rPr>
        <w:t>4, C</w:t>
      </w:r>
      <w:r>
        <w:rPr>
          <w:rStyle w:val="lev"/>
        </w:rPr>
        <w:t>α</w:t>
      </w:r>
      <w:r w:rsidRPr="00923B97">
        <w:rPr>
          <w:rStyle w:val="lev"/>
          <w:lang w:val="en-TT"/>
        </w:rPr>
        <w:t>1, and C</w:t>
      </w:r>
      <w:r>
        <w:rPr>
          <w:rStyle w:val="lev"/>
        </w:rPr>
        <w:t>α</w:t>
      </w:r>
      <w:r w:rsidRPr="00923B97">
        <w:rPr>
          <w:rStyle w:val="lev"/>
          <w:lang w:val="en-TT"/>
        </w:rPr>
        <w:t>2</w:t>
      </w:r>
      <w:r w:rsidRPr="00923B97">
        <w:rPr>
          <w:lang w:val="en-TT"/>
        </w:rPr>
        <w:t>, respectively. The other isotypes (</w:t>
      </w:r>
      <w:r w:rsidRPr="00923B97">
        <w:rPr>
          <w:rStyle w:val="lev"/>
          <w:lang w:val="en-TT"/>
        </w:rPr>
        <w:t>IgM, IgD, and IgE</w:t>
      </w:r>
      <w:r w:rsidRPr="00923B97">
        <w:rPr>
          <w:lang w:val="en-TT"/>
        </w:rPr>
        <w:t>) do not have subclasses.</w:t>
      </w:r>
    </w:p>
    <w:p w:rsidR="00923B97" w:rsidRPr="00923B97" w:rsidRDefault="00923B97" w:rsidP="00923B97">
      <w:pPr>
        <w:pStyle w:val="NormalWeb"/>
        <w:rPr>
          <w:lang w:val="en-TT"/>
        </w:rPr>
      </w:pPr>
      <w:r w:rsidRPr="00923B97">
        <w:rPr>
          <w:lang w:val="en-TT"/>
        </w:rPr>
        <w:t xml:space="preserve">Each heavy chain is associated with either a </w:t>
      </w:r>
      <w:r w:rsidRPr="00923B97">
        <w:rPr>
          <w:rStyle w:val="lev"/>
          <w:lang w:val="en-TT"/>
        </w:rPr>
        <w:t>kappa (</w:t>
      </w:r>
      <w:r>
        <w:rPr>
          <w:rStyle w:val="lev"/>
        </w:rPr>
        <w:t>κ</w:t>
      </w:r>
      <w:r w:rsidRPr="00923B97">
        <w:rPr>
          <w:rStyle w:val="lev"/>
          <w:lang w:val="en-TT"/>
        </w:rPr>
        <w:t>)</w:t>
      </w:r>
      <w:r w:rsidRPr="00923B97">
        <w:rPr>
          <w:lang w:val="en-TT"/>
        </w:rPr>
        <w:t xml:space="preserve"> or </w:t>
      </w:r>
      <w:r w:rsidRPr="00923B97">
        <w:rPr>
          <w:rStyle w:val="lev"/>
          <w:lang w:val="en-TT"/>
        </w:rPr>
        <w:t>lambda (</w:t>
      </w:r>
      <w:r>
        <w:rPr>
          <w:rStyle w:val="lev"/>
        </w:rPr>
        <w:t>λ</w:t>
      </w:r>
      <w:r w:rsidRPr="00923B97">
        <w:rPr>
          <w:rStyle w:val="lev"/>
          <w:lang w:val="en-TT"/>
        </w:rPr>
        <w:t>)</w:t>
      </w:r>
      <w:r w:rsidRPr="00923B97">
        <w:rPr>
          <w:lang w:val="en-TT"/>
        </w:rPr>
        <w:t xml:space="preserve"> light chain. </w:t>
      </w:r>
      <w:r w:rsidRPr="00923B97">
        <w:rPr>
          <w:rStyle w:val="lev"/>
          <w:lang w:val="en-TT"/>
        </w:rPr>
        <w:t>IgG, IgD, and IgE</w:t>
      </w:r>
      <w:r w:rsidRPr="00923B97">
        <w:rPr>
          <w:lang w:val="en-TT"/>
        </w:rPr>
        <w:t xml:space="preserve"> are typically </w:t>
      </w:r>
      <w:r w:rsidRPr="00923B97">
        <w:rPr>
          <w:rStyle w:val="lev"/>
          <w:lang w:val="en-TT"/>
        </w:rPr>
        <w:t>monomeric forms</w:t>
      </w:r>
      <w:r w:rsidRPr="00923B97">
        <w:rPr>
          <w:lang w:val="en-TT"/>
        </w:rPr>
        <w:t xml:space="preserve">, whereas </w:t>
      </w:r>
      <w:r w:rsidRPr="00923B97">
        <w:rPr>
          <w:rStyle w:val="lev"/>
          <w:lang w:val="en-TT"/>
        </w:rPr>
        <w:t>IgA and IgM</w:t>
      </w:r>
      <w:r w:rsidRPr="00923B97">
        <w:rPr>
          <w:lang w:val="en-TT"/>
        </w:rPr>
        <w:t xml:space="preserve"> may exist either as </w:t>
      </w:r>
      <w:r w:rsidRPr="00923B97">
        <w:rPr>
          <w:rStyle w:val="lev"/>
          <w:lang w:val="en-TT"/>
        </w:rPr>
        <w:t>monomeric or multimeric forms</w:t>
      </w:r>
      <w:r w:rsidRPr="00923B97">
        <w:rPr>
          <w:lang w:val="en-TT"/>
        </w:rPr>
        <w:t xml:space="preserve"> (Figure 3).</w:t>
      </w:r>
    </w:p>
    <w:p w:rsidR="00923B97" w:rsidRPr="00923B97" w:rsidRDefault="00923B97" w:rsidP="00923B97">
      <w:pPr>
        <w:pStyle w:val="NormalWeb"/>
        <w:rPr>
          <w:lang w:val="en-TT"/>
        </w:rPr>
      </w:pPr>
      <w:r w:rsidRPr="00923B97">
        <w:rPr>
          <w:lang w:val="en-TT"/>
        </w:rPr>
        <w:t xml:space="preserve">There are </w:t>
      </w:r>
      <w:r w:rsidRPr="00923B97">
        <w:rPr>
          <w:rStyle w:val="lev"/>
          <w:lang w:val="en-TT"/>
        </w:rPr>
        <w:t>circulating forms</w:t>
      </w:r>
      <w:r w:rsidRPr="00923B97">
        <w:rPr>
          <w:lang w:val="en-TT"/>
        </w:rPr>
        <w:t xml:space="preserve"> of immunoglobulins (</w:t>
      </w:r>
      <w:r w:rsidRPr="00923B97">
        <w:rPr>
          <w:rStyle w:val="lev"/>
          <w:lang w:val="en-TT"/>
        </w:rPr>
        <w:t>IgG, IgA, IgM, and IgE</w:t>
      </w:r>
      <w:r w:rsidRPr="00923B97">
        <w:rPr>
          <w:lang w:val="en-TT"/>
        </w:rPr>
        <w:t xml:space="preserve">), as well as </w:t>
      </w:r>
      <w:r w:rsidRPr="00923B97">
        <w:rPr>
          <w:rStyle w:val="lev"/>
          <w:lang w:val="en-TT"/>
        </w:rPr>
        <w:t>membrane-bound forms</w:t>
      </w:r>
      <w:r w:rsidRPr="00923B97">
        <w:rPr>
          <w:lang w:val="en-TT"/>
        </w:rPr>
        <w:t xml:space="preserve">, particularly </w:t>
      </w:r>
      <w:r w:rsidRPr="00923B97">
        <w:rPr>
          <w:rStyle w:val="lev"/>
          <w:lang w:val="en-TT"/>
        </w:rPr>
        <w:t>IgM and IgD</w:t>
      </w:r>
      <w:r w:rsidRPr="00923B97">
        <w:rPr>
          <w:lang w:val="en-TT"/>
        </w:rPr>
        <w:t>.</w:t>
      </w:r>
    </w:p>
    <w:p w:rsidR="00E26371" w:rsidRDefault="00923B97" w:rsidP="00E26371">
      <w:pPr>
        <w:tabs>
          <w:tab w:val="left" w:pos="0"/>
        </w:tabs>
        <w:rPr>
          <w:lang w:val="en-TT"/>
        </w:rPr>
      </w:pPr>
      <w:r w:rsidRPr="003459F2">
        <w:rPr>
          <w:rFonts w:asciiTheme="majorBidi" w:hAnsiTheme="majorBidi" w:cstheme="majorBidi"/>
          <w:noProof/>
          <w:color w:val="FF0000"/>
          <w:sz w:val="24"/>
          <w:szCs w:val="24"/>
          <w:lang w:eastAsia="fr-FR"/>
        </w:rPr>
        <w:drawing>
          <wp:inline distT="0" distB="0" distL="0" distR="0" wp14:anchorId="54472608" wp14:editId="488AD38D">
            <wp:extent cx="5760720" cy="2658745"/>
            <wp:effectExtent l="19050" t="19050" r="11430" b="273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658745"/>
                    </a:xfrm>
                    <a:prstGeom prst="rect">
                      <a:avLst/>
                    </a:prstGeom>
                    <a:noFill/>
                    <a:ln w="12700">
                      <a:solidFill>
                        <a:schemeClr val="tx1"/>
                      </a:solidFill>
                    </a:ln>
                  </pic:spPr>
                </pic:pic>
              </a:graphicData>
            </a:graphic>
          </wp:inline>
        </w:drawing>
      </w:r>
    </w:p>
    <w:p w:rsidR="00E26371" w:rsidRPr="00E26371" w:rsidRDefault="00E26371" w:rsidP="00E26371">
      <w:pPr>
        <w:pStyle w:val="NormalWeb"/>
        <w:rPr>
          <w:lang w:val="en-TT"/>
        </w:rPr>
      </w:pPr>
      <w:r w:rsidRPr="00E26371">
        <w:rPr>
          <w:rStyle w:val="lev"/>
          <w:lang w:val="en-TT"/>
        </w:rPr>
        <w:t>4. Definition of Monoclonal Antibodies</w:t>
      </w:r>
    </w:p>
    <w:p w:rsidR="00E26371" w:rsidRPr="00E26371" w:rsidRDefault="00E26371" w:rsidP="00E26371">
      <w:pPr>
        <w:pStyle w:val="NormalWeb"/>
        <w:rPr>
          <w:lang w:val="en-TT"/>
        </w:rPr>
      </w:pPr>
      <w:r w:rsidRPr="00E26371">
        <w:rPr>
          <w:lang w:val="en-TT"/>
        </w:rPr>
        <w:t>Monoclonal antibodies (mAbs) are recognized as an identical population of antibodies derived from a single clone of B cells. They recognize only one type of epitope on a given antigen and always exhibit the same characteristics, particularly the same specificity.</w:t>
      </w:r>
      <w:r w:rsidRPr="00E26371">
        <w:rPr>
          <w:lang w:val="en-TT"/>
        </w:rPr>
        <w:br/>
        <w:t>In contrast, recombinant antibodies are antibodies produced from recombinant genes, usually inserted into host cells such as mammalian or bacterial cells.</w:t>
      </w:r>
    </w:p>
    <w:p w:rsidR="00E26371" w:rsidRPr="00E26371" w:rsidRDefault="00E26371" w:rsidP="00E26371">
      <w:pPr>
        <w:pStyle w:val="NormalWeb"/>
        <w:rPr>
          <w:lang w:val="en-TT"/>
        </w:rPr>
      </w:pPr>
      <w:r w:rsidRPr="00E26371">
        <w:rPr>
          <w:rStyle w:val="lev"/>
          <w:lang w:val="en-TT"/>
        </w:rPr>
        <w:t>5. Definition of Polyclonal Antibodies</w:t>
      </w:r>
    </w:p>
    <w:p w:rsidR="00E26371" w:rsidRPr="00E26371" w:rsidRDefault="00E26371" w:rsidP="00E26371">
      <w:pPr>
        <w:pStyle w:val="NormalWeb"/>
        <w:rPr>
          <w:lang w:val="en-TT"/>
        </w:rPr>
      </w:pPr>
      <w:r w:rsidRPr="00E26371">
        <w:rPr>
          <w:lang w:val="en-TT"/>
        </w:rPr>
        <w:t>Polyclonal antibodies are a heterogeneous mixture of antibodies produced by different cells. The sensitivity and specificity of these antibodies therefore vary widely. They are heterogeneous and possess broad specificity. They may also show many undesirable cross-reactions.</w:t>
      </w:r>
    </w:p>
    <w:p w:rsidR="00E26371" w:rsidRPr="00E26371" w:rsidRDefault="00E26371" w:rsidP="00E26371">
      <w:pPr>
        <w:pStyle w:val="NormalWeb"/>
        <w:rPr>
          <w:lang w:val="en-TT"/>
        </w:rPr>
      </w:pPr>
      <w:r w:rsidRPr="00E26371">
        <w:rPr>
          <w:rStyle w:val="lev"/>
          <w:lang w:val="en-TT"/>
        </w:rPr>
        <w:t>6. Differences between Monoclonal Antibodies and Polyclonal Antibodies</w:t>
      </w:r>
    </w:p>
    <w:p w:rsidR="00E26371" w:rsidRDefault="00E26371" w:rsidP="00E26371">
      <w:pPr>
        <w:pStyle w:val="NormalWeb"/>
      </w:pPr>
      <w:r w:rsidRPr="00E26371">
        <w:rPr>
          <w:lang w:val="en-TT"/>
        </w:rPr>
        <w:t>Polyclonal antibodies (pAbs) are capable of recognizing several different epitopes of the same antigen. They offer lower specificity compared to monoclonal antibodies because they consist of a complex mixture of immunoglobulins targeting all epitopes of the antigen, whereas monoclonal antibodies target a single epitope.</w:t>
      </w:r>
      <w:r w:rsidRPr="00E26371">
        <w:rPr>
          <w:lang w:val="en-TT"/>
        </w:rPr>
        <w:br/>
        <w:t xml:space="preserve">Polyclonal antibodies have a wide range of selectivities and affinities, which may lead to cross-reactivity or interference in an immunological assay. </w:t>
      </w:r>
      <w:r>
        <w:t>Therefore, they are generally less stable than monoclonal antibodies.</w:t>
      </w:r>
    </w:p>
    <w:p w:rsidR="00096872" w:rsidRDefault="00096872" w:rsidP="00E26371">
      <w:pPr>
        <w:tabs>
          <w:tab w:val="left" w:pos="0"/>
        </w:tabs>
        <w:rPr>
          <w:lang w:val="en-TT"/>
        </w:rPr>
      </w:pPr>
      <w:r w:rsidRPr="004C37AA">
        <w:rPr>
          <w:rFonts w:asciiTheme="majorBidi" w:hAnsiTheme="majorBidi" w:cstheme="majorBidi"/>
          <w:noProof/>
          <w:sz w:val="24"/>
          <w:szCs w:val="24"/>
          <w:lang w:eastAsia="fr-FR"/>
        </w:rPr>
        <w:drawing>
          <wp:inline distT="0" distB="0" distL="0" distR="0" wp14:anchorId="02706A82" wp14:editId="2DB29D99">
            <wp:extent cx="5760720" cy="4307205"/>
            <wp:effectExtent l="19050" t="19050" r="11430" b="171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07205"/>
                    </a:xfrm>
                    <a:prstGeom prst="rect">
                      <a:avLst/>
                    </a:prstGeom>
                    <a:noFill/>
                    <a:ln w="9525">
                      <a:solidFill>
                        <a:schemeClr val="tx1"/>
                      </a:solidFill>
                    </a:ln>
                  </pic:spPr>
                </pic:pic>
              </a:graphicData>
            </a:graphic>
          </wp:inline>
        </w:drawing>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b/>
          <w:bCs/>
          <w:sz w:val="24"/>
          <w:szCs w:val="24"/>
          <w:lang w:val="en-TT" w:eastAsia="fr-FR"/>
        </w:rPr>
        <w:t>7. Different Generations of Monoclonal Antibodies and Their Production</w:t>
      </w:r>
    </w:p>
    <w:p w:rsidR="002675F2" w:rsidRPr="002675F2" w:rsidRDefault="002675F2" w:rsidP="002675F2">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2675F2">
        <w:rPr>
          <w:rFonts w:ascii="Times New Roman" w:eastAsia="Times New Roman" w:hAnsi="Times New Roman" w:cs="Times New Roman"/>
          <w:b/>
          <w:bCs/>
          <w:sz w:val="27"/>
          <w:szCs w:val="27"/>
          <w:lang w:val="en-TT" w:eastAsia="fr-FR"/>
        </w:rPr>
        <w:t>7.1 Production of Monoclonal Antibodies by the Hybridoma Technique (Murine Antibodies)</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Monoclonal antibodies (mAbs) were discovered by </w:t>
      </w:r>
      <w:r w:rsidRPr="002675F2">
        <w:rPr>
          <w:rFonts w:ascii="Times New Roman" w:eastAsia="Times New Roman" w:hAnsi="Times New Roman" w:cs="Times New Roman"/>
          <w:b/>
          <w:bCs/>
          <w:sz w:val="24"/>
          <w:szCs w:val="24"/>
          <w:lang w:val="en-TT" w:eastAsia="fr-FR"/>
        </w:rPr>
        <w:t>Köhler and Milstein in 1975</w:t>
      </w:r>
      <w:r w:rsidRPr="002675F2">
        <w:rPr>
          <w:rFonts w:ascii="Times New Roman" w:eastAsia="Times New Roman" w:hAnsi="Times New Roman" w:cs="Times New Roman"/>
          <w:sz w:val="24"/>
          <w:szCs w:val="24"/>
          <w:lang w:val="en-TT" w:eastAsia="fr-FR"/>
        </w:rPr>
        <w:t xml:space="preserve"> following the development of the cell hybridization technique. This technology was mainly developed using mouse cells, largely due to the availability of murine myeloma cell lines.</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The general principle of hybridoma production is based on the fusion of </w:t>
      </w:r>
      <w:r w:rsidRPr="002675F2">
        <w:rPr>
          <w:rFonts w:ascii="Times New Roman" w:eastAsia="Times New Roman" w:hAnsi="Times New Roman" w:cs="Times New Roman"/>
          <w:b/>
          <w:bCs/>
          <w:sz w:val="24"/>
          <w:szCs w:val="24"/>
          <w:lang w:val="en-TT" w:eastAsia="fr-FR"/>
        </w:rPr>
        <w:t>B lymphocytes</w:t>
      </w:r>
      <w:r w:rsidRPr="002675F2">
        <w:rPr>
          <w:rFonts w:ascii="Times New Roman" w:eastAsia="Times New Roman" w:hAnsi="Times New Roman" w:cs="Times New Roman"/>
          <w:sz w:val="24"/>
          <w:szCs w:val="24"/>
          <w:lang w:val="en-TT" w:eastAsia="fr-FR"/>
        </w:rPr>
        <w:t xml:space="preserve">, which secrete antibodies but do not multiply in vitro, with </w:t>
      </w:r>
      <w:r w:rsidRPr="002675F2">
        <w:rPr>
          <w:rFonts w:ascii="Times New Roman" w:eastAsia="Times New Roman" w:hAnsi="Times New Roman" w:cs="Times New Roman"/>
          <w:b/>
          <w:bCs/>
          <w:sz w:val="24"/>
          <w:szCs w:val="24"/>
          <w:lang w:val="en-TT" w:eastAsia="fr-FR"/>
        </w:rPr>
        <w:t>myeloma lymphoid cells</w:t>
      </w:r>
      <w:r w:rsidRPr="002675F2">
        <w:rPr>
          <w:rFonts w:ascii="Times New Roman" w:eastAsia="Times New Roman" w:hAnsi="Times New Roman" w:cs="Times New Roman"/>
          <w:sz w:val="24"/>
          <w:szCs w:val="24"/>
          <w:lang w:val="en-TT" w:eastAsia="fr-FR"/>
        </w:rPr>
        <w:t>, which have the capacity to multiply rapidly and indefinitely in vitro in an appropriate culture medium (Fig. 2).</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The hybridoma technique is carried out in </w:t>
      </w:r>
      <w:r w:rsidRPr="002675F2">
        <w:rPr>
          <w:rFonts w:ascii="Times New Roman" w:eastAsia="Times New Roman" w:hAnsi="Times New Roman" w:cs="Times New Roman"/>
          <w:b/>
          <w:bCs/>
          <w:sz w:val="24"/>
          <w:szCs w:val="24"/>
          <w:lang w:val="en-TT" w:eastAsia="fr-FR"/>
        </w:rPr>
        <w:t>five steps</w:t>
      </w:r>
      <w:r w:rsidRPr="002675F2">
        <w:rPr>
          <w:rFonts w:ascii="Times New Roman" w:eastAsia="Times New Roman" w:hAnsi="Times New Roman" w:cs="Times New Roman"/>
          <w:sz w:val="24"/>
          <w:szCs w:val="24"/>
          <w:lang w:val="en-TT" w:eastAsia="fr-FR"/>
        </w:rPr>
        <w:t>:</w:t>
      </w:r>
    </w:p>
    <w:p w:rsidR="002675F2" w:rsidRPr="002675F2" w:rsidRDefault="002675F2" w:rsidP="002675F2">
      <w:pPr>
        <w:numPr>
          <w:ilvl w:val="0"/>
          <w:numId w:val="1"/>
        </w:num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Immunization of the animal and obtaining B lymphocytes</w:t>
      </w:r>
    </w:p>
    <w:p w:rsidR="002675F2" w:rsidRPr="002675F2" w:rsidRDefault="002675F2" w:rsidP="002675F2">
      <w:pPr>
        <w:numPr>
          <w:ilvl w:val="0"/>
          <w:numId w:val="1"/>
        </w:num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Fusion of plasma cells with lymphoid myeloma cells</w:t>
      </w:r>
    </w:p>
    <w:p w:rsidR="002675F2" w:rsidRPr="002675F2" w:rsidRDefault="002675F2" w:rsidP="002675F2">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2675F2">
        <w:rPr>
          <w:rFonts w:ascii="Times New Roman" w:eastAsia="Times New Roman" w:hAnsi="Times New Roman" w:cs="Times New Roman"/>
          <w:sz w:val="24"/>
          <w:szCs w:val="24"/>
          <w:lang w:eastAsia="fr-FR"/>
        </w:rPr>
        <w:t>Selection of hybrid cells</w:t>
      </w:r>
    </w:p>
    <w:p w:rsidR="002675F2" w:rsidRPr="002675F2" w:rsidRDefault="002675F2" w:rsidP="002675F2">
      <w:pPr>
        <w:numPr>
          <w:ilvl w:val="0"/>
          <w:numId w:val="1"/>
        </w:num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Screening and cloning of hybridomas of interest</w:t>
      </w:r>
    </w:p>
    <w:p w:rsidR="002675F2" w:rsidRPr="002675F2" w:rsidRDefault="002675F2" w:rsidP="002675F2">
      <w:pPr>
        <w:numPr>
          <w:ilvl w:val="0"/>
          <w:numId w:val="1"/>
        </w:num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Large-scale production of monoclonal antibodies</w:t>
      </w:r>
    </w:p>
    <w:p w:rsidR="002675F2" w:rsidRPr="002675F2" w:rsidRDefault="002675F2" w:rsidP="002675F2">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Pr>
          <w:rFonts w:ascii="Times New Roman" w:eastAsia="Times New Roman" w:hAnsi="Times New Roman" w:cs="Times New Roman"/>
          <w:b/>
          <w:bCs/>
          <w:sz w:val="27"/>
          <w:szCs w:val="27"/>
          <w:lang w:val="en-TT" w:eastAsia="fr-FR"/>
        </w:rPr>
        <w:t>a) Immunization and Choice of</w:t>
      </w:r>
      <w:r w:rsidRPr="002675F2">
        <w:rPr>
          <w:rFonts w:ascii="Times New Roman" w:eastAsia="Times New Roman" w:hAnsi="Times New Roman" w:cs="Times New Roman"/>
          <w:b/>
          <w:bCs/>
          <w:sz w:val="27"/>
          <w:szCs w:val="27"/>
          <w:lang w:val="en-TT" w:eastAsia="fr-FR"/>
        </w:rPr>
        <w:t>the Animal</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Immunization is mainly performed in mice because their genome has approximately </w:t>
      </w:r>
      <w:r w:rsidRPr="002675F2">
        <w:rPr>
          <w:rFonts w:ascii="Times New Roman" w:eastAsia="Times New Roman" w:hAnsi="Times New Roman" w:cs="Times New Roman"/>
          <w:b/>
          <w:bCs/>
          <w:sz w:val="24"/>
          <w:szCs w:val="24"/>
          <w:lang w:val="en-TT" w:eastAsia="fr-FR"/>
        </w:rPr>
        <w:t>95% homology with the human genome</w:t>
      </w:r>
      <w:r w:rsidRPr="002675F2">
        <w:rPr>
          <w:rFonts w:ascii="Times New Roman" w:eastAsia="Times New Roman" w:hAnsi="Times New Roman" w:cs="Times New Roman"/>
          <w:sz w:val="24"/>
          <w:szCs w:val="24"/>
          <w:lang w:val="en-TT" w:eastAsia="fr-FR"/>
        </w:rPr>
        <w:t xml:space="preserve">. Mice allow the production of both compatible </w:t>
      </w:r>
      <w:r w:rsidRPr="002675F2">
        <w:rPr>
          <w:rFonts w:ascii="Times New Roman" w:eastAsia="Times New Roman" w:hAnsi="Times New Roman" w:cs="Times New Roman"/>
          <w:b/>
          <w:bCs/>
          <w:sz w:val="24"/>
          <w:szCs w:val="24"/>
          <w:lang w:val="en-TT" w:eastAsia="fr-FR"/>
        </w:rPr>
        <w:t>myeloma cells</w:t>
      </w:r>
      <w:r w:rsidRPr="002675F2">
        <w:rPr>
          <w:rFonts w:ascii="Times New Roman" w:eastAsia="Times New Roman" w:hAnsi="Times New Roman" w:cs="Times New Roman"/>
          <w:sz w:val="24"/>
          <w:szCs w:val="24"/>
          <w:lang w:val="en-TT" w:eastAsia="fr-FR"/>
        </w:rPr>
        <w:t xml:space="preserve"> and </w:t>
      </w:r>
      <w:r w:rsidRPr="002675F2">
        <w:rPr>
          <w:rFonts w:ascii="Times New Roman" w:eastAsia="Times New Roman" w:hAnsi="Times New Roman" w:cs="Times New Roman"/>
          <w:b/>
          <w:bCs/>
          <w:sz w:val="24"/>
          <w:szCs w:val="24"/>
          <w:lang w:val="en-TT" w:eastAsia="fr-FR"/>
        </w:rPr>
        <w:t>B lymphocytes</w:t>
      </w:r>
      <w:r w:rsidRPr="002675F2">
        <w:rPr>
          <w:rFonts w:ascii="Times New Roman" w:eastAsia="Times New Roman" w:hAnsi="Times New Roman" w:cs="Times New Roman"/>
          <w:sz w:val="24"/>
          <w:szCs w:val="24"/>
          <w:lang w:val="en-TT" w:eastAsia="fr-FR"/>
        </w:rPr>
        <w:t xml:space="preserve"> required for the fusion step. In addition, mice have a short lifespan and reproduce easily.</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The most commonly used strain is </w:t>
      </w:r>
      <w:r w:rsidRPr="002675F2">
        <w:rPr>
          <w:rFonts w:ascii="Times New Roman" w:eastAsia="Times New Roman" w:hAnsi="Times New Roman" w:cs="Times New Roman"/>
          <w:b/>
          <w:bCs/>
          <w:sz w:val="24"/>
          <w:szCs w:val="24"/>
          <w:lang w:val="en-TT" w:eastAsia="fr-FR"/>
        </w:rPr>
        <w:t>BALB/c</w:t>
      </w:r>
      <w:r w:rsidRPr="002675F2">
        <w:rPr>
          <w:rFonts w:ascii="Times New Roman" w:eastAsia="Times New Roman" w:hAnsi="Times New Roman" w:cs="Times New Roman"/>
          <w:sz w:val="24"/>
          <w:szCs w:val="24"/>
          <w:lang w:val="en-TT" w:eastAsia="fr-FR"/>
        </w:rPr>
        <w:t>, an inbred albino strain that facilitates a strong immune response to antigenic stimulation.</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The principle of production relies on </w:t>
      </w:r>
      <w:r w:rsidRPr="002675F2">
        <w:rPr>
          <w:rFonts w:ascii="Times New Roman" w:eastAsia="Times New Roman" w:hAnsi="Times New Roman" w:cs="Times New Roman"/>
          <w:b/>
          <w:bCs/>
          <w:sz w:val="24"/>
          <w:szCs w:val="24"/>
          <w:lang w:val="en-TT" w:eastAsia="fr-FR"/>
        </w:rPr>
        <w:t>injecting an antigen of interest into a rodent</w:t>
      </w:r>
      <w:r w:rsidRPr="002675F2">
        <w:rPr>
          <w:rFonts w:ascii="Times New Roman" w:eastAsia="Times New Roman" w:hAnsi="Times New Roman" w:cs="Times New Roman"/>
          <w:sz w:val="24"/>
          <w:szCs w:val="24"/>
          <w:lang w:val="en-TT" w:eastAsia="fr-FR"/>
        </w:rPr>
        <w:t xml:space="preserve">, which then develops an immune response against this antigen. As a result, </w:t>
      </w:r>
      <w:r w:rsidRPr="002675F2">
        <w:rPr>
          <w:rFonts w:ascii="Times New Roman" w:eastAsia="Times New Roman" w:hAnsi="Times New Roman" w:cs="Times New Roman"/>
          <w:b/>
          <w:bCs/>
          <w:sz w:val="24"/>
          <w:szCs w:val="24"/>
          <w:lang w:val="en-TT" w:eastAsia="fr-FR"/>
        </w:rPr>
        <w:t>B lymphocytes producing specific immunoglobulins directed against the injected antigen</w:t>
      </w:r>
      <w:r w:rsidRPr="002675F2">
        <w:rPr>
          <w:rFonts w:ascii="Times New Roman" w:eastAsia="Times New Roman" w:hAnsi="Times New Roman" w:cs="Times New Roman"/>
          <w:sz w:val="24"/>
          <w:szCs w:val="24"/>
          <w:lang w:val="en-TT" w:eastAsia="fr-FR"/>
        </w:rPr>
        <w:t xml:space="preserve"> are generated. These B lymphocytes are recovered from the </w:t>
      </w:r>
      <w:r w:rsidRPr="002675F2">
        <w:rPr>
          <w:rFonts w:ascii="Times New Roman" w:eastAsia="Times New Roman" w:hAnsi="Times New Roman" w:cs="Times New Roman"/>
          <w:b/>
          <w:bCs/>
          <w:sz w:val="24"/>
          <w:szCs w:val="24"/>
          <w:lang w:val="en-TT" w:eastAsia="fr-FR"/>
        </w:rPr>
        <w:t>spleen after splenectomy of the animal</w:t>
      </w:r>
      <w:r w:rsidRPr="002675F2">
        <w:rPr>
          <w:rFonts w:ascii="Times New Roman" w:eastAsia="Times New Roman" w:hAnsi="Times New Roman" w:cs="Times New Roman"/>
          <w:sz w:val="24"/>
          <w:szCs w:val="24"/>
          <w:lang w:val="en-TT" w:eastAsia="fr-FR"/>
        </w:rPr>
        <w:t>.</w:t>
      </w:r>
    </w:p>
    <w:p w:rsidR="002675F2" w:rsidRPr="002675F2" w:rsidRDefault="002675F2" w:rsidP="002675F2">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2675F2">
        <w:rPr>
          <w:rFonts w:ascii="Times New Roman" w:eastAsia="Times New Roman" w:hAnsi="Times New Roman" w:cs="Times New Roman"/>
          <w:b/>
          <w:bCs/>
          <w:sz w:val="27"/>
          <w:szCs w:val="27"/>
          <w:lang w:val="en-TT" w:eastAsia="fr-FR"/>
        </w:rPr>
        <w:t>b) Fusion of the Two Cell Types</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All subsequent steps must be carried out under </w:t>
      </w:r>
      <w:r w:rsidRPr="002675F2">
        <w:rPr>
          <w:rFonts w:ascii="Times New Roman" w:eastAsia="Times New Roman" w:hAnsi="Times New Roman" w:cs="Times New Roman"/>
          <w:b/>
          <w:bCs/>
          <w:sz w:val="24"/>
          <w:szCs w:val="24"/>
          <w:lang w:val="en-TT" w:eastAsia="fr-FR"/>
        </w:rPr>
        <w:t>sterile conditions</w:t>
      </w:r>
      <w:r w:rsidRPr="002675F2">
        <w:rPr>
          <w:rFonts w:ascii="Times New Roman" w:eastAsia="Times New Roman" w:hAnsi="Times New Roman" w:cs="Times New Roman"/>
          <w:sz w:val="24"/>
          <w:szCs w:val="24"/>
          <w:lang w:val="en-TT" w:eastAsia="fr-FR"/>
        </w:rPr>
        <w:t xml:space="preserve"> to prevent bacterial and fungal contamination.</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The aim of this step is to </w:t>
      </w:r>
      <w:r w:rsidRPr="002675F2">
        <w:rPr>
          <w:rFonts w:ascii="Times New Roman" w:eastAsia="Times New Roman" w:hAnsi="Times New Roman" w:cs="Times New Roman"/>
          <w:b/>
          <w:bCs/>
          <w:sz w:val="24"/>
          <w:szCs w:val="24"/>
          <w:lang w:val="en-TT" w:eastAsia="fr-FR"/>
        </w:rPr>
        <w:t>fuse a mouse cell producing a monoclonal antibody with an “immortal” cell line</w:t>
      </w:r>
      <w:r w:rsidRPr="002675F2">
        <w:rPr>
          <w:rFonts w:ascii="Times New Roman" w:eastAsia="Times New Roman" w:hAnsi="Times New Roman" w:cs="Times New Roman"/>
          <w:sz w:val="24"/>
          <w:szCs w:val="24"/>
          <w:lang w:val="en-TT" w:eastAsia="fr-FR"/>
        </w:rPr>
        <w:t xml:space="preserve"> capable of dividing indefinitely.</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Lymphoid cells from the </w:t>
      </w:r>
      <w:r w:rsidRPr="002675F2">
        <w:rPr>
          <w:rFonts w:ascii="Times New Roman" w:eastAsia="Times New Roman" w:hAnsi="Times New Roman" w:cs="Times New Roman"/>
          <w:b/>
          <w:bCs/>
          <w:sz w:val="24"/>
          <w:szCs w:val="24"/>
          <w:lang w:val="en-TT" w:eastAsia="fr-FR"/>
        </w:rPr>
        <w:t>spleen or lymph nodes</w:t>
      </w:r>
      <w:r w:rsidRPr="002675F2">
        <w:rPr>
          <w:rFonts w:ascii="Times New Roman" w:eastAsia="Times New Roman" w:hAnsi="Times New Roman" w:cs="Times New Roman"/>
          <w:sz w:val="24"/>
          <w:szCs w:val="24"/>
          <w:lang w:val="en-TT" w:eastAsia="fr-FR"/>
        </w:rPr>
        <w:t xml:space="preserve"> of the animal are isolated. They are then fused, in the presence of </w:t>
      </w:r>
      <w:r w:rsidRPr="002675F2">
        <w:rPr>
          <w:rFonts w:ascii="Times New Roman" w:eastAsia="Times New Roman" w:hAnsi="Times New Roman" w:cs="Times New Roman"/>
          <w:b/>
          <w:bCs/>
          <w:sz w:val="24"/>
          <w:szCs w:val="24"/>
          <w:lang w:val="en-TT" w:eastAsia="fr-FR"/>
        </w:rPr>
        <w:t>polyethylene glycol (PEG)</w:t>
      </w:r>
      <w:r w:rsidRPr="002675F2">
        <w:rPr>
          <w:rFonts w:ascii="Times New Roman" w:eastAsia="Times New Roman" w:hAnsi="Times New Roman" w:cs="Times New Roman"/>
          <w:sz w:val="24"/>
          <w:szCs w:val="24"/>
          <w:lang w:val="en-TT" w:eastAsia="fr-FR"/>
        </w:rPr>
        <w:t xml:space="preserve">, with </w:t>
      </w:r>
      <w:r w:rsidRPr="002675F2">
        <w:rPr>
          <w:rFonts w:ascii="Times New Roman" w:eastAsia="Times New Roman" w:hAnsi="Times New Roman" w:cs="Times New Roman"/>
          <w:b/>
          <w:bCs/>
          <w:sz w:val="24"/>
          <w:szCs w:val="24"/>
          <w:lang w:val="en-TT" w:eastAsia="fr-FR"/>
        </w:rPr>
        <w:t>myeloma cells</w:t>
      </w:r>
      <w:r w:rsidRPr="002675F2">
        <w:rPr>
          <w:rFonts w:ascii="Times New Roman" w:eastAsia="Times New Roman" w:hAnsi="Times New Roman" w:cs="Times New Roman"/>
          <w:sz w:val="24"/>
          <w:szCs w:val="24"/>
          <w:lang w:val="en-TT" w:eastAsia="fr-FR"/>
        </w:rPr>
        <w:t xml:space="preserve"> previously cultured and selected in vitro for their deficiency in </w:t>
      </w:r>
      <w:r w:rsidRPr="002675F2">
        <w:rPr>
          <w:rFonts w:ascii="Times New Roman" w:eastAsia="Times New Roman" w:hAnsi="Times New Roman" w:cs="Times New Roman"/>
          <w:b/>
          <w:bCs/>
          <w:sz w:val="24"/>
          <w:szCs w:val="24"/>
          <w:lang w:val="en-TT" w:eastAsia="fr-FR"/>
        </w:rPr>
        <w:t>hypoxanthine-guanine phosphoribosyltransferase (HGPRT−)</w:t>
      </w:r>
      <w:r w:rsidRPr="002675F2">
        <w:rPr>
          <w:rFonts w:ascii="Times New Roman" w:eastAsia="Times New Roman" w:hAnsi="Times New Roman" w:cs="Times New Roman"/>
          <w:sz w:val="24"/>
          <w:szCs w:val="24"/>
          <w:lang w:val="en-TT" w:eastAsia="fr-FR"/>
        </w:rPr>
        <w:t xml:space="preserve"> or, more rarely, </w:t>
      </w:r>
      <w:r w:rsidRPr="002675F2">
        <w:rPr>
          <w:rFonts w:ascii="Times New Roman" w:eastAsia="Times New Roman" w:hAnsi="Times New Roman" w:cs="Times New Roman"/>
          <w:b/>
          <w:bCs/>
          <w:sz w:val="24"/>
          <w:szCs w:val="24"/>
          <w:lang w:val="en-TT" w:eastAsia="fr-FR"/>
        </w:rPr>
        <w:t>thymidine kinase (TK)</w:t>
      </w:r>
      <w:r w:rsidRPr="002675F2">
        <w:rPr>
          <w:rFonts w:ascii="Times New Roman" w:eastAsia="Times New Roman" w:hAnsi="Times New Roman" w:cs="Times New Roman"/>
          <w:sz w:val="24"/>
          <w:szCs w:val="24"/>
          <w:lang w:val="en-TT" w:eastAsia="fr-FR"/>
        </w:rPr>
        <w:t>.</w:t>
      </w:r>
    </w:p>
    <w:p w:rsidR="002675F2" w:rsidRPr="002675F2" w:rsidRDefault="002675F2" w:rsidP="002675F2">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2675F2">
        <w:rPr>
          <w:rFonts w:ascii="Times New Roman" w:eastAsia="Times New Roman" w:hAnsi="Times New Roman" w:cs="Times New Roman"/>
          <w:b/>
          <w:bCs/>
          <w:sz w:val="27"/>
          <w:szCs w:val="27"/>
          <w:lang w:val="en-TT" w:eastAsia="fr-FR"/>
        </w:rPr>
        <w:t>c) Selection of Hybrid Cells (Formation of Hybridomas)</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The resulting cells, called </w:t>
      </w:r>
      <w:r w:rsidRPr="002675F2">
        <w:rPr>
          <w:rFonts w:ascii="Times New Roman" w:eastAsia="Times New Roman" w:hAnsi="Times New Roman" w:cs="Times New Roman"/>
          <w:b/>
          <w:bCs/>
          <w:sz w:val="24"/>
          <w:szCs w:val="24"/>
          <w:lang w:val="en-TT" w:eastAsia="fr-FR"/>
        </w:rPr>
        <w:t>hybridomas</w:t>
      </w:r>
      <w:r w:rsidRPr="002675F2">
        <w:rPr>
          <w:rFonts w:ascii="Times New Roman" w:eastAsia="Times New Roman" w:hAnsi="Times New Roman" w:cs="Times New Roman"/>
          <w:sz w:val="24"/>
          <w:szCs w:val="24"/>
          <w:lang w:val="en-TT" w:eastAsia="fr-FR"/>
        </w:rPr>
        <w:t>, express the characteristics of both parental cell lines. However, not all cells fuse, leading to a complex mixture containing:</w:t>
      </w:r>
    </w:p>
    <w:p w:rsidR="002675F2" w:rsidRPr="002675F2" w:rsidRDefault="002675F2" w:rsidP="002675F2">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2675F2">
        <w:rPr>
          <w:rFonts w:ascii="Times New Roman" w:eastAsia="Times New Roman" w:hAnsi="Times New Roman" w:cs="Times New Roman"/>
          <w:sz w:val="24"/>
          <w:szCs w:val="24"/>
          <w:lang w:eastAsia="fr-FR"/>
        </w:rPr>
        <w:t>unfused myeloma cells</w:t>
      </w:r>
    </w:p>
    <w:p w:rsidR="002675F2" w:rsidRPr="002675F2" w:rsidRDefault="002675F2" w:rsidP="002675F2">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2675F2">
        <w:rPr>
          <w:rFonts w:ascii="Times New Roman" w:eastAsia="Times New Roman" w:hAnsi="Times New Roman" w:cs="Times New Roman"/>
          <w:sz w:val="24"/>
          <w:szCs w:val="24"/>
          <w:lang w:eastAsia="fr-FR"/>
        </w:rPr>
        <w:t>unfused plasma cells</w:t>
      </w:r>
    </w:p>
    <w:p w:rsidR="002675F2" w:rsidRPr="002675F2" w:rsidRDefault="002675F2" w:rsidP="002675F2">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2675F2">
        <w:rPr>
          <w:rFonts w:ascii="Times New Roman" w:eastAsia="Times New Roman" w:hAnsi="Times New Roman" w:cs="Times New Roman"/>
          <w:sz w:val="24"/>
          <w:szCs w:val="24"/>
          <w:lang w:eastAsia="fr-FR"/>
        </w:rPr>
        <w:t>fused cells</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Among the fused cells, three combinations may occur:</w:t>
      </w:r>
    </w:p>
    <w:p w:rsidR="002675F2" w:rsidRPr="002675F2" w:rsidRDefault="002675F2" w:rsidP="002675F2">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2675F2">
        <w:rPr>
          <w:rFonts w:ascii="Times New Roman" w:eastAsia="Times New Roman" w:hAnsi="Times New Roman" w:cs="Times New Roman"/>
          <w:sz w:val="24"/>
          <w:szCs w:val="24"/>
          <w:lang w:eastAsia="fr-FR"/>
        </w:rPr>
        <w:t>fusion of two plasma cells</w:t>
      </w:r>
    </w:p>
    <w:p w:rsidR="002675F2" w:rsidRPr="002675F2" w:rsidRDefault="002675F2" w:rsidP="002675F2">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2675F2">
        <w:rPr>
          <w:rFonts w:ascii="Times New Roman" w:eastAsia="Times New Roman" w:hAnsi="Times New Roman" w:cs="Times New Roman"/>
          <w:sz w:val="24"/>
          <w:szCs w:val="24"/>
          <w:lang w:eastAsia="fr-FR"/>
        </w:rPr>
        <w:t>fusion of two myeloma cells</w:t>
      </w:r>
    </w:p>
    <w:p w:rsidR="002675F2" w:rsidRPr="002675F2" w:rsidRDefault="002675F2" w:rsidP="002675F2">
      <w:pPr>
        <w:numPr>
          <w:ilvl w:val="0"/>
          <w:numId w:val="3"/>
        </w:num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the desired </w:t>
      </w:r>
      <w:r w:rsidRPr="002675F2">
        <w:rPr>
          <w:rFonts w:ascii="Times New Roman" w:eastAsia="Times New Roman" w:hAnsi="Times New Roman" w:cs="Times New Roman"/>
          <w:b/>
          <w:bCs/>
          <w:sz w:val="24"/>
          <w:szCs w:val="24"/>
          <w:lang w:val="en-TT" w:eastAsia="fr-FR"/>
        </w:rPr>
        <w:t>plasma cell–myeloma fusion</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The mixture of all these cells is placed in a </w:t>
      </w:r>
      <w:r w:rsidRPr="002675F2">
        <w:rPr>
          <w:rFonts w:ascii="Times New Roman" w:eastAsia="Times New Roman" w:hAnsi="Times New Roman" w:cs="Times New Roman"/>
          <w:b/>
          <w:bCs/>
          <w:sz w:val="24"/>
          <w:szCs w:val="24"/>
          <w:lang w:val="en-TT" w:eastAsia="fr-FR"/>
        </w:rPr>
        <w:t>selective culture medium called HAT medium</w:t>
      </w:r>
      <w:r w:rsidRPr="002675F2">
        <w:rPr>
          <w:rFonts w:ascii="Times New Roman" w:eastAsia="Times New Roman" w:hAnsi="Times New Roman" w:cs="Times New Roman"/>
          <w:sz w:val="24"/>
          <w:szCs w:val="24"/>
          <w:lang w:val="en-TT" w:eastAsia="fr-FR"/>
        </w:rPr>
        <w:t xml:space="preserve"> (</w:t>
      </w:r>
      <w:r w:rsidRPr="002675F2">
        <w:rPr>
          <w:rFonts w:ascii="Times New Roman" w:eastAsia="Times New Roman" w:hAnsi="Times New Roman" w:cs="Times New Roman"/>
          <w:b/>
          <w:bCs/>
          <w:sz w:val="24"/>
          <w:szCs w:val="24"/>
          <w:lang w:val="en-TT" w:eastAsia="fr-FR"/>
        </w:rPr>
        <w:t>Hypoxanthine, Aminopterin, and Thymidine</w:t>
      </w:r>
      <w:r w:rsidRPr="002675F2">
        <w:rPr>
          <w:rFonts w:ascii="Times New Roman" w:eastAsia="Times New Roman" w:hAnsi="Times New Roman" w:cs="Times New Roman"/>
          <w:sz w:val="24"/>
          <w:szCs w:val="24"/>
          <w:lang w:val="en-TT" w:eastAsia="fr-FR"/>
        </w:rPr>
        <w:t>).</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The principle of this selection is based on:</w:t>
      </w:r>
    </w:p>
    <w:p w:rsidR="002675F2" w:rsidRPr="002675F2" w:rsidRDefault="002675F2" w:rsidP="002675F2">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r w:rsidRPr="002675F2">
        <w:rPr>
          <w:rFonts w:ascii="Times New Roman" w:eastAsia="Times New Roman" w:hAnsi="Times New Roman" w:cs="Times New Roman"/>
          <w:sz w:val="24"/>
          <w:szCs w:val="24"/>
          <w:lang w:eastAsia="fr-FR"/>
        </w:rPr>
        <w:t xml:space="preserve">the </w:t>
      </w:r>
      <w:r w:rsidRPr="002675F2">
        <w:rPr>
          <w:rFonts w:ascii="Times New Roman" w:eastAsia="Times New Roman" w:hAnsi="Times New Roman" w:cs="Times New Roman"/>
          <w:b/>
          <w:bCs/>
          <w:sz w:val="24"/>
          <w:szCs w:val="24"/>
          <w:lang w:eastAsia="fr-FR"/>
        </w:rPr>
        <w:t>HGPRT mutation</w:t>
      </w:r>
      <w:r w:rsidRPr="002675F2">
        <w:rPr>
          <w:rFonts w:ascii="Times New Roman" w:eastAsia="Times New Roman" w:hAnsi="Times New Roman" w:cs="Times New Roman"/>
          <w:sz w:val="24"/>
          <w:szCs w:val="24"/>
          <w:lang w:eastAsia="fr-FR"/>
        </w:rPr>
        <w:t>, and</w:t>
      </w:r>
    </w:p>
    <w:p w:rsidR="002675F2" w:rsidRPr="002675F2" w:rsidRDefault="002675F2" w:rsidP="002675F2">
      <w:pPr>
        <w:numPr>
          <w:ilvl w:val="0"/>
          <w:numId w:val="4"/>
        </w:num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the ability of </w:t>
      </w:r>
      <w:r w:rsidRPr="002675F2">
        <w:rPr>
          <w:rFonts w:ascii="Times New Roman" w:eastAsia="Times New Roman" w:hAnsi="Times New Roman" w:cs="Times New Roman"/>
          <w:b/>
          <w:bCs/>
          <w:sz w:val="24"/>
          <w:szCs w:val="24"/>
          <w:lang w:val="en-TT" w:eastAsia="fr-FR"/>
        </w:rPr>
        <w:t>aminopterin to block endogenous synthesis of purine and pyrimidine bases</w:t>
      </w:r>
      <w:r w:rsidRPr="002675F2">
        <w:rPr>
          <w:rFonts w:ascii="Times New Roman" w:eastAsia="Times New Roman" w:hAnsi="Times New Roman" w:cs="Times New Roman"/>
          <w:sz w:val="24"/>
          <w:szCs w:val="24"/>
          <w:lang w:val="en-TT" w:eastAsia="fr-FR"/>
        </w:rPr>
        <w:t>.</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Myeloma cells lacking the enzyme </w:t>
      </w:r>
      <w:r w:rsidRPr="002675F2">
        <w:rPr>
          <w:rFonts w:ascii="Times New Roman" w:eastAsia="Times New Roman" w:hAnsi="Times New Roman" w:cs="Times New Roman"/>
          <w:b/>
          <w:bCs/>
          <w:sz w:val="24"/>
          <w:szCs w:val="24"/>
          <w:lang w:val="en-TT" w:eastAsia="fr-FR"/>
        </w:rPr>
        <w:t>HGPRT</w:t>
      </w:r>
      <w:r w:rsidRPr="002675F2">
        <w:rPr>
          <w:rFonts w:ascii="Times New Roman" w:eastAsia="Times New Roman" w:hAnsi="Times New Roman" w:cs="Times New Roman"/>
          <w:sz w:val="24"/>
          <w:szCs w:val="24"/>
          <w:lang w:val="en-TT" w:eastAsia="fr-FR"/>
        </w:rPr>
        <w:t xml:space="preserve"> cannot use exogenous hypoxanthine to synthesize purines and therefore </w:t>
      </w:r>
      <w:r w:rsidRPr="002675F2">
        <w:rPr>
          <w:rFonts w:ascii="Times New Roman" w:eastAsia="Times New Roman" w:hAnsi="Times New Roman" w:cs="Times New Roman"/>
          <w:b/>
          <w:bCs/>
          <w:sz w:val="24"/>
          <w:szCs w:val="24"/>
          <w:lang w:val="en-TT" w:eastAsia="fr-FR"/>
        </w:rPr>
        <w:t>die</w:t>
      </w:r>
      <w:r w:rsidRPr="002675F2">
        <w:rPr>
          <w:rFonts w:ascii="Times New Roman" w:eastAsia="Times New Roman" w:hAnsi="Times New Roman" w:cs="Times New Roman"/>
          <w:sz w:val="24"/>
          <w:szCs w:val="24"/>
          <w:lang w:val="en-TT" w:eastAsia="fr-FR"/>
        </w:rPr>
        <w:t xml:space="preserve">. In contrast, hybridomas receive the functional enzyme from the </w:t>
      </w:r>
      <w:r w:rsidRPr="002675F2">
        <w:rPr>
          <w:rFonts w:ascii="Times New Roman" w:eastAsia="Times New Roman" w:hAnsi="Times New Roman" w:cs="Times New Roman"/>
          <w:b/>
          <w:bCs/>
          <w:sz w:val="24"/>
          <w:szCs w:val="24"/>
          <w:lang w:val="en-TT" w:eastAsia="fr-FR"/>
        </w:rPr>
        <w:t>sensitized B lymphocytes</w:t>
      </w:r>
      <w:r w:rsidRPr="002675F2">
        <w:rPr>
          <w:rFonts w:ascii="Times New Roman" w:eastAsia="Times New Roman" w:hAnsi="Times New Roman" w:cs="Times New Roman"/>
          <w:sz w:val="24"/>
          <w:szCs w:val="24"/>
          <w:lang w:val="en-TT" w:eastAsia="fr-FR"/>
        </w:rPr>
        <w:t xml:space="preserve">, allowing them to use </w:t>
      </w:r>
      <w:r w:rsidRPr="002675F2">
        <w:rPr>
          <w:rFonts w:ascii="Times New Roman" w:eastAsia="Times New Roman" w:hAnsi="Times New Roman" w:cs="Times New Roman"/>
          <w:b/>
          <w:bCs/>
          <w:sz w:val="24"/>
          <w:szCs w:val="24"/>
          <w:lang w:val="en-TT" w:eastAsia="fr-FR"/>
        </w:rPr>
        <w:t>hypoxanthine and thymidine through the salvage pathway</w:t>
      </w:r>
      <w:r w:rsidRPr="002675F2">
        <w:rPr>
          <w:rFonts w:ascii="Times New Roman" w:eastAsia="Times New Roman" w:hAnsi="Times New Roman" w:cs="Times New Roman"/>
          <w:sz w:val="24"/>
          <w:szCs w:val="24"/>
          <w:lang w:val="en-TT" w:eastAsia="fr-FR"/>
        </w:rPr>
        <w:t xml:space="preserve"> to synthesize DNA and RNA necessary for cell proliferation.</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Unfused </w:t>
      </w:r>
      <w:r w:rsidRPr="002675F2">
        <w:rPr>
          <w:rFonts w:ascii="Times New Roman" w:eastAsia="Times New Roman" w:hAnsi="Times New Roman" w:cs="Times New Roman"/>
          <w:b/>
          <w:bCs/>
          <w:sz w:val="24"/>
          <w:szCs w:val="24"/>
          <w:lang w:val="en-TT" w:eastAsia="fr-FR"/>
        </w:rPr>
        <w:t>B lymphocytes</w:t>
      </w:r>
      <w:r w:rsidRPr="002675F2">
        <w:rPr>
          <w:rFonts w:ascii="Times New Roman" w:eastAsia="Times New Roman" w:hAnsi="Times New Roman" w:cs="Times New Roman"/>
          <w:sz w:val="24"/>
          <w:szCs w:val="24"/>
          <w:lang w:val="en-TT" w:eastAsia="fr-FR"/>
        </w:rPr>
        <w:t>, which have a relatively short lifespan, also die rapidly.</w:t>
      </w:r>
    </w:p>
    <w:p w:rsidR="002675F2" w:rsidRPr="002675F2" w:rsidRDefault="002675F2" w:rsidP="002675F2">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Pr>
          <w:rFonts w:ascii="Times New Roman" w:eastAsia="Times New Roman" w:hAnsi="Times New Roman" w:cs="Times New Roman"/>
          <w:b/>
          <w:bCs/>
          <w:sz w:val="27"/>
          <w:szCs w:val="27"/>
          <w:lang w:val="en-TT" w:eastAsia="fr-FR"/>
        </w:rPr>
        <w:t>d) Screening and</w:t>
      </w:r>
      <w:r w:rsidRPr="002675F2">
        <w:rPr>
          <w:rFonts w:ascii="Times New Roman" w:eastAsia="Times New Roman" w:hAnsi="Times New Roman" w:cs="Times New Roman"/>
          <w:b/>
          <w:bCs/>
          <w:sz w:val="27"/>
          <w:szCs w:val="27"/>
          <w:lang w:val="en-TT" w:eastAsia="fr-FR"/>
        </w:rPr>
        <w:t>Cloning of Antibody-Producing Cells</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Among the fused cells, only a few secrete antibodies. These </w:t>
      </w:r>
      <w:r w:rsidRPr="002675F2">
        <w:rPr>
          <w:rFonts w:ascii="Times New Roman" w:eastAsia="Times New Roman" w:hAnsi="Times New Roman" w:cs="Times New Roman"/>
          <w:b/>
          <w:bCs/>
          <w:sz w:val="24"/>
          <w:szCs w:val="24"/>
          <w:lang w:val="en-TT" w:eastAsia="fr-FR"/>
        </w:rPr>
        <w:t>hybridomas must be isolated and multiplied by cloning</w:t>
      </w:r>
      <w:r w:rsidRPr="002675F2">
        <w:rPr>
          <w:rFonts w:ascii="Times New Roman" w:eastAsia="Times New Roman" w:hAnsi="Times New Roman" w:cs="Times New Roman"/>
          <w:sz w:val="24"/>
          <w:szCs w:val="24"/>
          <w:lang w:val="en-TT" w:eastAsia="fr-FR"/>
        </w:rPr>
        <w:t>.</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After testing each clone to determine the antibodies produced, </w:t>
      </w:r>
      <w:r w:rsidRPr="002675F2">
        <w:rPr>
          <w:rFonts w:ascii="Times New Roman" w:eastAsia="Times New Roman" w:hAnsi="Times New Roman" w:cs="Times New Roman"/>
          <w:b/>
          <w:bCs/>
          <w:sz w:val="24"/>
          <w:szCs w:val="24"/>
          <w:lang w:val="en-TT" w:eastAsia="fr-FR"/>
        </w:rPr>
        <w:t>positive cultures are selected and subjected to additional cloning</w:t>
      </w:r>
      <w:r w:rsidRPr="002675F2">
        <w:rPr>
          <w:rFonts w:ascii="Times New Roman" w:eastAsia="Times New Roman" w:hAnsi="Times New Roman" w:cs="Times New Roman"/>
          <w:sz w:val="24"/>
          <w:szCs w:val="24"/>
          <w:lang w:val="en-TT" w:eastAsia="fr-FR"/>
        </w:rPr>
        <w:t xml:space="preserve">. The final result is a hybridoma producing </w:t>
      </w:r>
      <w:r w:rsidRPr="002675F2">
        <w:rPr>
          <w:rFonts w:ascii="Times New Roman" w:eastAsia="Times New Roman" w:hAnsi="Times New Roman" w:cs="Times New Roman"/>
          <w:b/>
          <w:bCs/>
          <w:sz w:val="24"/>
          <w:szCs w:val="24"/>
          <w:lang w:val="en-TT" w:eastAsia="fr-FR"/>
        </w:rPr>
        <w:t>a single type of monoclonal antibody</w:t>
      </w:r>
      <w:r w:rsidRPr="002675F2">
        <w:rPr>
          <w:rFonts w:ascii="Times New Roman" w:eastAsia="Times New Roman" w:hAnsi="Times New Roman" w:cs="Times New Roman"/>
          <w:sz w:val="24"/>
          <w:szCs w:val="24"/>
          <w:lang w:val="en-TT" w:eastAsia="fr-FR"/>
        </w:rPr>
        <w:t>.</w:t>
      </w:r>
    </w:p>
    <w:p w:rsidR="002675F2" w:rsidRPr="002675F2" w:rsidRDefault="002675F2" w:rsidP="002675F2">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Pr>
          <w:rFonts w:ascii="Times New Roman" w:eastAsia="Times New Roman" w:hAnsi="Times New Roman" w:cs="Times New Roman"/>
          <w:b/>
          <w:bCs/>
          <w:sz w:val="27"/>
          <w:szCs w:val="27"/>
          <w:lang w:val="en-TT" w:eastAsia="fr-FR"/>
        </w:rPr>
        <w:t>e) Large-Scal</w:t>
      </w:r>
      <w:r w:rsidRPr="002675F2">
        <w:rPr>
          <w:rFonts w:ascii="Times New Roman" w:eastAsia="Times New Roman" w:hAnsi="Times New Roman" w:cs="Times New Roman"/>
          <w:b/>
          <w:bCs/>
          <w:sz w:val="27"/>
          <w:szCs w:val="27"/>
          <w:lang w:val="en-TT" w:eastAsia="fr-FR"/>
        </w:rPr>
        <w:t xml:space="preserve"> Production of Monoclonal Antibodies</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The production of monoclonal antibodies is then performed either:</w:t>
      </w:r>
    </w:p>
    <w:p w:rsidR="002675F2" w:rsidRPr="002675F2" w:rsidRDefault="002675F2" w:rsidP="002675F2">
      <w:pPr>
        <w:numPr>
          <w:ilvl w:val="0"/>
          <w:numId w:val="5"/>
        </w:num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b/>
          <w:bCs/>
          <w:sz w:val="24"/>
          <w:szCs w:val="24"/>
          <w:lang w:val="en-TT" w:eastAsia="fr-FR"/>
        </w:rPr>
        <w:t>in vitro</w:t>
      </w:r>
      <w:r w:rsidRPr="002675F2">
        <w:rPr>
          <w:rFonts w:ascii="Times New Roman" w:eastAsia="Times New Roman" w:hAnsi="Times New Roman" w:cs="Times New Roman"/>
          <w:sz w:val="24"/>
          <w:szCs w:val="24"/>
          <w:lang w:val="en-TT" w:eastAsia="fr-FR"/>
        </w:rPr>
        <w:t xml:space="preserve">, using a </w:t>
      </w:r>
      <w:r w:rsidRPr="002675F2">
        <w:rPr>
          <w:rFonts w:ascii="Times New Roman" w:eastAsia="Times New Roman" w:hAnsi="Times New Roman" w:cs="Times New Roman"/>
          <w:b/>
          <w:bCs/>
          <w:sz w:val="24"/>
          <w:szCs w:val="24"/>
          <w:lang w:val="en-TT" w:eastAsia="fr-FR"/>
        </w:rPr>
        <w:t>bioreactor</w:t>
      </w:r>
      <w:r w:rsidRPr="002675F2">
        <w:rPr>
          <w:rFonts w:ascii="Times New Roman" w:eastAsia="Times New Roman" w:hAnsi="Times New Roman" w:cs="Times New Roman"/>
          <w:sz w:val="24"/>
          <w:szCs w:val="24"/>
          <w:lang w:val="en-TT" w:eastAsia="fr-FR"/>
        </w:rPr>
        <w:t>, or</w:t>
      </w:r>
    </w:p>
    <w:p w:rsidR="002675F2" w:rsidRPr="002675F2" w:rsidRDefault="002675F2" w:rsidP="002675F2">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2675F2">
        <w:rPr>
          <w:rFonts w:ascii="Times New Roman" w:eastAsia="Times New Roman" w:hAnsi="Times New Roman" w:cs="Times New Roman"/>
          <w:b/>
          <w:bCs/>
          <w:sz w:val="24"/>
          <w:szCs w:val="24"/>
          <w:lang w:eastAsia="fr-FR"/>
        </w:rPr>
        <w:t>in vivo</w:t>
      </w:r>
      <w:r w:rsidRPr="002675F2">
        <w:rPr>
          <w:rFonts w:ascii="Times New Roman" w:eastAsia="Times New Roman" w:hAnsi="Times New Roman" w:cs="Times New Roman"/>
          <w:sz w:val="24"/>
          <w:szCs w:val="24"/>
          <w:lang w:eastAsia="fr-FR"/>
        </w:rPr>
        <w:t>, in mice.</w:t>
      </w:r>
    </w:p>
    <w:p w:rsidR="002675F2" w:rsidRP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The antibodies can then be </w:t>
      </w:r>
      <w:r w:rsidRPr="002675F2">
        <w:rPr>
          <w:rFonts w:ascii="Times New Roman" w:eastAsia="Times New Roman" w:hAnsi="Times New Roman" w:cs="Times New Roman"/>
          <w:b/>
          <w:bCs/>
          <w:sz w:val="24"/>
          <w:szCs w:val="24"/>
          <w:lang w:val="en-TT" w:eastAsia="fr-FR"/>
        </w:rPr>
        <w:t>purified by chromatography from ascitic fluid</w:t>
      </w:r>
      <w:r w:rsidRPr="002675F2">
        <w:rPr>
          <w:rFonts w:ascii="Times New Roman" w:eastAsia="Times New Roman" w:hAnsi="Times New Roman" w:cs="Times New Roman"/>
          <w:sz w:val="24"/>
          <w:szCs w:val="24"/>
          <w:lang w:val="en-TT" w:eastAsia="fr-FR"/>
        </w:rPr>
        <w:t>.</w:t>
      </w:r>
    </w:p>
    <w:p w:rsidR="002675F2" w:rsidRDefault="002675F2"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sidRPr="002675F2">
        <w:rPr>
          <w:rFonts w:ascii="Times New Roman" w:eastAsia="Times New Roman" w:hAnsi="Times New Roman" w:cs="Times New Roman"/>
          <w:sz w:val="24"/>
          <w:szCs w:val="24"/>
          <w:lang w:val="en-TT" w:eastAsia="fr-FR"/>
        </w:rPr>
        <w:t xml:space="preserve">To meet the increasing demand for monoclonal antibodies, </w:t>
      </w:r>
      <w:r w:rsidRPr="002675F2">
        <w:rPr>
          <w:rFonts w:ascii="Times New Roman" w:eastAsia="Times New Roman" w:hAnsi="Times New Roman" w:cs="Times New Roman"/>
          <w:b/>
          <w:bCs/>
          <w:sz w:val="24"/>
          <w:szCs w:val="24"/>
          <w:lang w:val="en-TT" w:eastAsia="fr-FR"/>
        </w:rPr>
        <w:t>in vitro techniques allowing the growth of hybridoma cells at very high densities</w:t>
      </w:r>
      <w:r w:rsidRPr="002675F2">
        <w:rPr>
          <w:rFonts w:ascii="Times New Roman" w:eastAsia="Times New Roman" w:hAnsi="Times New Roman" w:cs="Times New Roman"/>
          <w:sz w:val="24"/>
          <w:szCs w:val="24"/>
          <w:lang w:val="en-TT" w:eastAsia="fr-FR"/>
        </w:rPr>
        <w:t xml:space="preserve"> have been developed.</w:t>
      </w:r>
    </w:p>
    <w:p w:rsidR="00C1237B" w:rsidRDefault="00F96AD3" w:rsidP="002675F2">
      <w:pPr>
        <w:spacing w:before="100" w:beforeAutospacing="1" w:after="100" w:afterAutospacing="1" w:line="240" w:lineRule="auto"/>
        <w:rPr>
          <w:rFonts w:ascii="Times New Roman" w:eastAsia="Times New Roman" w:hAnsi="Times New Roman" w:cs="Times New Roman"/>
          <w:sz w:val="24"/>
          <w:szCs w:val="24"/>
          <w:rtl/>
          <w:lang w:val="en-TT" w:eastAsia="fr-FR"/>
        </w:rPr>
      </w:pPr>
      <w:r>
        <w:rPr>
          <w:rFonts w:ascii="Times New Roman" w:eastAsia="Times New Roman" w:hAnsi="Times New Roman" w:cs="Times New Roman"/>
          <w:noProof/>
          <w:sz w:val="24"/>
          <w:szCs w:val="24"/>
          <w:lang w:eastAsia="fr-FR"/>
        </w:rPr>
        <w:drawing>
          <wp:inline distT="0" distB="0" distL="0" distR="0" wp14:anchorId="3CF15CE1" wp14:editId="1284F63D">
            <wp:extent cx="4537975" cy="511335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8870" cy="5114360"/>
                    </a:xfrm>
                    <a:prstGeom prst="rect">
                      <a:avLst/>
                    </a:prstGeom>
                    <a:noFill/>
                    <a:ln>
                      <a:noFill/>
                    </a:ln>
                  </pic:spPr>
                </pic:pic>
              </a:graphicData>
            </a:graphic>
          </wp:inline>
        </w:drawing>
      </w:r>
    </w:p>
    <w:p w:rsidR="00F96AD3" w:rsidRPr="002675F2" w:rsidRDefault="00F96AD3" w:rsidP="002675F2">
      <w:pPr>
        <w:spacing w:before="100" w:beforeAutospacing="1" w:after="100" w:afterAutospacing="1" w:line="240" w:lineRule="auto"/>
        <w:rPr>
          <w:rFonts w:ascii="Times New Roman" w:eastAsia="Times New Roman" w:hAnsi="Times New Roman" w:cs="Times New Roman"/>
          <w:sz w:val="24"/>
          <w:szCs w:val="24"/>
          <w:lang w:val="en-TT" w:eastAsia="fr-FR"/>
        </w:rPr>
      </w:pPr>
      <w:r>
        <w:rPr>
          <w:noProof/>
          <w:lang w:eastAsia="fr-FR"/>
        </w:rPr>
        <w:drawing>
          <wp:inline distT="0" distB="0" distL="0" distR="0" wp14:anchorId="7205CF72" wp14:editId="2BE4345A">
            <wp:extent cx="2381250" cy="4305935"/>
            <wp:effectExtent l="0" t="0" r="0" b="0"/>
            <wp:docPr id="11" name="Image 11" descr="https://upload.wikimedia.org/wikipedia/commons/thumb/3/3f/Hybridoma_technology.png/250px-Hybridoma_techn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f/Hybridoma_technology.png/250px-Hybridoma_technolog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4305935"/>
                    </a:xfrm>
                    <a:prstGeom prst="rect">
                      <a:avLst/>
                    </a:prstGeom>
                    <a:noFill/>
                    <a:ln>
                      <a:noFill/>
                    </a:ln>
                  </pic:spPr>
                </pic:pic>
              </a:graphicData>
            </a:graphic>
          </wp:inline>
        </w:drawing>
      </w:r>
    </w:p>
    <w:p w:rsidR="00FE7E6E" w:rsidRPr="00FE7E6E" w:rsidRDefault="00D62660" w:rsidP="00FE7E6E">
      <w:pPr>
        <w:pStyle w:val="NormalWeb"/>
        <w:rPr>
          <w:lang w:val="en-TT"/>
        </w:rPr>
      </w:pPr>
      <w:r w:rsidRPr="00D62660">
        <w:rPr>
          <w:b/>
          <w:bCs/>
          <w:lang w:val="en-TT"/>
        </w:rPr>
        <w:t>8- Recombinant Monoclonal Antibodies</w:t>
      </w:r>
      <w:r w:rsidRPr="00D62660">
        <w:rPr>
          <w:lang w:val="en-TT"/>
        </w:rPr>
        <w:br/>
      </w:r>
      <w:r w:rsidR="00FE7E6E" w:rsidRPr="00FE7E6E">
        <w:rPr>
          <w:lang w:val="en-TT"/>
        </w:rPr>
        <w:t>The first monoclonal antibodies produced by murine hybridomas (</w:t>
      </w:r>
      <w:r w:rsidR="00FE7E6E" w:rsidRPr="00FE7E6E">
        <w:rPr>
          <w:b/>
          <w:bCs/>
          <w:lang w:val="en-TT"/>
        </w:rPr>
        <w:t>first generation</w:t>
      </w:r>
      <w:r w:rsidR="00FE7E6E" w:rsidRPr="00FE7E6E">
        <w:rPr>
          <w:lang w:val="en-TT"/>
        </w:rPr>
        <w:t>) proved to be remarkable tools for research, yet disappointing for therapeutic immuno-intervention due to a short half-life and high immunogenicity.</w:t>
      </w:r>
    </w:p>
    <w:p w:rsidR="00FE7E6E" w:rsidRPr="00FE7E6E" w:rsidRDefault="00FE7E6E" w:rsidP="00FE7E6E">
      <w:pPr>
        <w:spacing w:before="100" w:beforeAutospacing="1" w:after="100" w:afterAutospacing="1" w:line="240" w:lineRule="auto"/>
        <w:rPr>
          <w:rFonts w:ascii="Times New Roman" w:eastAsia="Times New Roman" w:hAnsi="Times New Roman" w:cs="Times New Roman"/>
          <w:sz w:val="24"/>
          <w:szCs w:val="24"/>
          <w:lang w:val="en-TT" w:eastAsia="fr-FR"/>
        </w:rPr>
      </w:pPr>
      <w:r w:rsidRPr="00FE7E6E">
        <w:rPr>
          <w:rFonts w:ascii="Times New Roman" w:eastAsia="Times New Roman" w:hAnsi="Times New Roman" w:cs="Times New Roman"/>
          <w:sz w:val="24"/>
          <w:szCs w:val="24"/>
          <w:lang w:val="en-TT" w:eastAsia="fr-FR"/>
        </w:rPr>
        <w:t xml:space="preserve">The use of monoclonal antibodies (mAbs) in human therapy requires a reduction in their immunogenicity. Consequently, </w:t>
      </w:r>
      <w:r w:rsidRPr="00FE7E6E">
        <w:rPr>
          <w:rFonts w:ascii="Times New Roman" w:eastAsia="Times New Roman" w:hAnsi="Times New Roman" w:cs="Times New Roman"/>
          <w:b/>
          <w:bCs/>
          <w:sz w:val="24"/>
          <w:szCs w:val="24"/>
          <w:lang w:val="en-TT" w:eastAsia="fr-FR"/>
        </w:rPr>
        <w:t>humanization techniques</w:t>
      </w:r>
      <w:r w:rsidRPr="00FE7E6E">
        <w:rPr>
          <w:rFonts w:ascii="Times New Roman" w:eastAsia="Times New Roman" w:hAnsi="Times New Roman" w:cs="Times New Roman"/>
          <w:sz w:val="24"/>
          <w:szCs w:val="24"/>
          <w:lang w:val="en-TT" w:eastAsia="fr-FR"/>
        </w:rPr>
        <w:t xml:space="preserve"> were developed to obtain antibodies capable of recognizing a specific antigen in humans without triggering immunogenic reactions caused by the presence of murine structures.</w:t>
      </w:r>
    </w:p>
    <w:p w:rsidR="00FE7E6E" w:rsidRPr="00FE7E6E" w:rsidRDefault="00FE7E6E" w:rsidP="00FE7E6E">
      <w:pPr>
        <w:spacing w:before="100" w:beforeAutospacing="1" w:after="100" w:afterAutospacing="1" w:line="240" w:lineRule="auto"/>
        <w:rPr>
          <w:rFonts w:ascii="Times New Roman" w:eastAsia="Times New Roman" w:hAnsi="Times New Roman" w:cs="Times New Roman"/>
          <w:sz w:val="24"/>
          <w:szCs w:val="24"/>
          <w:lang w:eastAsia="fr-FR"/>
        </w:rPr>
      </w:pPr>
      <w:r w:rsidRPr="00FE7E6E">
        <w:rPr>
          <w:rFonts w:ascii="Times New Roman" w:eastAsia="Times New Roman" w:hAnsi="Times New Roman" w:cs="Times New Roman"/>
          <w:sz w:val="24"/>
          <w:szCs w:val="24"/>
          <w:lang w:val="en-TT" w:eastAsia="fr-FR"/>
        </w:rPr>
        <w:t xml:space="preserve">Thanks to advancements in technology and genetic engineering, </w:t>
      </w:r>
      <w:r w:rsidRPr="00FE7E6E">
        <w:rPr>
          <w:rFonts w:ascii="Times New Roman" w:eastAsia="Times New Roman" w:hAnsi="Times New Roman" w:cs="Times New Roman"/>
          <w:b/>
          <w:bCs/>
          <w:sz w:val="24"/>
          <w:szCs w:val="24"/>
          <w:lang w:val="en-TT" w:eastAsia="fr-FR"/>
        </w:rPr>
        <w:t>recombinant mAbs</w:t>
      </w:r>
      <w:r w:rsidRPr="00FE7E6E">
        <w:rPr>
          <w:rFonts w:ascii="Times New Roman" w:eastAsia="Times New Roman" w:hAnsi="Times New Roman" w:cs="Times New Roman"/>
          <w:sz w:val="24"/>
          <w:szCs w:val="24"/>
          <w:lang w:val="en-TT" w:eastAsia="fr-FR"/>
        </w:rPr>
        <w:t xml:space="preserve"> were born. </w:t>
      </w:r>
      <w:r w:rsidRPr="00FE7E6E">
        <w:rPr>
          <w:rFonts w:ascii="Times New Roman" w:eastAsia="Times New Roman" w:hAnsi="Times New Roman" w:cs="Times New Roman"/>
          <w:sz w:val="24"/>
          <w:szCs w:val="24"/>
          <w:lang w:eastAsia="fr-FR"/>
        </w:rPr>
        <w:t>Their evolution progressed as follows:</w:t>
      </w:r>
    </w:p>
    <w:p w:rsidR="00FE7E6E" w:rsidRPr="00FE7E6E" w:rsidRDefault="00FE7E6E" w:rsidP="00FE7E6E">
      <w:pPr>
        <w:numPr>
          <w:ilvl w:val="0"/>
          <w:numId w:val="6"/>
        </w:numPr>
        <w:spacing w:before="100" w:beforeAutospacing="1" w:after="100" w:afterAutospacing="1" w:line="240" w:lineRule="auto"/>
        <w:rPr>
          <w:rFonts w:ascii="Times New Roman" w:eastAsia="Times New Roman" w:hAnsi="Times New Roman" w:cs="Times New Roman"/>
          <w:sz w:val="24"/>
          <w:szCs w:val="24"/>
          <w:lang w:val="en-TT" w:eastAsia="fr-FR"/>
        </w:rPr>
      </w:pPr>
      <w:r w:rsidRPr="00FE7E6E">
        <w:rPr>
          <w:rFonts w:ascii="Times New Roman" w:eastAsia="Times New Roman" w:hAnsi="Times New Roman" w:cs="Times New Roman"/>
          <w:b/>
          <w:bCs/>
          <w:sz w:val="24"/>
          <w:szCs w:val="24"/>
          <w:lang w:val="en-TT" w:eastAsia="fr-FR"/>
        </w:rPr>
        <w:t>1984: Chimeric mAbs</w:t>
      </w:r>
      <w:r w:rsidRPr="00FE7E6E">
        <w:rPr>
          <w:rFonts w:ascii="Times New Roman" w:eastAsia="Times New Roman" w:hAnsi="Times New Roman" w:cs="Times New Roman"/>
          <w:sz w:val="24"/>
          <w:szCs w:val="24"/>
          <w:lang w:val="en-TT" w:eastAsia="fr-FR"/>
        </w:rPr>
        <w:t>, consisting of human constant domains associated with murine variable domains.</w:t>
      </w:r>
    </w:p>
    <w:p w:rsidR="00FE7E6E" w:rsidRPr="00FE7E6E" w:rsidRDefault="00FE7E6E" w:rsidP="00FE7E6E">
      <w:pPr>
        <w:numPr>
          <w:ilvl w:val="0"/>
          <w:numId w:val="6"/>
        </w:numPr>
        <w:spacing w:before="100" w:beforeAutospacing="1" w:after="100" w:afterAutospacing="1" w:line="240" w:lineRule="auto"/>
        <w:rPr>
          <w:rFonts w:ascii="Times New Roman" w:eastAsia="Times New Roman" w:hAnsi="Times New Roman" w:cs="Times New Roman"/>
          <w:sz w:val="24"/>
          <w:szCs w:val="24"/>
          <w:lang w:val="en-TT" w:eastAsia="fr-FR"/>
        </w:rPr>
      </w:pPr>
      <w:r w:rsidRPr="00FE7E6E">
        <w:rPr>
          <w:rFonts w:ascii="Times New Roman" w:eastAsia="Times New Roman" w:hAnsi="Times New Roman" w:cs="Times New Roman"/>
          <w:b/>
          <w:bCs/>
          <w:sz w:val="24"/>
          <w:szCs w:val="24"/>
          <w:lang w:val="en-TT" w:eastAsia="fr-FR"/>
        </w:rPr>
        <w:t>1989: Humanized mAbs</w:t>
      </w:r>
      <w:r w:rsidRPr="00FE7E6E">
        <w:rPr>
          <w:rFonts w:ascii="Times New Roman" w:eastAsia="Times New Roman" w:hAnsi="Times New Roman" w:cs="Times New Roman"/>
          <w:sz w:val="24"/>
          <w:szCs w:val="24"/>
          <w:lang w:val="en-TT" w:eastAsia="fr-FR"/>
        </w:rPr>
        <w:t xml:space="preserve">, where only the antigen-recognizing part (the </w:t>
      </w:r>
      <w:r w:rsidRPr="00FE7E6E">
        <w:rPr>
          <w:rFonts w:ascii="Times New Roman" w:eastAsia="Times New Roman" w:hAnsi="Times New Roman" w:cs="Times New Roman"/>
          <w:b/>
          <w:bCs/>
          <w:sz w:val="24"/>
          <w:szCs w:val="24"/>
          <w:lang w:val="en-TT" w:eastAsia="fr-FR"/>
        </w:rPr>
        <w:t>CDR</w:t>
      </w:r>
      <w:r w:rsidRPr="00FE7E6E">
        <w:rPr>
          <w:rFonts w:ascii="Times New Roman" w:eastAsia="Times New Roman" w:hAnsi="Times New Roman" w:cs="Times New Roman"/>
          <w:sz w:val="24"/>
          <w:szCs w:val="24"/>
          <w:lang w:val="en-TT" w:eastAsia="fr-FR"/>
        </w:rPr>
        <w:t>) is murine.</w:t>
      </w:r>
    </w:p>
    <w:p w:rsidR="00FE7E6E" w:rsidRDefault="00FE7E6E" w:rsidP="00FE7E6E">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FE7E6E">
        <w:rPr>
          <w:rFonts w:ascii="Times New Roman" w:eastAsia="Times New Roman" w:hAnsi="Times New Roman" w:cs="Times New Roman"/>
          <w:b/>
          <w:bCs/>
          <w:sz w:val="24"/>
          <w:szCs w:val="24"/>
          <w:lang w:eastAsia="fr-FR"/>
        </w:rPr>
        <w:t>1994: Fully human mAbs</w:t>
      </w:r>
      <w:r w:rsidRPr="00FE7E6E">
        <w:rPr>
          <w:rFonts w:ascii="Times New Roman" w:eastAsia="Times New Roman" w:hAnsi="Times New Roman" w:cs="Times New Roman"/>
          <w:sz w:val="24"/>
          <w:szCs w:val="24"/>
          <w:lang w:eastAsia="fr-FR"/>
        </w:rPr>
        <w:t>.</w:t>
      </w:r>
    </w:p>
    <w:p w:rsidR="00F96AD3" w:rsidRPr="00FE7E6E" w:rsidRDefault="00F96AD3" w:rsidP="00F96AD3">
      <w:pPr>
        <w:spacing w:before="100" w:beforeAutospacing="1" w:after="100" w:afterAutospacing="1" w:line="240" w:lineRule="auto"/>
        <w:ind w:left="720"/>
        <w:rPr>
          <w:rFonts w:ascii="Times New Roman" w:eastAsia="Times New Roman" w:hAnsi="Times New Roman" w:cs="Times New Roman"/>
          <w:sz w:val="24"/>
          <w:szCs w:val="24"/>
          <w:lang w:eastAsia="fr-FR"/>
        </w:rPr>
      </w:pPr>
    </w:p>
    <w:p w:rsidR="00F96AD3" w:rsidRDefault="00306A18" w:rsidP="00096872">
      <w:pPr>
        <w:tabs>
          <w:tab w:val="left" w:pos="0"/>
        </w:tabs>
        <w:rPr>
          <w:lang w:val="en-TT"/>
        </w:rPr>
      </w:pPr>
      <w:r>
        <w:rPr>
          <w:noProof/>
          <w:lang w:eastAsia="fr-FR"/>
        </w:rPr>
        <w:drawing>
          <wp:inline distT="0" distB="0" distL="0" distR="0">
            <wp:extent cx="5752465" cy="3473450"/>
            <wp:effectExtent l="19050" t="19050" r="19685" b="127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465" cy="3473450"/>
                    </a:xfrm>
                    <a:prstGeom prst="rect">
                      <a:avLst/>
                    </a:prstGeom>
                    <a:noFill/>
                    <a:ln w="9525">
                      <a:solidFill>
                        <a:schemeClr val="tx1"/>
                      </a:solidFill>
                    </a:ln>
                  </pic:spPr>
                </pic:pic>
              </a:graphicData>
            </a:graphic>
          </wp:inline>
        </w:drawing>
      </w:r>
    </w:p>
    <w:p w:rsidR="00F96AD3" w:rsidRDefault="00F96AD3" w:rsidP="00F96AD3">
      <w:pPr>
        <w:rPr>
          <w:lang w:val="en-TT"/>
        </w:rPr>
      </w:pPr>
    </w:p>
    <w:p w:rsidR="00F96AD3" w:rsidRPr="00F96AD3" w:rsidRDefault="00F96AD3" w:rsidP="00F96AD3">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F96AD3">
        <w:rPr>
          <w:rFonts w:ascii="Times New Roman" w:eastAsia="Times New Roman" w:hAnsi="Times New Roman" w:cs="Times New Roman"/>
          <w:b/>
          <w:bCs/>
          <w:sz w:val="27"/>
          <w:szCs w:val="27"/>
          <w:lang w:val="en-TT" w:eastAsia="fr-FR"/>
        </w:rPr>
        <w:t>1. Chimeric Recombinant Antibodies</w:t>
      </w:r>
    </w:p>
    <w:p w:rsidR="00F96AD3" w:rsidRPr="00F96AD3" w:rsidRDefault="00F96AD3" w:rsidP="00F96AD3">
      <w:pPr>
        <w:spacing w:before="100" w:beforeAutospacing="1" w:after="100" w:afterAutospacing="1" w:line="240" w:lineRule="auto"/>
        <w:rPr>
          <w:rFonts w:ascii="Times New Roman" w:eastAsia="Times New Roman" w:hAnsi="Times New Roman" w:cs="Times New Roman"/>
          <w:sz w:val="24"/>
          <w:szCs w:val="24"/>
          <w:lang w:val="en-TT" w:eastAsia="fr-FR"/>
        </w:rPr>
      </w:pPr>
      <w:r w:rsidRPr="00F96AD3">
        <w:rPr>
          <w:rFonts w:ascii="Times New Roman" w:eastAsia="Times New Roman" w:hAnsi="Times New Roman" w:cs="Times New Roman"/>
          <w:sz w:val="24"/>
          <w:szCs w:val="24"/>
          <w:lang w:val="en-TT" w:eastAsia="fr-FR"/>
        </w:rPr>
        <w:t xml:space="preserve">The first attempts to humanize murine antibodies led to the construction of </w:t>
      </w:r>
      <w:r w:rsidRPr="00F96AD3">
        <w:rPr>
          <w:rFonts w:ascii="Times New Roman" w:eastAsia="Times New Roman" w:hAnsi="Times New Roman" w:cs="Times New Roman"/>
          <w:b/>
          <w:bCs/>
          <w:sz w:val="24"/>
          <w:szCs w:val="24"/>
          <w:lang w:val="en-TT" w:eastAsia="fr-FR"/>
        </w:rPr>
        <w:t>chimeric antibodies</w:t>
      </w:r>
      <w:r w:rsidRPr="00F96AD3">
        <w:rPr>
          <w:rFonts w:ascii="Times New Roman" w:eastAsia="Times New Roman" w:hAnsi="Times New Roman" w:cs="Times New Roman"/>
          <w:sz w:val="24"/>
          <w:szCs w:val="24"/>
          <w:lang w:val="en-TT" w:eastAsia="fr-FR"/>
        </w:rPr>
        <w:t>, in which the constant regions of the murine immunoglobulin heavy and light chains are replaced by human constant regions.</w:t>
      </w:r>
    </w:p>
    <w:p w:rsidR="00F96AD3" w:rsidRPr="00F96AD3" w:rsidRDefault="00F96AD3" w:rsidP="00F96AD3">
      <w:pPr>
        <w:spacing w:before="100" w:beforeAutospacing="1" w:after="100" w:afterAutospacing="1" w:line="240" w:lineRule="auto"/>
        <w:rPr>
          <w:rFonts w:ascii="Times New Roman" w:eastAsia="Times New Roman" w:hAnsi="Times New Roman" w:cs="Times New Roman"/>
          <w:sz w:val="24"/>
          <w:szCs w:val="24"/>
          <w:lang w:val="en-TT" w:eastAsia="fr-FR"/>
        </w:rPr>
      </w:pPr>
      <w:r w:rsidRPr="00F96AD3">
        <w:rPr>
          <w:rFonts w:ascii="Times New Roman" w:eastAsia="Times New Roman" w:hAnsi="Times New Roman" w:cs="Times New Roman"/>
          <w:sz w:val="24"/>
          <w:szCs w:val="24"/>
          <w:lang w:val="en-TT" w:eastAsia="fr-FR"/>
        </w:rPr>
        <w:t xml:space="preserve">Chimeric antibodies are formed by combining the </w:t>
      </w:r>
      <w:r w:rsidRPr="00F96AD3">
        <w:rPr>
          <w:rFonts w:ascii="Times New Roman" w:eastAsia="Times New Roman" w:hAnsi="Times New Roman" w:cs="Times New Roman"/>
          <w:b/>
          <w:bCs/>
          <w:sz w:val="24"/>
          <w:szCs w:val="24"/>
          <w:lang w:val="en-TT" w:eastAsia="fr-FR"/>
        </w:rPr>
        <w:t>variable domains</w:t>
      </w:r>
      <w:r w:rsidRPr="00F96AD3">
        <w:rPr>
          <w:rFonts w:ascii="Times New Roman" w:eastAsia="Times New Roman" w:hAnsi="Times New Roman" w:cs="Times New Roman"/>
          <w:sz w:val="24"/>
          <w:szCs w:val="24"/>
          <w:lang w:val="en-TT" w:eastAsia="fr-FR"/>
        </w:rPr>
        <w:t xml:space="preserve"> of a murine monoclonal antibody with the </w:t>
      </w:r>
      <w:r w:rsidRPr="00F96AD3">
        <w:rPr>
          <w:rFonts w:ascii="Times New Roman" w:eastAsia="Times New Roman" w:hAnsi="Times New Roman" w:cs="Times New Roman"/>
          <w:b/>
          <w:bCs/>
          <w:sz w:val="24"/>
          <w:szCs w:val="24"/>
          <w:lang w:val="en-TT" w:eastAsia="fr-FR"/>
        </w:rPr>
        <w:t>constant domains</w:t>
      </w:r>
      <w:r w:rsidRPr="00F96AD3">
        <w:rPr>
          <w:rFonts w:ascii="Times New Roman" w:eastAsia="Times New Roman" w:hAnsi="Times New Roman" w:cs="Times New Roman"/>
          <w:sz w:val="24"/>
          <w:szCs w:val="24"/>
          <w:lang w:val="en-TT" w:eastAsia="fr-FR"/>
        </w:rPr>
        <w:t xml:space="preserve"> of a human antibody. These antibodies are approximately </w:t>
      </w:r>
      <w:r w:rsidRPr="00F96AD3">
        <w:rPr>
          <w:rFonts w:ascii="Times New Roman" w:eastAsia="Times New Roman" w:hAnsi="Times New Roman" w:cs="Times New Roman"/>
          <w:b/>
          <w:bCs/>
          <w:sz w:val="24"/>
          <w:szCs w:val="24"/>
          <w:lang w:val="en-TT" w:eastAsia="fr-FR"/>
        </w:rPr>
        <w:t>70% human</w:t>
      </w:r>
      <w:r w:rsidRPr="00F96AD3">
        <w:rPr>
          <w:rFonts w:ascii="Times New Roman" w:eastAsia="Times New Roman" w:hAnsi="Times New Roman" w:cs="Times New Roman"/>
          <w:sz w:val="24"/>
          <w:szCs w:val="24"/>
          <w:lang w:val="en-TT" w:eastAsia="fr-FR"/>
        </w:rPr>
        <w:t xml:space="preserve">, which makes them considerably less immunogenic in humans and allows them to interact with effector cells and induce the complement cascade via their human </w:t>
      </w:r>
      <w:r w:rsidRPr="00F96AD3">
        <w:rPr>
          <w:rFonts w:ascii="Times New Roman" w:eastAsia="Times New Roman" w:hAnsi="Times New Roman" w:cs="Times New Roman"/>
          <w:b/>
          <w:bCs/>
          <w:sz w:val="24"/>
          <w:szCs w:val="24"/>
          <w:lang w:val="en-TT" w:eastAsia="fr-FR"/>
        </w:rPr>
        <w:t>Fc region</w:t>
      </w:r>
      <w:r w:rsidRPr="00F96AD3">
        <w:rPr>
          <w:rFonts w:ascii="Times New Roman" w:eastAsia="Times New Roman" w:hAnsi="Times New Roman" w:cs="Times New Roman"/>
          <w:sz w:val="24"/>
          <w:szCs w:val="24"/>
          <w:lang w:val="en-TT" w:eastAsia="fr-FR"/>
        </w:rPr>
        <w:t>.</w:t>
      </w:r>
    </w:p>
    <w:p w:rsidR="00F96AD3" w:rsidRPr="00F96AD3" w:rsidRDefault="00F96AD3" w:rsidP="00F96AD3">
      <w:pPr>
        <w:spacing w:before="100" w:beforeAutospacing="1" w:after="100" w:afterAutospacing="1" w:line="240" w:lineRule="auto"/>
        <w:rPr>
          <w:rFonts w:ascii="Times New Roman" w:eastAsia="Times New Roman" w:hAnsi="Times New Roman" w:cs="Times New Roman"/>
          <w:sz w:val="24"/>
          <w:szCs w:val="24"/>
          <w:lang w:val="en-TT" w:eastAsia="fr-FR"/>
        </w:rPr>
      </w:pPr>
      <w:r w:rsidRPr="00F96AD3">
        <w:rPr>
          <w:rFonts w:ascii="Times New Roman" w:eastAsia="Times New Roman" w:hAnsi="Times New Roman" w:cs="Times New Roman"/>
          <w:sz w:val="24"/>
          <w:szCs w:val="24"/>
          <w:lang w:val="en-TT" w:eastAsia="fr-FR"/>
        </w:rPr>
        <w:t xml:space="preserve">The construction of chimeric antibodies involves isolating the DNA encoding the </w:t>
      </w:r>
      <w:r w:rsidRPr="00F96AD3">
        <w:rPr>
          <w:rFonts w:ascii="Times New Roman" w:eastAsia="Times New Roman" w:hAnsi="Times New Roman" w:cs="Times New Roman"/>
          <w:b/>
          <w:bCs/>
          <w:sz w:val="24"/>
          <w:szCs w:val="24"/>
          <w:lang w:val="en-TT" w:eastAsia="fr-FR"/>
        </w:rPr>
        <w:t>VH</w:t>
      </w:r>
      <w:r w:rsidRPr="00F96AD3">
        <w:rPr>
          <w:rFonts w:ascii="Times New Roman" w:eastAsia="Times New Roman" w:hAnsi="Times New Roman" w:cs="Times New Roman"/>
          <w:sz w:val="24"/>
          <w:szCs w:val="24"/>
          <w:lang w:val="en-TT" w:eastAsia="fr-FR"/>
        </w:rPr>
        <w:t xml:space="preserve"> and </w:t>
      </w:r>
      <w:r w:rsidRPr="00F96AD3">
        <w:rPr>
          <w:rFonts w:ascii="Times New Roman" w:eastAsia="Times New Roman" w:hAnsi="Times New Roman" w:cs="Times New Roman"/>
          <w:b/>
          <w:bCs/>
          <w:sz w:val="24"/>
          <w:szCs w:val="24"/>
          <w:lang w:val="en-TT" w:eastAsia="fr-FR"/>
        </w:rPr>
        <w:t>VL</w:t>
      </w:r>
      <w:r w:rsidRPr="00F96AD3">
        <w:rPr>
          <w:rFonts w:ascii="Times New Roman" w:eastAsia="Times New Roman" w:hAnsi="Times New Roman" w:cs="Times New Roman"/>
          <w:sz w:val="24"/>
          <w:szCs w:val="24"/>
          <w:lang w:val="en-TT" w:eastAsia="fr-FR"/>
        </w:rPr>
        <w:t xml:space="preserve"> domains of a murine mAb and linking it to the DNA encoding the human </w:t>
      </w:r>
      <w:r w:rsidRPr="00F96AD3">
        <w:rPr>
          <w:rFonts w:ascii="Times New Roman" w:eastAsia="Times New Roman" w:hAnsi="Times New Roman" w:cs="Times New Roman"/>
          <w:b/>
          <w:bCs/>
          <w:sz w:val="24"/>
          <w:szCs w:val="24"/>
          <w:lang w:val="en-TT" w:eastAsia="fr-FR"/>
        </w:rPr>
        <w:t>H</w:t>
      </w:r>
      <w:r w:rsidRPr="00F96AD3">
        <w:rPr>
          <w:rFonts w:ascii="Times New Roman" w:eastAsia="Times New Roman" w:hAnsi="Times New Roman" w:cs="Times New Roman"/>
          <w:sz w:val="24"/>
          <w:szCs w:val="24"/>
          <w:lang w:val="en-TT" w:eastAsia="fr-FR"/>
        </w:rPr>
        <w:t xml:space="preserve"> and </w:t>
      </w:r>
      <w:r w:rsidRPr="00F96AD3">
        <w:rPr>
          <w:rFonts w:ascii="Times New Roman" w:eastAsia="Times New Roman" w:hAnsi="Times New Roman" w:cs="Times New Roman"/>
          <w:b/>
          <w:bCs/>
          <w:sz w:val="24"/>
          <w:szCs w:val="24"/>
          <w:lang w:val="en-TT" w:eastAsia="fr-FR"/>
        </w:rPr>
        <w:t>L</w:t>
      </w:r>
      <w:r w:rsidRPr="00F96AD3">
        <w:rPr>
          <w:rFonts w:ascii="Times New Roman" w:eastAsia="Times New Roman" w:hAnsi="Times New Roman" w:cs="Times New Roman"/>
          <w:sz w:val="24"/>
          <w:szCs w:val="24"/>
          <w:lang w:val="en-TT" w:eastAsia="fr-FR"/>
        </w:rPr>
        <w:t xml:space="preserve"> constant domains. This produces a hybrid antibody with a human constant part. In most cases, the specificity and affinity of chimeric antibodies remain identical to those of the parental murine antibodies. However, slight modifications in fine specificity have occasionally been observed, suggesting an influence of the constant regions on the topology of the variable domains.</w:t>
      </w:r>
    </w:p>
    <w:p w:rsidR="00F96AD3" w:rsidRPr="00F96AD3" w:rsidRDefault="00F96AD3" w:rsidP="00F96AD3">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F96AD3">
        <w:rPr>
          <w:rFonts w:ascii="Times New Roman" w:eastAsia="Times New Roman" w:hAnsi="Times New Roman" w:cs="Times New Roman"/>
          <w:b/>
          <w:bCs/>
          <w:sz w:val="27"/>
          <w:szCs w:val="27"/>
          <w:lang w:val="en-TT" w:eastAsia="fr-FR"/>
        </w:rPr>
        <w:t>2. Humanized Recombinant Antibodies</w:t>
      </w:r>
    </w:p>
    <w:p w:rsidR="00F96AD3" w:rsidRPr="00F96AD3" w:rsidRDefault="00F96AD3" w:rsidP="00F96AD3">
      <w:pPr>
        <w:spacing w:before="100" w:beforeAutospacing="1" w:after="100" w:afterAutospacing="1" w:line="240" w:lineRule="auto"/>
        <w:rPr>
          <w:rFonts w:ascii="Times New Roman" w:eastAsia="Times New Roman" w:hAnsi="Times New Roman" w:cs="Times New Roman"/>
          <w:sz w:val="24"/>
          <w:szCs w:val="24"/>
          <w:lang w:val="en-TT" w:eastAsia="fr-FR"/>
        </w:rPr>
      </w:pPr>
      <w:r w:rsidRPr="00F96AD3">
        <w:rPr>
          <w:rFonts w:ascii="Times New Roman" w:eastAsia="Times New Roman" w:hAnsi="Times New Roman" w:cs="Times New Roman"/>
          <w:sz w:val="24"/>
          <w:szCs w:val="24"/>
          <w:lang w:val="en-TT" w:eastAsia="fr-FR"/>
        </w:rPr>
        <w:t xml:space="preserve">Humanized antibodies are technologically more difficult to obtain than chimeric antibodies. The general principle of humanization, as proposed by </w:t>
      </w:r>
      <w:r w:rsidRPr="00F96AD3">
        <w:rPr>
          <w:rFonts w:ascii="Times New Roman" w:eastAsia="Times New Roman" w:hAnsi="Times New Roman" w:cs="Times New Roman"/>
          <w:b/>
          <w:bCs/>
          <w:sz w:val="24"/>
          <w:szCs w:val="24"/>
          <w:lang w:val="en-TT" w:eastAsia="fr-FR"/>
        </w:rPr>
        <w:t>Greg Winter</w:t>
      </w:r>
      <w:r w:rsidRPr="00F96AD3">
        <w:rPr>
          <w:rFonts w:ascii="Times New Roman" w:eastAsia="Times New Roman" w:hAnsi="Times New Roman" w:cs="Times New Roman"/>
          <w:sz w:val="24"/>
          <w:szCs w:val="24"/>
          <w:lang w:val="en-TT" w:eastAsia="fr-FR"/>
        </w:rPr>
        <w:t xml:space="preserve"> in the late 1980s, consists of grafting the hypervariable regions (</w:t>
      </w:r>
      <w:r w:rsidRPr="00F96AD3">
        <w:rPr>
          <w:rFonts w:ascii="Times New Roman" w:eastAsia="Times New Roman" w:hAnsi="Times New Roman" w:cs="Times New Roman"/>
          <w:b/>
          <w:bCs/>
          <w:sz w:val="24"/>
          <w:szCs w:val="24"/>
          <w:lang w:val="en-TT" w:eastAsia="fr-FR"/>
        </w:rPr>
        <w:t>Complementarity Determining Regions, CDR</w:t>
      </w:r>
      <w:r w:rsidRPr="00F96AD3">
        <w:rPr>
          <w:rFonts w:ascii="Times New Roman" w:eastAsia="Times New Roman" w:hAnsi="Times New Roman" w:cs="Times New Roman"/>
          <w:sz w:val="24"/>
          <w:szCs w:val="24"/>
          <w:lang w:val="en-TT" w:eastAsia="fr-FR"/>
        </w:rPr>
        <w:t xml:space="preserve">) of an antibody of interest (often murine) onto the </w:t>
      </w:r>
      <w:r w:rsidRPr="00F96AD3">
        <w:rPr>
          <w:rFonts w:ascii="Times New Roman" w:eastAsia="Times New Roman" w:hAnsi="Times New Roman" w:cs="Times New Roman"/>
          <w:b/>
          <w:bCs/>
          <w:sz w:val="24"/>
          <w:szCs w:val="24"/>
          <w:lang w:val="en-TT" w:eastAsia="fr-FR"/>
        </w:rPr>
        <w:t>framework regions (FR)</w:t>
      </w:r>
      <w:r w:rsidRPr="00F96AD3">
        <w:rPr>
          <w:rFonts w:ascii="Times New Roman" w:eastAsia="Times New Roman" w:hAnsi="Times New Roman" w:cs="Times New Roman"/>
          <w:sz w:val="24"/>
          <w:szCs w:val="24"/>
          <w:lang w:val="en-TT" w:eastAsia="fr-FR"/>
        </w:rPr>
        <w:t xml:space="preserve"> of a human antibody.</w:t>
      </w:r>
    </w:p>
    <w:p w:rsidR="00F96AD3" w:rsidRPr="00F96AD3" w:rsidRDefault="00F96AD3" w:rsidP="00F96AD3">
      <w:pPr>
        <w:spacing w:before="100" w:beforeAutospacing="1" w:after="100" w:afterAutospacing="1" w:line="240" w:lineRule="auto"/>
        <w:rPr>
          <w:rFonts w:ascii="Times New Roman" w:eastAsia="Times New Roman" w:hAnsi="Times New Roman" w:cs="Times New Roman"/>
          <w:sz w:val="24"/>
          <w:szCs w:val="24"/>
          <w:lang w:val="en-TT" w:eastAsia="fr-FR"/>
        </w:rPr>
      </w:pPr>
      <w:r w:rsidRPr="00F96AD3">
        <w:rPr>
          <w:rFonts w:ascii="Times New Roman" w:eastAsia="Times New Roman" w:hAnsi="Times New Roman" w:cs="Times New Roman"/>
          <w:sz w:val="24"/>
          <w:szCs w:val="24"/>
          <w:lang w:val="en-TT" w:eastAsia="fr-FR"/>
        </w:rPr>
        <w:t xml:space="preserve">In humanized antibodies, all amino acid sequences derived from the mouse are replaced by human sequences, with the exception of the </w:t>
      </w:r>
      <w:r w:rsidRPr="00F96AD3">
        <w:rPr>
          <w:rFonts w:ascii="Times New Roman" w:eastAsia="Times New Roman" w:hAnsi="Times New Roman" w:cs="Times New Roman"/>
          <w:b/>
          <w:bCs/>
          <w:sz w:val="24"/>
          <w:szCs w:val="24"/>
          <w:lang w:val="en-TT" w:eastAsia="fr-FR"/>
        </w:rPr>
        <w:t>CDRs</w:t>
      </w:r>
      <w:r w:rsidRPr="00F96AD3">
        <w:rPr>
          <w:rFonts w:ascii="Times New Roman" w:eastAsia="Times New Roman" w:hAnsi="Times New Roman" w:cs="Times New Roman"/>
          <w:sz w:val="24"/>
          <w:szCs w:val="24"/>
          <w:lang w:val="en-TT" w:eastAsia="fr-FR"/>
        </w:rPr>
        <w:t>, which are responsible for forming the antigen-binding site.</w:t>
      </w:r>
    </w:p>
    <w:p w:rsidR="00F96AD3" w:rsidRPr="00F96AD3" w:rsidRDefault="00F96AD3" w:rsidP="00F96AD3">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F96AD3">
        <w:rPr>
          <w:rFonts w:ascii="Times New Roman" w:eastAsia="Times New Roman" w:hAnsi="Times New Roman" w:cs="Times New Roman"/>
          <w:b/>
          <w:bCs/>
          <w:sz w:val="27"/>
          <w:szCs w:val="27"/>
          <w:lang w:val="en-TT" w:eastAsia="fr-FR"/>
        </w:rPr>
        <w:t>3. Fully Human Recombinant Antibodies</w:t>
      </w:r>
    </w:p>
    <w:p w:rsidR="00F96AD3" w:rsidRPr="00F96AD3" w:rsidRDefault="00F96AD3" w:rsidP="00F96AD3">
      <w:pPr>
        <w:spacing w:before="100" w:beforeAutospacing="1" w:after="100" w:afterAutospacing="1" w:line="240" w:lineRule="auto"/>
        <w:rPr>
          <w:rFonts w:ascii="Times New Roman" w:eastAsia="Times New Roman" w:hAnsi="Times New Roman" w:cs="Times New Roman"/>
          <w:sz w:val="24"/>
          <w:szCs w:val="24"/>
          <w:lang w:val="en-TT" w:eastAsia="fr-FR"/>
        </w:rPr>
      </w:pPr>
      <w:r w:rsidRPr="00F96AD3">
        <w:rPr>
          <w:rFonts w:ascii="Times New Roman" w:eastAsia="Times New Roman" w:hAnsi="Times New Roman" w:cs="Times New Roman"/>
          <w:sz w:val="24"/>
          <w:szCs w:val="24"/>
          <w:lang w:val="en-TT" w:eastAsia="fr-FR"/>
        </w:rPr>
        <w:t xml:space="preserve">Recent technological leaps have made it possible to obtain </w:t>
      </w:r>
      <w:r w:rsidRPr="00F96AD3">
        <w:rPr>
          <w:rFonts w:ascii="Times New Roman" w:eastAsia="Times New Roman" w:hAnsi="Times New Roman" w:cs="Times New Roman"/>
          <w:b/>
          <w:bCs/>
          <w:sz w:val="24"/>
          <w:szCs w:val="24"/>
          <w:lang w:val="en-TT" w:eastAsia="fr-FR"/>
        </w:rPr>
        <w:t>fully human recombinant antibodies</w:t>
      </w:r>
      <w:r w:rsidRPr="00F96AD3">
        <w:rPr>
          <w:rFonts w:ascii="Times New Roman" w:eastAsia="Times New Roman" w:hAnsi="Times New Roman" w:cs="Times New Roman"/>
          <w:sz w:val="24"/>
          <w:szCs w:val="24"/>
          <w:lang w:val="en-TT" w:eastAsia="fr-FR"/>
        </w:rPr>
        <w:t xml:space="preserve"> (Avril, 2013). Today, a large portion of antibodies entering clinical phases are completely human, and nine human therapeutic antibodies are currently on the market (with 7 new approvals since 2009).</w:t>
      </w:r>
    </w:p>
    <w:p w:rsidR="00F96AD3" w:rsidRPr="00F96AD3" w:rsidRDefault="00F96AD3" w:rsidP="00F96AD3">
      <w:pPr>
        <w:spacing w:before="100" w:beforeAutospacing="1" w:after="100" w:afterAutospacing="1" w:line="240" w:lineRule="auto"/>
        <w:rPr>
          <w:rFonts w:ascii="Times New Roman" w:eastAsia="Times New Roman" w:hAnsi="Times New Roman" w:cs="Times New Roman"/>
          <w:sz w:val="24"/>
          <w:szCs w:val="24"/>
          <w:lang w:val="en-TT" w:eastAsia="fr-FR"/>
        </w:rPr>
      </w:pPr>
      <w:r w:rsidRPr="00F96AD3">
        <w:rPr>
          <w:rFonts w:ascii="Times New Roman" w:eastAsia="Times New Roman" w:hAnsi="Times New Roman" w:cs="Times New Roman"/>
          <w:sz w:val="24"/>
          <w:szCs w:val="24"/>
          <w:lang w:val="en-TT" w:eastAsia="fr-FR"/>
        </w:rPr>
        <w:t>In theory, these antibodies are "</w:t>
      </w:r>
      <w:r w:rsidRPr="00F96AD3">
        <w:rPr>
          <w:rFonts w:ascii="Times New Roman" w:eastAsia="Times New Roman" w:hAnsi="Times New Roman" w:cs="Times New Roman"/>
          <w:b/>
          <w:bCs/>
          <w:sz w:val="24"/>
          <w:szCs w:val="24"/>
          <w:lang w:val="en-TT" w:eastAsia="fr-FR"/>
        </w:rPr>
        <w:t>transparent</w:t>
      </w:r>
      <w:r w:rsidRPr="00F96AD3">
        <w:rPr>
          <w:rFonts w:ascii="Times New Roman" w:eastAsia="Times New Roman" w:hAnsi="Times New Roman" w:cs="Times New Roman"/>
          <w:sz w:val="24"/>
          <w:szCs w:val="24"/>
          <w:lang w:val="en-TT" w:eastAsia="fr-FR"/>
        </w:rPr>
        <w:t>" to the patient's immune system and avoid the hypersensitivity reactions observed with antibodies that still contain murine fragments. Several methodologies have been developed to generate such totally human antibodies.</w:t>
      </w:r>
    </w:p>
    <w:p w:rsidR="00C911D7" w:rsidRPr="00C911D7" w:rsidRDefault="00C911D7" w:rsidP="00C911D7">
      <w:pPr>
        <w:spacing w:before="100" w:beforeAutospacing="1" w:after="100" w:afterAutospacing="1" w:line="240" w:lineRule="auto"/>
        <w:outlineLvl w:val="1"/>
        <w:rPr>
          <w:rFonts w:ascii="Times New Roman" w:eastAsia="Times New Roman" w:hAnsi="Times New Roman" w:cs="Times New Roman"/>
          <w:b/>
          <w:bCs/>
          <w:sz w:val="36"/>
          <w:szCs w:val="36"/>
          <w:lang w:val="en-TT" w:eastAsia="fr-FR"/>
        </w:rPr>
      </w:pPr>
      <w:r w:rsidRPr="00C911D7">
        <w:rPr>
          <w:rFonts w:ascii="Times New Roman" w:eastAsia="Times New Roman" w:hAnsi="Times New Roman" w:cs="Times New Roman"/>
          <w:b/>
          <w:bCs/>
          <w:sz w:val="36"/>
          <w:szCs w:val="36"/>
          <w:lang w:val="en-TT" w:eastAsia="fr-FR"/>
        </w:rPr>
        <w:t>9. Pharmacokinetic Properties of Monoclonal Antibodies</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mAbs are high molecular weight proteins (</w:t>
      </w:r>
      <w:r w:rsidRPr="00C911D7">
        <w:rPr>
          <w:rFonts w:ascii="Times New Roman" w:eastAsia="Times New Roman" w:hAnsi="Times New Roman" w:cs="Times New Roman"/>
          <w:b/>
          <w:bCs/>
          <w:sz w:val="24"/>
          <w:szCs w:val="24"/>
          <w:lang w:val="en-TT" w:eastAsia="fr-FR"/>
        </w:rPr>
        <w:t>150 kDa</w:t>
      </w:r>
      <w:r w:rsidRPr="00C911D7">
        <w:rPr>
          <w:rFonts w:ascii="Times New Roman" w:eastAsia="Times New Roman" w:hAnsi="Times New Roman" w:cs="Times New Roman"/>
          <w:sz w:val="24"/>
          <w:szCs w:val="24"/>
          <w:lang w:val="en-TT" w:eastAsia="fr-FR"/>
        </w:rPr>
        <w:t>) characterized by their hydrophilicity. Their pharmacokinetics (the relationship between dose and concentration) differ significantly from classical drugs, which are generally small, chemically synthesized molecules. Their journey in the body is described through phases of absorption, distribution, and elimination.</w:t>
      </w:r>
    </w:p>
    <w:p w:rsidR="00C911D7" w:rsidRPr="00C911D7" w:rsidRDefault="00C911D7" w:rsidP="00C911D7">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C911D7">
        <w:rPr>
          <w:rFonts w:ascii="Times New Roman" w:eastAsia="Times New Roman" w:hAnsi="Times New Roman" w:cs="Times New Roman"/>
          <w:b/>
          <w:bCs/>
          <w:sz w:val="27"/>
          <w:szCs w:val="27"/>
          <w:lang w:val="en-TT" w:eastAsia="fr-FR"/>
        </w:rPr>
        <w:t>9.1 Absorption</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 xml:space="preserve">Absorption depends on the route of administration (subcutaneous, intravenous, or intramuscular). While the majority of mAbs are administered via </w:t>
      </w:r>
      <w:r w:rsidRPr="00C911D7">
        <w:rPr>
          <w:rFonts w:ascii="Times New Roman" w:eastAsia="Times New Roman" w:hAnsi="Times New Roman" w:cs="Times New Roman"/>
          <w:b/>
          <w:bCs/>
          <w:sz w:val="24"/>
          <w:szCs w:val="24"/>
          <w:lang w:val="en-TT" w:eastAsia="fr-FR"/>
        </w:rPr>
        <w:t>IV</w:t>
      </w:r>
      <w:r w:rsidRPr="00C911D7">
        <w:rPr>
          <w:rFonts w:ascii="Times New Roman" w:eastAsia="Times New Roman" w:hAnsi="Times New Roman" w:cs="Times New Roman"/>
          <w:sz w:val="24"/>
          <w:szCs w:val="24"/>
          <w:lang w:val="en-TT" w:eastAsia="fr-FR"/>
        </w:rPr>
        <w:t>, allowing for rapid and complete exposure, other routes involve passage through the lymphatic or blood systems. Absorption via non-IV routes remains slow and difficult to quantify precisely.</w:t>
      </w:r>
    </w:p>
    <w:p w:rsidR="00C911D7" w:rsidRPr="00C911D7" w:rsidRDefault="00C911D7" w:rsidP="00C911D7">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C911D7">
        <w:rPr>
          <w:rFonts w:ascii="Times New Roman" w:eastAsia="Times New Roman" w:hAnsi="Times New Roman" w:cs="Times New Roman"/>
          <w:b/>
          <w:bCs/>
          <w:sz w:val="27"/>
          <w:szCs w:val="27"/>
          <w:lang w:val="en-TT" w:eastAsia="fr-FR"/>
        </w:rPr>
        <w:t>9.2 Distribution</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 xml:space="preserve">This corresponds mainly to the tissue targeting of the molecule. Studies show that distribution depends directly on physiology and </w:t>
      </w:r>
      <w:r w:rsidRPr="00C911D7">
        <w:rPr>
          <w:rFonts w:ascii="Times New Roman" w:eastAsia="Times New Roman" w:hAnsi="Times New Roman" w:cs="Times New Roman"/>
          <w:b/>
          <w:bCs/>
          <w:sz w:val="24"/>
          <w:szCs w:val="24"/>
          <w:lang w:val="en-TT" w:eastAsia="fr-FR"/>
        </w:rPr>
        <w:t>tissue vascularization</w:t>
      </w:r>
      <w:r w:rsidRPr="00C911D7">
        <w:rPr>
          <w:rFonts w:ascii="Times New Roman" w:eastAsia="Times New Roman" w:hAnsi="Times New Roman" w:cs="Times New Roman"/>
          <w:sz w:val="24"/>
          <w:szCs w:val="24"/>
          <w:lang w:val="en-TT" w:eastAsia="fr-FR"/>
        </w:rPr>
        <w:t xml:space="preserve">. In cancer treatment, therapeutic targeting is challenging because mAbs diffuse poorly and heterogeneously within tumors. The gold standard for studying this is </w:t>
      </w:r>
      <w:r w:rsidRPr="00C911D7">
        <w:rPr>
          <w:rFonts w:ascii="Times New Roman" w:eastAsia="Times New Roman" w:hAnsi="Times New Roman" w:cs="Times New Roman"/>
          <w:b/>
          <w:bCs/>
          <w:sz w:val="24"/>
          <w:szCs w:val="24"/>
          <w:lang w:val="en-TT" w:eastAsia="fr-FR"/>
        </w:rPr>
        <w:t>Tissue Cross-Reactivity (TCR)</w:t>
      </w:r>
      <w:r w:rsidRPr="00C911D7">
        <w:rPr>
          <w:rFonts w:ascii="Times New Roman" w:eastAsia="Times New Roman" w:hAnsi="Times New Roman" w:cs="Times New Roman"/>
          <w:sz w:val="24"/>
          <w:szCs w:val="24"/>
          <w:lang w:val="en-TT" w:eastAsia="fr-FR"/>
        </w:rPr>
        <w:t xml:space="preserve"> studies, which analyze mAb binding across various human and animal tissues.</w:t>
      </w:r>
    </w:p>
    <w:p w:rsidR="00C911D7" w:rsidRPr="00C911D7" w:rsidRDefault="00C911D7" w:rsidP="00C911D7">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C911D7">
        <w:rPr>
          <w:rFonts w:ascii="Times New Roman" w:eastAsia="Times New Roman" w:hAnsi="Times New Roman" w:cs="Times New Roman"/>
          <w:b/>
          <w:bCs/>
          <w:sz w:val="27"/>
          <w:szCs w:val="27"/>
          <w:lang w:val="en-TT" w:eastAsia="fr-FR"/>
        </w:rPr>
        <w:t>9.3 Elimination</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Data on mAb elimination is limited, but they generally have a long terminal half-life (</w:t>
      </w:r>
      <w:r w:rsidRPr="00C911D7">
        <w:rPr>
          <w:rFonts w:ascii="Times New Roman" w:eastAsia="Times New Roman" w:hAnsi="Times New Roman" w:cs="Times New Roman"/>
          <w:b/>
          <w:bCs/>
          <w:sz w:val="24"/>
          <w:szCs w:val="24"/>
          <w:lang w:val="en-TT" w:eastAsia="fr-FR"/>
        </w:rPr>
        <w:t>8–28 days</w:t>
      </w:r>
      <w:r w:rsidRPr="00C911D7">
        <w:rPr>
          <w:rFonts w:ascii="Times New Roman" w:eastAsia="Times New Roman" w:hAnsi="Times New Roman" w:cs="Times New Roman"/>
          <w:sz w:val="24"/>
          <w:szCs w:val="24"/>
          <w:lang w:val="en-TT" w:eastAsia="fr-FR"/>
        </w:rPr>
        <w:t>). Since they are analogues of endogenous IgG, they are catabolized via three main mechanisms:</w:t>
      </w:r>
    </w:p>
    <w:p w:rsidR="00C911D7" w:rsidRPr="00C911D7" w:rsidRDefault="00C911D7" w:rsidP="00C911D7">
      <w:pPr>
        <w:spacing w:before="100" w:beforeAutospacing="1" w:after="100" w:afterAutospacing="1" w:line="240" w:lineRule="auto"/>
        <w:outlineLvl w:val="3"/>
        <w:rPr>
          <w:rFonts w:ascii="Times New Roman" w:eastAsia="Times New Roman" w:hAnsi="Times New Roman" w:cs="Times New Roman"/>
          <w:b/>
          <w:bCs/>
          <w:sz w:val="24"/>
          <w:szCs w:val="24"/>
          <w:lang w:val="en-TT" w:eastAsia="fr-FR"/>
        </w:rPr>
      </w:pPr>
      <w:r w:rsidRPr="00C911D7">
        <w:rPr>
          <w:rFonts w:ascii="Times New Roman" w:eastAsia="Times New Roman" w:hAnsi="Times New Roman" w:cs="Times New Roman"/>
          <w:b/>
          <w:bCs/>
          <w:sz w:val="24"/>
          <w:szCs w:val="24"/>
          <w:lang w:val="en-TT" w:eastAsia="fr-FR"/>
        </w:rPr>
        <w:t>9.3.1 Pinocytosis</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 xml:space="preserve">As they pass into interstitial fluid, mAbs (like all proteins) are taken up by vascular endothelial cells through </w:t>
      </w:r>
      <w:r w:rsidRPr="00C911D7">
        <w:rPr>
          <w:rFonts w:ascii="Times New Roman" w:eastAsia="Times New Roman" w:hAnsi="Times New Roman" w:cs="Times New Roman"/>
          <w:b/>
          <w:bCs/>
          <w:sz w:val="24"/>
          <w:szCs w:val="24"/>
          <w:lang w:val="en-TT" w:eastAsia="fr-FR"/>
        </w:rPr>
        <w:t>pinocytosis</w:t>
      </w:r>
      <w:r w:rsidRPr="00C911D7">
        <w:rPr>
          <w:rFonts w:ascii="Times New Roman" w:eastAsia="Times New Roman" w:hAnsi="Times New Roman" w:cs="Times New Roman"/>
          <w:sz w:val="24"/>
          <w:szCs w:val="24"/>
          <w:lang w:val="en-TT" w:eastAsia="fr-FR"/>
        </w:rPr>
        <w:t xml:space="preserve"> ("cell drinking"). They migrate into endosomes, are degraded in lysosomes, and then released. This is a </w:t>
      </w:r>
      <w:r w:rsidRPr="00C911D7">
        <w:rPr>
          <w:rFonts w:ascii="Times New Roman" w:eastAsia="Times New Roman" w:hAnsi="Times New Roman" w:cs="Times New Roman"/>
          <w:b/>
          <w:bCs/>
          <w:sz w:val="24"/>
          <w:szCs w:val="24"/>
          <w:lang w:val="en-TT" w:eastAsia="fr-FR"/>
        </w:rPr>
        <w:t>non-specific and non-saturable</w:t>
      </w:r>
      <w:r w:rsidRPr="00C911D7">
        <w:rPr>
          <w:rFonts w:ascii="Times New Roman" w:eastAsia="Times New Roman" w:hAnsi="Times New Roman" w:cs="Times New Roman"/>
          <w:sz w:val="24"/>
          <w:szCs w:val="24"/>
          <w:lang w:val="en-TT" w:eastAsia="fr-FR"/>
        </w:rPr>
        <w:t xml:space="preserve"> catabolic pathway for all circulating proteins.</w:t>
      </w:r>
    </w:p>
    <w:p w:rsidR="00C911D7" w:rsidRPr="00C911D7" w:rsidRDefault="00C911D7" w:rsidP="00C911D7">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C911D7">
        <w:rPr>
          <w:rFonts w:ascii="Times New Roman" w:eastAsia="Times New Roman" w:hAnsi="Times New Roman" w:cs="Times New Roman"/>
          <w:b/>
          <w:bCs/>
          <w:sz w:val="24"/>
          <w:szCs w:val="24"/>
          <w:lang w:eastAsia="fr-FR"/>
        </w:rPr>
        <w:t>9.3.2 Target-Mediated Elimination</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mAbs are eliminated after binding to their target:</w:t>
      </w:r>
    </w:p>
    <w:p w:rsidR="00C911D7" w:rsidRPr="00C911D7" w:rsidRDefault="00C911D7" w:rsidP="00C911D7">
      <w:pPr>
        <w:numPr>
          <w:ilvl w:val="0"/>
          <w:numId w:val="7"/>
        </w:num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b/>
          <w:bCs/>
          <w:sz w:val="24"/>
          <w:szCs w:val="24"/>
          <w:lang w:val="en-TT" w:eastAsia="fr-FR"/>
        </w:rPr>
        <w:t>Internalization:</w:t>
      </w:r>
      <w:r w:rsidRPr="00C911D7">
        <w:rPr>
          <w:rFonts w:ascii="Times New Roman" w:eastAsia="Times New Roman" w:hAnsi="Times New Roman" w:cs="Times New Roman"/>
          <w:sz w:val="24"/>
          <w:szCs w:val="24"/>
          <w:lang w:val="en-TT" w:eastAsia="fr-FR"/>
        </w:rPr>
        <w:t xml:space="preserve"> If the receptor is cellular, the immune complex is internalized and degraded.</w:t>
      </w:r>
    </w:p>
    <w:p w:rsidR="00C911D7" w:rsidRPr="00C911D7" w:rsidRDefault="00C911D7" w:rsidP="00C911D7">
      <w:pPr>
        <w:numPr>
          <w:ilvl w:val="0"/>
          <w:numId w:val="7"/>
        </w:num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b/>
          <w:bCs/>
          <w:sz w:val="24"/>
          <w:szCs w:val="24"/>
          <w:lang w:val="en-TT" w:eastAsia="fr-FR"/>
        </w:rPr>
        <w:t>Immune Complex Formation:</w:t>
      </w:r>
      <w:r w:rsidRPr="00C911D7">
        <w:rPr>
          <w:rFonts w:ascii="Times New Roman" w:eastAsia="Times New Roman" w:hAnsi="Times New Roman" w:cs="Times New Roman"/>
          <w:sz w:val="24"/>
          <w:szCs w:val="24"/>
          <w:lang w:val="en-TT" w:eastAsia="fr-FR"/>
        </w:rPr>
        <w:t xml:space="preserve"> If the target is circulating, the complex is eliminated by the immune system. This is a </w:t>
      </w:r>
      <w:r w:rsidRPr="00C911D7">
        <w:rPr>
          <w:rFonts w:ascii="Times New Roman" w:eastAsia="Times New Roman" w:hAnsi="Times New Roman" w:cs="Times New Roman"/>
          <w:b/>
          <w:bCs/>
          <w:sz w:val="24"/>
          <w:szCs w:val="24"/>
          <w:lang w:val="en-TT" w:eastAsia="fr-FR"/>
        </w:rPr>
        <w:t>specific and saturable</w:t>
      </w:r>
      <w:r w:rsidRPr="00C911D7">
        <w:rPr>
          <w:rFonts w:ascii="Times New Roman" w:eastAsia="Times New Roman" w:hAnsi="Times New Roman" w:cs="Times New Roman"/>
          <w:sz w:val="24"/>
          <w:szCs w:val="24"/>
          <w:lang w:val="en-TT" w:eastAsia="fr-FR"/>
        </w:rPr>
        <w:t xml:space="preserve"> pathway, as it depends on the type and number of antigens.</w:t>
      </w:r>
    </w:p>
    <w:p w:rsidR="00C911D7" w:rsidRPr="00C911D7" w:rsidRDefault="00C911D7" w:rsidP="00C911D7">
      <w:pPr>
        <w:spacing w:before="100" w:beforeAutospacing="1" w:after="100" w:afterAutospacing="1" w:line="240" w:lineRule="auto"/>
        <w:outlineLvl w:val="3"/>
        <w:rPr>
          <w:rFonts w:ascii="Times New Roman" w:eastAsia="Times New Roman" w:hAnsi="Times New Roman" w:cs="Times New Roman"/>
          <w:b/>
          <w:bCs/>
          <w:sz w:val="24"/>
          <w:szCs w:val="24"/>
          <w:lang w:val="en-TT" w:eastAsia="fr-FR"/>
        </w:rPr>
      </w:pPr>
      <w:r w:rsidRPr="00C911D7">
        <w:rPr>
          <w:rFonts w:ascii="Times New Roman" w:eastAsia="Times New Roman" w:hAnsi="Times New Roman" w:cs="Times New Roman"/>
          <w:b/>
          <w:bCs/>
          <w:sz w:val="24"/>
          <w:szCs w:val="24"/>
          <w:lang w:val="en-TT" w:eastAsia="fr-FR"/>
        </w:rPr>
        <w:t>9.3.3 FcRn Receptor-Dependent Elimination</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 xml:space="preserve">The </w:t>
      </w:r>
      <w:r w:rsidRPr="00C911D7">
        <w:rPr>
          <w:rFonts w:ascii="Times New Roman" w:eastAsia="Times New Roman" w:hAnsi="Times New Roman" w:cs="Times New Roman"/>
          <w:b/>
          <w:bCs/>
          <w:sz w:val="24"/>
          <w:szCs w:val="24"/>
          <w:lang w:val="en-TT" w:eastAsia="fr-FR"/>
        </w:rPr>
        <w:t>FcRn (neonatal Fc receptor)</w:t>
      </w:r>
      <w:r w:rsidRPr="00C911D7">
        <w:rPr>
          <w:rFonts w:ascii="Times New Roman" w:eastAsia="Times New Roman" w:hAnsi="Times New Roman" w:cs="Times New Roman"/>
          <w:sz w:val="24"/>
          <w:szCs w:val="24"/>
          <w:lang w:val="en-TT" w:eastAsia="fr-FR"/>
        </w:rPr>
        <w:t xml:space="preserve"> is a saturable receptor located in endothelial, intestinal, and renal cells. It facilitates the trans-cellular passage and </w:t>
      </w:r>
      <w:r w:rsidRPr="00C911D7">
        <w:rPr>
          <w:rFonts w:ascii="Times New Roman" w:eastAsia="Times New Roman" w:hAnsi="Times New Roman" w:cs="Times New Roman"/>
          <w:b/>
          <w:bCs/>
          <w:sz w:val="24"/>
          <w:szCs w:val="24"/>
          <w:lang w:val="en-TT" w:eastAsia="fr-FR"/>
        </w:rPr>
        <w:t>recycling</w:t>
      </w:r>
      <w:r w:rsidRPr="00C911D7">
        <w:rPr>
          <w:rFonts w:ascii="Times New Roman" w:eastAsia="Times New Roman" w:hAnsi="Times New Roman" w:cs="Times New Roman"/>
          <w:sz w:val="24"/>
          <w:szCs w:val="24"/>
          <w:lang w:val="en-TT" w:eastAsia="fr-FR"/>
        </w:rPr>
        <w:t xml:space="preserve"> of IgG. The FcRn binds the mAb via its </w:t>
      </w:r>
      <w:r w:rsidRPr="00C911D7">
        <w:rPr>
          <w:rFonts w:ascii="Times New Roman" w:eastAsia="Times New Roman" w:hAnsi="Times New Roman" w:cs="Times New Roman"/>
          <w:b/>
          <w:bCs/>
          <w:sz w:val="24"/>
          <w:szCs w:val="24"/>
          <w:lang w:val="en-TT" w:eastAsia="fr-FR"/>
        </w:rPr>
        <w:t>Fc portion</w:t>
      </w:r>
      <w:r w:rsidRPr="00C911D7">
        <w:rPr>
          <w:rFonts w:ascii="Times New Roman" w:eastAsia="Times New Roman" w:hAnsi="Times New Roman" w:cs="Times New Roman"/>
          <w:sz w:val="24"/>
          <w:szCs w:val="24"/>
          <w:lang w:val="en-TT" w:eastAsia="fr-FR"/>
        </w:rPr>
        <w:t xml:space="preserve">, diverting it from the lysosomal degradation pathway and redirecting it back to the cell surface. This mechanism explains the </w:t>
      </w:r>
      <w:r w:rsidRPr="00C911D7">
        <w:rPr>
          <w:rFonts w:ascii="Times New Roman" w:eastAsia="Times New Roman" w:hAnsi="Times New Roman" w:cs="Times New Roman"/>
          <w:b/>
          <w:bCs/>
          <w:sz w:val="24"/>
          <w:szCs w:val="24"/>
          <w:lang w:val="en-TT" w:eastAsia="fr-FR"/>
        </w:rPr>
        <w:t>long half-life</w:t>
      </w:r>
      <w:r w:rsidRPr="00C911D7">
        <w:rPr>
          <w:rFonts w:ascii="Times New Roman" w:eastAsia="Times New Roman" w:hAnsi="Times New Roman" w:cs="Times New Roman"/>
          <w:sz w:val="24"/>
          <w:szCs w:val="24"/>
          <w:lang w:val="en-TT" w:eastAsia="fr-FR"/>
        </w:rPr>
        <w:t xml:space="preserve"> of mAbs, as they are protected and released back into the bloodstream.</w:t>
      </w:r>
    </w:p>
    <w:p w:rsidR="00C911D7" w:rsidRPr="00C911D7" w:rsidRDefault="00C911D7" w:rsidP="00C911D7">
      <w:pPr>
        <w:spacing w:before="100" w:beforeAutospacing="1" w:after="100" w:afterAutospacing="1" w:line="240" w:lineRule="auto"/>
        <w:outlineLvl w:val="1"/>
        <w:rPr>
          <w:rFonts w:ascii="Times New Roman" w:eastAsia="Times New Roman" w:hAnsi="Times New Roman" w:cs="Times New Roman"/>
          <w:b/>
          <w:bCs/>
          <w:sz w:val="36"/>
          <w:szCs w:val="36"/>
          <w:lang w:val="en-TT" w:eastAsia="fr-FR"/>
        </w:rPr>
      </w:pPr>
      <w:r w:rsidRPr="00C911D7">
        <w:rPr>
          <w:rFonts w:ascii="Times New Roman" w:eastAsia="Times New Roman" w:hAnsi="Times New Roman" w:cs="Times New Roman"/>
          <w:b/>
          <w:bCs/>
          <w:sz w:val="36"/>
          <w:szCs w:val="36"/>
          <w:lang w:val="en-TT" w:eastAsia="fr-FR"/>
        </w:rPr>
        <w:t>10. Applications and Mechanisms of Action of Monoclonal Antibodies</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 xml:space="preserve">For a long time, mAbs were primarily applied in fundamental immunology for studying cell lines, non-lymphocytic cell markers, pathological cells, and proteomics. Currently, they are used therapeutically across several fields: </w:t>
      </w:r>
      <w:r w:rsidRPr="00C911D7">
        <w:rPr>
          <w:rFonts w:ascii="Times New Roman" w:eastAsia="Times New Roman" w:hAnsi="Times New Roman" w:cs="Times New Roman"/>
          <w:b/>
          <w:bCs/>
          <w:sz w:val="24"/>
          <w:szCs w:val="24"/>
          <w:lang w:val="en-TT" w:eastAsia="fr-FR"/>
        </w:rPr>
        <w:t>hemato-oncology, immunodeficiency, autoimmune diseases, oncology, infectious diseases, graft rejection, and enzyme therapy.</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 xml:space="preserve">Depending on the target and the disease, therapeutic antibodies can act through different pathways. There are three main modes of action: </w:t>
      </w:r>
      <w:r w:rsidRPr="00C911D7">
        <w:rPr>
          <w:rFonts w:ascii="Times New Roman" w:eastAsia="Times New Roman" w:hAnsi="Times New Roman" w:cs="Times New Roman"/>
          <w:b/>
          <w:bCs/>
          <w:sz w:val="24"/>
          <w:szCs w:val="24"/>
          <w:lang w:val="en-TT" w:eastAsia="fr-FR"/>
        </w:rPr>
        <w:t>blocking, signaling, and targeting.</w:t>
      </w:r>
    </w:p>
    <w:p w:rsidR="00C911D7" w:rsidRPr="00C911D7" w:rsidRDefault="00C911D7" w:rsidP="00C911D7">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C911D7">
        <w:rPr>
          <w:rFonts w:ascii="Times New Roman" w:eastAsia="Times New Roman" w:hAnsi="Times New Roman" w:cs="Times New Roman"/>
          <w:b/>
          <w:bCs/>
          <w:sz w:val="27"/>
          <w:szCs w:val="27"/>
          <w:lang w:val="en-TT" w:eastAsia="fr-FR"/>
        </w:rPr>
        <w:t>1. Blocking (Direct Pathway)</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In this direct mode of action, mAbs can mimic or block the natural ligand of a receptor, such as growth factors, cytokines, or other soluble mediators.</w:t>
      </w:r>
    </w:p>
    <w:p w:rsidR="00C911D7" w:rsidRPr="00C911D7" w:rsidRDefault="00C911D7" w:rsidP="00C911D7">
      <w:pPr>
        <w:numPr>
          <w:ilvl w:val="0"/>
          <w:numId w:val="8"/>
        </w:num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b/>
          <w:bCs/>
          <w:sz w:val="24"/>
          <w:szCs w:val="24"/>
          <w:lang w:val="en-TT" w:eastAsia="fr-FR"/>
        </w:rPr>
        <w:t>Example:</w:t>
      </w:r>
      <w:r w:rsidRPr="00C911D7">
        <w:rPr>
          <w:rFonts w:ascii="Times New Roman" w:eastAsia="Times New Roman" w:hAnsi="Times New Roman" w:cs="Times New Roman"/>
          <w:sz w:val="24"/>
          <w:szCs w:val="24"/>
          <w:lang w:val="en-TT" w:eastAsia="fr-FR"/>
        </w:rPr>
        <w:t xml:space="preserve"> </w:t>
      </w:r>
      <w:r w:rsidRPr="00C911D7">
        <w:rPr>
          <w:rFonts w:ascii="Times New Roman" w:eastAsia="Times New Roman" w:hAnsi="Times New Roman" w:cs="Times New Roman"/>
          <w:b/>
          <w:bCs/>
          <w:sz w:val="24"/>
          <w:szCs w:val="24"/>
          <w:lang w:val="en-TT" w:eastAsia="fr-FR"/>
        </w:rPr>
        <w:t>Trastuzumab</w:t>
      </w:r>
      <w:r w:rsidRPr="00C911D7">
        <w:rPr>
          <w:rFonts w:ascii="Times New Roman" w:eastAsia="Times New Roman" w:hAnsi="Times New Roman" w:cs="Times New Roman"/>
          <w:sz w:val="24"/>
          <w:szCs w:val="24"/>
          <w:lang w:val="en-TT" w:eastAsia="fr-FR"/>
        </w:rPr>
        <w:t xml:space="preserve">, which binds to the </w:t>
      </w:r>
      <w:r w:rsidRPr="00C911D7">
        <w:rPr>
          <w:rFonts w:ascii="Times New Roman" w:eastAsia="Times New Roman" w:hAnsi="Times New Roman" w:cs="Times New Roman"/>
          <w:b/>
          <w:bCs/>
          <w:sz w:val="24"/>
          <w:szCs w:val="24"/>
          <w:lang w:val="en-TT" w:eastAsia="fr-FR"/>
        </w:rPr>
        <w:t>HER-2 receptor</w:t>
      </w:r>
      <w:r w:rsidRPr="00C911D7">
        <w:rPr>
          <w:rFonts w:ascii="Times New Roman" w:eastAsia="Times New Roman" w:hAnsi="Times New Roman" w:cs="Times New Roman"/>
          <w:sz w:val="24"/>
          <w:szCs w:val="24"/>
          <w:lang w:val="en-TT" w:eastAsia="fr-FR"/>
        </w:rPr>
        <w:t xml:space="preserve">, preventing the binding of the growth factor </w:t>
      </w:r>
      <w:r w:rsidRPr="00C911D7">
        <w:rPr>
          <w:rFonts w:ascii="Times New Roman" w:eastAsia="Times New Roman" w:hAnsi="Times New Roman" w:cs="Times New Roman"/>
          <w:b/>
          <w:bCs/>
          <w:sz w:val="24"/>
          <w:szCs w:val="24"/>
          <w:lang w:val="en-TT" w:eastAsia="fr-FR"/>
        </w:rPr>
        <w:t>EGF</w:t>
      </w:r>
      <w:r w:rsidRPr="00C911D7">
        <w:rPr>
          <w:rFonts w:ascii="Times New Roman" w:eastAsia="Times New Roman" w:hAnsi="Times New Roman" w:cs="Times New Roman"/>
          <w:sz w:val="24"/>
          <w:szCs w:val="24"/>
          <w:lang w:val="en-TT" w:eastAsia="fr-FR"/>
        </w:rPr>
        <w:t>, thereby inhibiting cell proliferation.</w:t>
      </w:r>
    </w:p>
    <w:p w:rsidR="00C911D7" w:rsidRPr="00C911D7" w:rsidRDefault="00C911D7" w:rsidP="00C911D7">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C911D7">
        <w:rPr>
          <w:rFonts w:ascii="Times New Roman" w:eastAsia="Times New Roman" w:hAnsi="Times New Roman" w:cs="Times New Roman"/>
          <w:b/>
          <w:bCs/>
          <w:sz w:val="27"/>
          <w:szCs w:val="27"/>
          <w:lang w:val="en-TT" w:eastAsia="fr-FR"/>
        </w:rPr>
        <w:t>2. Signaling (Indirect Pathway)</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 xml:space="preserve">This is an indirect pathway that recruits other effectors and utilizes the antigenic plurivalency of the mAb. The antibody facilitates the clustering of recognized antigenic markers on the target cell membrane. This clustering triggers </w:t>
      </w:r>
      <w:r w:rsidRPr="00C911D7">
        <w:rPr>
          <w:rFonts w:ascii="Times New Roman" w:eastAsia="Times New Roman" w:hAnsi="Times New Roman" w:cs="Times New Roman"/>
          <w:b/>
          <w:bCs/>
          <w:sz w:val="24"/>
          <w:szCs w:val="24"/>
          <w:lang w:val="en-TT" w:eastAsia="fr-FR"/>
        </w:rPr>
        <w:t>intracellular phosphorylation cascades</w:t>
      </w:r>
      <w:r w:rsidRPr="00C911D7">
        <w:rPr>
          <w:rFonts w:ascii="Times New Roman" w:eastAsia="Times New Roman" w:hAnsi="Times New Roman" w:cs="Times New Roman"/>
          <w:sz w:val="24"/>
          <w:szCs w:val="24"/>
          <w:lang w:val="en-TT" w:eastAsia="fr-FR"/>
        </w:rPr>
        <w:t xml:space="preserve">, ultimately inducing </w:t>
      </w:r>
      <w:r w:rsidRPr="00C911D7">
        <w:rPr>
          <w:rFonts w:ascii="Times New Roman" w:eastAsia="Times New Roman" w:hAnsi="Times New Roman" w:cs="Times New Roman"/>
          <w:b/>
          <w:bCs/>
          <w:sz w:val="24"/>
          <w:szCs w:val="24"/>
          <w:lang w:val="en-TT" w:eastAsia="fr-FR"/>
        </w:rPr>
        <w:t>apoptosis</w:t>
      </w:r>
      <w:r w:rsidRPr="00C911D7">
        <w:rPr>
          <w:rFonts w:ascii="Times New Roman" w:eastAsia="Times New Roman" w:hAnsi="Times New Roman" w:cs="Times New Roman"/>
          <w:sz w:val="24"/>
          <w:szCs w:val="24"/>
          <w:lang w:val="en-TT" w:eastAsia="fr-FR"/>
        </w:rPr>
        <w:t xml:space="preserve"> (programmed cell death) of the target cell.</w:t>
      </w:r>
    </w:p>
    <w:p w:rsidR="00C911D7" w:rsidRPr="00C911D7" w:rsidRDefault="00C911D7" w:rsidP="00C911D7">
      <w:pPr>
        <w:spacing w:before="100" w:beforeAutospacing="1" w:after="100" w:afterAutospacing="1" w:line="240" w:lineRule="auto"/>
        <w:outlineLvl w:val="2"/>
        <w:rPr>
          <w:rFonts w:ascii="Times New Roman" w:eastAsia="Times New Roman" w:hAnsi="Times New Roman" w:cs="Times New Roman"/>
          <w:b/>
          <w:bCs/>
          <w:sz w:val="27"/>
          <w:szCs w:val="27"/>
          <w:lang w:val="en-TT" w:eastAsia="fr-FR"/>
        </w:rPr>
      </w:pPr>
      <w:r w:rsidRPr="00C911D7">
        <w:rPr>
          <w:rFonts w:ascii="Times New Roman" w:eastAsia="Times New Roman" w:hAnsi="Times New Roman" w:cs="Times New Roman"/>
          <w:b/>
          <w:bCs/>
          <w:sz w:val="27"/>
          <w:szCs w:val="27"/>
          <w:lang w:val="en-TT" w:eastAsia="fr-FR"/>
        </w:rPr>
        <w:t>3. Targeting (Direct Pathway)</w:t>
      </w:r>
    </w:p>
    <w:p w:rsidR="00C911D7" w:rsidRPr="00C911D7" w:rsidRDefault="00C911D7" w:rsidP="00C911D7">
      <w:p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sz w:val="24"/>
          <w:szCs w:val="24"/>
          <w:lang w:val="en-TT" w:eastAsia="fr-FR"/>
        </w:rPr>
        <w:t>This pathway is primarily activated in cases of microbial invasion or malignant cells. The mAb recognizes the pathogen or target cell and induces its elimination through three main mechanisms:</w:t>
      </w:r>
    </w:p>
    <w:p w:rsidR="00C911D7" w:rsidRPr="00C911D7" w:rsidRDefault="00C911D7" w:rsidP="00C911D7">
      <w:pPr>
        <w:numPr>
          <w:ilvl w:val="0"/>
          <w:numId w:val="9"/>
        </w:num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b/>
          <w:bCs/>
          <w:sz w:val="24"/>
          <w:szCs w:val="24"/>
          <w:lang w:val="en-TT" w:eastAsia="fr-FR"/>
        </w:rPr>
        <w:t>CDC (Complement-Dependent Cytotoxicity):</w:t>
      </w:r>
      <w:r w:rsidRPr="00C911D7">
        <w:rPr>
          <w:rFonts w:ascii="Times New Roman" w:eastAsia="Times New Roman" w:hAnsi="Times New Roman" w:cs="Times New Roman"/>
          <w:sz w:val="24"/>
          <w:szCs w:val="24"/>
          <w:lang w:val="en-TT" w:eastAsia="fr-FR"/>
        </w:rPr>
        <w:t xml:space="preserve"> The antibody triggers the complement cascade, leading to the formation of a membrane attack complex that lyses the cell.</w:t>
      </w:r>
    </w:p>
    <w:p w:rsidR="00C911D7" w:rsidRPr="00C911D7" w:rsidRDefault="00C911D7" w:rsidP="00C911D7">
      <w:pPr>
        <w:numPr>
          <w:ilvl w:val="0"/>
          <w:numId w:val="9"/>
        </w:num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b/>
          <w:bCs/>
          <w:sz w:val="24"/>
          <w:szCs w:val="24"/>
          <w:lang w:val="en-TT" w:eastAsia="fr-FR"/>
        </w:rPr>
        <w:t>ADCC (Antibody-Dependent Cellular Cytotoxicity):</w:t>
      </w:r>
      <w:r w:rsidRPr="00C911D7">
        <w:rPr>
          <w:rFonts w:ascii="Times New Roman" w:eastAsia="Times New Roman" w:hAnsi="Times New Roman" w:cs="Times New Roman"/>
          <w:sz w:val="24"/>
          <w:szCs w:val="24"/>
          <w:lang w:val="en-TT" w:eastAsia="fr-FR"/>
        </w:rPr>
        <w:t xml:space="preserve"> Effector cells (like Natural Killer cells) recognize the bound antibody via their Fc receptors and release cytotoxic granules to kill the target cell.</w:t>
      </w:r>
    </w:p>
    <w:p w:rsidR="00C911D7" w:rsidRPr="00C911D7" w:rsidRDefault="00C911D7" w:rsidP="00C911D7">
      <w:pPr>
        <w:numPr>
          <w:ilvl w:val="0"/>
          <w:numId w:val="9"/>
        </w:numPr>
        <w:spacing w:before="100" w:beforeAutospacing="1" w:after="100" w:afterAutospacing="1" w:line="240" w:lineRule="auto"/>
        <w:rPr>
          <w:rFonts w:ascii="Times New Roman" w:eastAsia="Times New Roman" w:hAnsi="Times New Roman" w:cs="Times New Roman"/>
          <w:sz w:val="24"/>
          <w:szCs w:val="24"/>
          <w:lang w:val="en-TT" w:eastAsia="fr-FR"/>
        </w:rPr>
      </w:pPr>
      <w:r w:rsidRPr="00C911D7">
        <w:rPr>
          <w:rFonts w:ascii="Times New Roman" w:eastAsia="Times New Roman" w:hAnsi="Times New Roman" w:cs="Times New Roman"/>
          <w:b/>
          <w:bCs/>
          <w:sz w:val="24"/>
          <w:szCs w:val="24"/>
          <w:lang w:val="en-TT" w:eastAsia="fr-FR"/>
        </w:rPr>
        <w:t>Phagocytosis:</w:t>
      </w:r>
      <w:r w:rsidRPr="00C911D7">
        <w:rPr>
          <w:rFonts w:ascii="Times New Roman" w:eastAsia="Times New Roman" w:hAnsi="Times New Roman" w:cs="Times New Roman"/>
          <w:sz w:val="24"/>
          <w:szCs w:val="24"/>
          <w:lang w:val="en-TT" w:eastAsia="fr-FR"/>
        </w:rPr>
        <w:t xml:space="preserve"> The antibody "flags" the target (opsonization), allowing macrophages to engulf and destroy it.</w:t>
      </w:r>
    </w:p>
    <w:p w:rsidR="008072C6" w:rsidRPr="00F96AD3" w:rsidRDefault="008072C6" w:rsidP="00F96AD3">
      <w:pPr>
        <w:rPr>
          <w:lang w:val="en-TT"/>
        </w:rPr>
      </w:pPr>
      <w:bookmarkStart w:id="0" w:name="_GoBack"/>
      <w:bookmarkEnd w:id="0"/>
    </w:p>
    <w:sectPr w:rsidR="008072C6" w:rsidRPr="00F96AD3" w:rsidSect="00CA449B">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115E1"/>
    <w:multiLevelType w:val="multilevel"/>
    <w:tmpl w:val="F598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7650B"/>
    <w:multiLevelType w:val="multilevel"/>
    <w:tmpl w:val="67EA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F23DB7"/>
    <w:multiLevelType w:val="multilevel"/>
    <w:tmpl w:val="C1B6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CB0FFF"/>
    <w:multiLevelType w:val="multilevel"/>
    <w:tmpl w:val="975C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A151DB"/>
    <w:multiLevelType w:val="multilevel"/>
    <w:tmpl w:val="0BE6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080A8D"/>
    <w:multiLevelType w:val="multilevel"/>
    <w:tmpl w:val="D124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CE68A8"/>
    <w:multiLevelType w:val="multilevel"/>
    <w:tmpl w:val="A7DC1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1514CF"/>
    <w:multiLevelType w:val="multilevel"/>
    <w:tmpl w:val="E830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743473"/>
    <w:multiLevelType w:val="multilevel"/>
    <w:tmpl w:val="B03E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8"/>
  </w:num>
  <w:num w:numId="4">
    <w:abstractNumId w:val="2"/>
  </w:num>
  <w:num w:numId="5">
    <w:abstractNumId w:val="7"/>
  </w:num>
  <w:num w:numId="6">
    <w:abstractNumId w:val="1"/>
  </w:num>
  <w:num w:numId="7">
    <w:abstractNumId w:val="4"/>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9B"/>
    <w:rsid w:val="00096872"/>
    <w:rsid w:val="002675F2"/>
    <w:rsid w:val="002F21E1"/>
    <w:rsid w:val="00306A18"/>
    <w:rsid w:val="004B3E7F"/>
    <w:rsid w:val="00511C06"/>
    <w:rsid w:val="008072C6"/>
    <w:rsid w:val="00923B97"/>
    <w:rsid w:val="00C0420F"/>
    <w:rsid w:val="00C1237B"/>
    <w:rsid w:val="00C911D7"/>
    <w:rsid w:val="00CA449B"/>
    <w:rsid w:val="00D62660"/>
    <w:rsid w:val="00E26371"/>
    <w:rsid w:val="00F96AD3"/>
    <w:rsid w:val="00FE7E6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78F2D4-5963-46F0-BAA6-921E3BE5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11C0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11C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6739">
      <w:bodyDiv w:val="1"/>
      <w:marLeft w:val="0"/>
      <w:marRight w:val="0"/>
      <w:marTop w:val="0"/>
      <w:marBottom w:val="0"/>
      <w:divBdr>
        <w:top w:val="none" w:sz="0" w:space="0" w:color="auto"/>
        <w:left w:val="none" w:sz="0" w:space="0" w:color="auto"/>
        <w:bottom w:val="none" w:sz="0" w:space="0" w:color="auto"/>
        <w:right w:val="none" w:sz="0" w:space="0" w:color="auto"/>
      </w:divBdr>
      <w:divsChild>
        <w:div w:id="1183128344">
          <w:marLeft w:val="0"/>
          <w:marRight w:val="0"/>
          <w:marTop w:val="0"/>
          <w:marBottom w:val="0"/>
          <w:divBdr>
            <w:top w:val="none" w:sz="0" w:space="0" w:color="auto"/>
            <w:left w:val="none" w:sz="0" w:space="0" w:color="auto"/>
            <w:bottom w:val="none" w:sz="0" w:space="0" w:color="auto"/>
            <w:right w:val="none" w:sz="0" w:space="0" w:color="auto"/>
          </w:divBdr>
          <w:divsChild>
            <w:div w:id="152769189">
              <w:marLeft w:val="0"/>
              <w:marRight w:val="0"/>
              <w:marTop w:val="0"/>
              <w:marBottom w:val="0"/>
              <w:divBdr>
                <w:top w:val="none" w:sz="0" w:space="0" w:color="auto"/>
                <w:left w:val="none" w:sz="0" w:space="0" w:color="auto"/>
                <w:bottom w:val="none" w:sz="0" w:space="0" w:color="auto"/>
                <w:right w:val="none" w:sz="0" w:space="0" w:color="auto"/>
              </w:divBdr>
              <w:divsChild>
                <w:div w:id="1946041041">
                  <w:marLeft w:val="0"/>
                  <w:marRight w:val="0"/>
                  <w:marTop w:val="0"/>
                  <w:marBottom w:val="0"/>
                  <w:divBdr>
                    <w:top w:val="none" w:sz="0" w:space="0" w:color="auto"/>
                    <w:left w:val="none" w:sz="0" w:space="0" w:color="auto"/>
                    <w:bottom w:val="none" w:sz="0" w:space="0" w:color="auto"/>
                    <w:right w:val="none" w:sz="0" w:space="0" w:color="auto"/>
                  </w:divBdr>
                  <w:divsChild>
                    <w:div w:id="793720642">
                      <w:marLeft w:val="0"/>
                      <w:marRight w:val="0"/>
                      <w:marTop w:val="0"/>
                      <w:marBottom w:val="0"/>
                      <w:divBdr>
                        <w:top w:val="none" w:sz="0" w:space="0" w:color="auto"/>
                        <w:left w:val="none" w:sz="0" w:space="0" w:color="auto"/>
                        <w:bottom w:val="none" w:sz="0" w:space="0" w:color="auto"/>
                        <w:right w:val="none" w:sz="0" w:space="0" w:color="auto"/>
                      </w:divBdr>
                      <w:divsChild>
                        <w:div w:id="1986011903">
                          <w:marLeft w:val="0"/>
                          <w:marRight w:val="0"/>
                          <w:marTop w:val="0"/>
                          <w:marBottom w:val="0"/>
                          <w:divBdr>
                            <w:top w:val="none" w:sz="0" w:space="0" w:color="auto"/>
                            <w:left w:val="none" w:sz="0" w:space="0" w:color="auto"/>
                            <w:bottom w:val="none" w:sz="0" w:space="0" w:color="auto"/>
                            <w:right w:val="none" w:sz="0" w:space="0" w:color="auto"/>
                          </w:divBdr>
                          <w:divsChild>
                            <w:div w:id="1307859690">
                              <w:marLeft w:val="0"/>
                              <w:marRight w:val="0"/>
                              <w:marTop w:val="0"/>
                              <w:marBottom w:val="0"/>
                              <w:divBdr>
                                <w:top w:val="none" w:sz="0" w:space="0" w:color="auto"/>
                                <w:left w:val="none" w:sz="0" w:space="0" w:color="auto"/>
                                <w:bottom w:val="none" w:sz="0" w:space="0" w:color="auto"/>
                                <w:right w:val="none" w:sz="0" w:space="0" w:color="auto"/>
                              </w:divBdr>
                              <w:divsChild>
                                <w:div w:id="13229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691094">
      <w:bodyDiv w:val="1"/>
      <w:marLeft w:val="0"/>
      <w:marRight w:val="0"/>
      <w:marTop w:val="0"/>
      <w:marBottom w:val="0"/>
      <w:divBdr>
        <w:top w:val="none" w:sz="0" w:space="0" w:color="auto"/>
        <w:left w:val="none" w:sz="0" w:space="0" w:color="auto"/>
        <w:bottom w:val="none" w:sz="0" w:space="0" w:color="auto"/>
        <w:right w:val="none" w:sz="0" w:space="0" w:color="auto"/>
      </w:divBdr>
    </w:div>
    <w:div w:id="421224579">
      <w:bodyDiv w:val="1"/>
      <w:marLeft w:val="0"/>
      <w:marRight w:val="0"/>
      <w:marTop w:val="0"/>
      <w:marBottom w:val="0"/>
      <w:divBdr>
        <w:top w:val="none" w:sz="0" w:space="0" w:color="auto"/>
        <w:left w:val="none" w:sz="0" w:space="0" w:color="auto"/>
        <w:bottom w:val="none" w:sz="0" w:space="0" w:color="auto"/>
        <w:right w:val="none" w:sz="0" w:space="0" w:color="auto"/>
      </w:divBdr>
    </w:div>
    <w:div w:id="556429051">
      <w:bodyDiv w:val="1"/>
      <w:marLeft w:val="0"/>
      <w:marRight w:val="0"/>
      <w:marTop w:val="0"/>
      <w:marBottom w:val="0"/>
      <w:divBdr>
        <w:top w:val="none" w:sz="0" w:space="0" w:color="auto"/>
        <w:left w:val="none" w:sz="0" w:space="0" w:color="auto"/>
        <w:bottom w:val="none" w:sz="0" w:space="0" w:color="auto"/>
        <w:right w:val="none" w:sz="0" w:space="0" w:color="auto"/>
      </w:divBdr>
    </w:div>
    <w:div w:id="632907101">
      <w:bodyDiv w:val="1"/>
      <w:marLeft w:val="0"/>
      <w:marRight w:val="0"/>
      <w:marTop w:val="0"/>
      <w:marBottom w:val="0"/>
      <w:divBdr>
        <w:top w:val="none" w:sz="0" w:space="0" w:color="auto"/>
        <w:left w:val="none" w:sz="0" w:space="0" w:color="auto"/>
        <w:bottom w:val="none" w:sz="0" w:space="0" w:color="auto"/>
        <w:right w:val="none" w:sz="0" w:space="0" w:color="auto"/>
      </w:divBdr>
    </w:div>
    <w:div w:id="716854769">
      <w:bodyDiv w:val="1"/>
      <w:marLeft w:val="0"/>
      <w:marRight w:val="0"/>
      <w:marTop w:val="0"/>
      <w:marBottom w:val="0"/>
      <w:divBdr>
        <w:top w:val="none" w:sz="0" w:space="0" w:color="auto"/>
        <w:left w:val="none" w:sz="0" w:space="0" w:color="auto"/>
        <w:bottom w:val="none" w:sz="0" w:space="0" w:color="auto"/>
        <w:right w:val="none" w:sz="0" w:space="0" w:color="auto"/>
      </w:divBdr>
    </w:div>
    <w:div w:id="929387034">
      <w:bodyDiv w:val="1"/>
      <w:marLeft w:val="0"/>
      <w:marRight w:val="0"/>
      <w:marTop w:val="0"/>
      <w:marBottom w:val="0"/>
      <w:divBdr>
        <w:top w:val="none" w:sz="0" w:space="0" w:color="auto"/>
        <w:left w:val="none" w:sz="0" w:space="0" w:color="auto"/>
        <w:bottom w:val="none" w:sz="0" w:space="0" w:color="auto"/>
        <w:right w:val="none" w:sz="0" w:space="0" w:color="auto"/>
      </w:divBdr>
      <w:divsChild>
        <w:div w:id="1396735146">
          <w:marLeft w:val="0"/>
          <w:marRight w:val="0"/>
          <w:marTop w:val="0"/>
          <w:marBottom w:val="0"/>
          <w:divBdr>
            <w:top w:val="none" w:sz="0" w:space="0" w:color="auto"/>
            <w:left w:val="none" w:sz="0" w:space="0" w:color="auto"/>
            <w:bottom w:val="none" w:sz="0" w:space="0" w:color="auto"/>
            <w:right w:val="none" w:sz="0" w:space="0" w:color="auto"/>
          </w:divBdr>
          <w:divsChild>
            <w:div w:id="572202335">
              <w:marLeft w:val="0"/>
              <w:marRight w:val="0"/>
              <w:marTop w:val="0"/>
              <w:marBottom w:val="0"/>
              <w:divBdr>
                <w:top w:val="none" w:sz="0" w:space="0" w:color="auto"/>
                <w:left w:val="none" w:sz="0" w:space="0" w:color="auto"/>
                <w:bottom w:val="none" w:sz="0" w:space="0" w:color="auto"/>
                <w:right w:val="none" w:sz="0" w:space="0" w:color="auto"/>
              </w:divBdr>
              <w:divsChild>
                <w:div w:id="1087967170">
                  <w:marLeft w:val="0"/>
                  <w:marRight w:val="0"/>
                  <w:marTop w:val="0"/>
                  <w:marBottom w:val="0"/>
                  <w:divBdr>
                    <w:top w:val="none" w:sz="0" w:space="0" w:color="auto"/>
                    <w:left w:val="none" w:sz="0" w:space="0" w:color="auto"/>
                    <w:bottom w:val="none" w:sz="0" w:space="0" w:color="auto"/>
                    <w:right w:val="none" w:sz="0" w:space="0" w:color="auto"/>
                  </w:divBdr>
                  <w:divsChild>
                    <w:div w:id="1346439227">
                      <w:marLeft w:val="0"/>
                      <w:marRight w:val="0"/>
                      <w:marTop w:val="0"/>
                      <w:marBottom w:val="0"/>
                      <w:divBdr>
                        <w:top w:val="none" w:sz="0" w:space="0" w:color="auto"/>
                        <w:left w:val="none" w:sz="0" w:space="0" w:color="auto"/>
                        <w:bottom w:val="none" w:sz="0" w:space="0" w:color="auto"/>
                        <w:right w:val="none" w:sz="0" w:space="0" w:color="auto"/>
                      </w:divBdr>
                      <w:divsChild>
                        <w:div w:id="556287293">
                          <w:marLeft w:val="0"/>
                          <w:marRight w:val="0"/>
                          <w:marTop w:val="0"/>
                          <w:marBottom w:val="0"/>
                          <w:divBdr>
                            <w:top w:val="none" w:sz="0" w:space="0" w:color="auto"/>
                            <w:left w:val="none" w:sz="0" w:space="0" w:color="auto"/>
                            <w:bottom w:val="none" w:sz="0" w:space="0" w:color="auto"/>
                            <w:right w:val="none" w:sz="0" w:space="0" w:color="auto"/>
                          </w:divBdr>
                          <w:divsChild>
                            <w:div w:id="1296831046">
                              <w:marLeft w:val="0"/>
                              <w:marRight w:val="0"/>
                              <w:marTop w:val="0"/>
                              <w:marBottom w:val="0"/>
                              <w:divBdr>
                                <w:top w:val="none" w:sz="0" w:space="0" w:color="auto"/>
                                <w:left w:val="none" w:sz="0" w:space="0" w:color="auto"/>
                                <w:bottom w:val="none" w:sz="0" w:space="0" w:color="auto"/>
                                <w:right w:val="none" w:sz="0" w:space="0" w:color="auto"/>
                              </w:divBdr>
                              <w:divsChild>
                                <w:div w:id="16112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395225">
      <w:bodyDiv w:val="1"/>
      <w:marLeft w:val="0"/>
      <w:marRight w:val="0"/>
      <w:marTop w:val="0"/>
      <w:marBottom w:val="0"/>
      <w:divBdr>
        <w:top w:val="none" w:sz="0" w:space="0" w:color="auto"/>
        <w:left w:val="none" w:sz="0" w:space="0" w:color="auto"/>
        <w:bottom w:val="none" w:sz="0" w:space="0" w:color="auto"/>
        <w:right w:val="none" w:sz="0" w:space="0" w:color="auto"/>
      </w:divBdr>
    </w:div>
    <w:div w:id="1248534508">
      <w:bodyDiv w:val="1"/>
      <w:marLeft w:val="0"/>
      <w:marRight w:val="0"/>
      <w:marTop w:val="0"/>
      <w:marBottom w:val="0"/>
      <w:divBdr>
        <w:top w:val="none" w:sz="0" w:space="0" w:color="auto"/>
        <w:left w:val="none" w:sz="0" w:space="0" w:color="auto"/>
        <w:bottom w:val="none" w:sz="0" w:space="0" w:color="auto"/>
        <w:right w:val="none" w:sz="0" w:space="0" w:color="auto"/>
      </w:divBdr>
    </w:div>
    <w:div w:id="1489788705">
      <w:bodyDiv w:val="1"/>
      <w:marLeft w:val="0"/>
      <w:marRight w:val="0"/>
      <w:marTop w:val="0"/>
      <w:marBottom w:val="0"/>
      <w:divBdr>
        <w:top w:val="none" w:sz="0" w:space="0" w:color="auto"/>
        <w:left w:val="none" w:sz="0" w:space="0" w:color="auto"/>
        <w:bottom w:val="none" w:sz="0" w:space="0" w:color="auto"/>
        <w:right w:val="none" w:sz="0" w:space="0" w:color="auto"/>
      </w:divBdr>
      <w:divsChild>
        <w:div w:id="1814640056">
          <w:marLeft w:val="0"/>
          <w:marRight w:val="0"/>
          <w:marTop w:val="0"/>
          <w:marBottom w:val="0"/>
          <w:divBdr>
            <w:top w:val="none" w:sz="0" w:space="0" w:color="auto"/>
            <w:left w:val="none" w:sz="0" w:space="0" w:color="auto"/>
            <w:bottom w:val="none" w:sz="0" w:space="0" w:color="auto"/>
            <w:right w:val="none" w:sz="0" w:space="0" w:color="auto"/>
          </w:divBdr>
          <w:divsChild>
            <w:div w:id="1050036539">
              <w:marLeft w:val="0"/>
              <w:marRight w:val="0"/>
              <w:marTop w:val="0"/>
              <w:marBottom w:val="0"/>
              <w:divBdr>
                <w:top w:val="none" w:sz="0" w:space="0" w:color="auto"/>
                <w:left w:val="none" w:sz="0" w:space="0" w:color="auto"/>
                <w:bottom w:val="none" w:sz="0" w:space="0" w:color="auto"/>
                <w:right w:val="none" w:sz="0" w:space="0" w:color="auto"/>
              </w:divBdr>
              <w:divsChild>
                <w:div w:id="510218137">
                  <w:marLeft w:val="0"/>
                  <w:marRight w:val="0"/>
                  <w:marTop w:val="0"/>
                  <w:marBottom w:val="0"/>
                  <w:divBdr>
                    <w:top w:val="none" w:sz="0" w:space="0" w:color="auto"/>
                    <w:left w:val="none" w:sz="0" w:space="0" w:color="auto"/>
                    <w:bottom w:val="none" w:sz="0" w:space="0" w:color="auto"/>
                    <w:right w:val="none" w:sz="0" w:space="0" w:color="auto"/>
                  </w:divBdr>
                  <w:divsChild>
                    <w:div w:id="1846629473">
                      <w:marLeft w:val="0"/>
                      <w:marRight w:val="0"/>
                      <w:marTop w:val="0"/>
                      <w:marBottom w:val="0"/>
                      <w:divBdr>
                        <w:top w:val="none" w:sz="0" w:space="0" w:color="auto"/>
                        <w:left w:val="none" w:sz="0" w:space="0" w:color="auto"/>
                        <w:bottom w:val="none" w:sz="0" w:space="0" w:color="auto"/>
                        <w:right w:val="none" w:sz="0" w:space="0" w:color="auto"/>
                      </w:divBdr>
                      <w:divsChild>
                        <w:div w:id="671030497">
                          <w:marLeft w:val="0"/>
                          <w:marRight w:val="0"/>
                          <w:marTop w:val="0"/>
                          <w:marBottom w:val="0"/>
                          <w:divBdr>
                            <w:top w:val="none" w:sz="0" w:space="0" w:color="auto"/>
                            <w:left w:val="none" w:sz="0" w:space="0" w:color="auto"/>
                            <w:bottom w:val="none" w:sz="0" w:space="0" w:color="auto"/>
                            <w:right w:val="none" w:sz="0" w:space="0" w:color="auto"/>
                          </w:divBdr>
                          <w:divsChild>
                            <w:div w:id="128904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11</Pages>
  <Words>2614</Words>
  <Characters>14382</Characters>
  <Application>Microsoft Office Word</Application>
  <DocSecurity>0</DocSecurity>
  <Lines>119</Lines>
  <Paragraphs>33</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
      <vt:lpstr>        7.1 Production of Monoclonal Antibodies by the Hybridoma Technique (Murine Antib</vt:lpstr>
      <vt:lpstr>        a) Immunization and Choice ofthe Animal</vt:lpstr>
      <vt:lpstr>        b) Fusion of the Two Cell Types</vt:lpstr>
      <vt:lpstr>        c) Selection of Hybrid Cells (Formation of Hybridomas)</vt:lpstr>
      <vt:lpstr>        d) Screening andCloning of Antibody-Producing Cells</vt:lpstr>
      <vt:lpstr>        e) Large-Scal Production of Monoclonal Antibodies</vt:lpstr>
      <vt:lpstr>        1. Chimeric Recombinant Antibodies</vt:lpstr>
      <vt:lpstr>        2. Humanized Recombinant Antibodies</vt:lpstr>
      <vt:lpstr>        3. Fully Human Recombinant Antibodies</vt:lpstr>
    </vt:vector>
  </TitlesOfParts>
  <Company/>
  <LinksUpToDate>false</LinksUpToDate>
  <CharactersWithSpaces>16963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youssouf</dc:creator>
  <cp:keywords/>
  <dc:description/>
  <cp:lastModifiedBy>youssouf</cp:lastModifiedBy>
  <cp:revision>2</cp:revision>
  <dcterms:created xsi:type="dcterms:W3CDTF">2026-03-05T10:13:00Z</dcterms:created>
  <dcterms:modified xsi:type="dcterms:W3CDTF">2026-03-05T14:19:00Z</dcterms:modified>
</cp:coreProperties>
</file>