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25" w:rsidRPr="00791A33" w:rsidRDefault="00BD2525" w:rsidP="00417984">
      <w:pPr>
        <w:bidi/>
        <w:spacing w:before="120" w:after="120" w:line="288" w:lineRule="auto"/>
        <w:jc w:val="center"/>
        <w:rPr>
          <w:rFonts w:ascii="Simplified Arabic" w:hAnsi="Simplified Arabic" w:cs="Simplified Arabic"/>
          <w:sz w:val="28"/>
          <w:szCs w:val="28"/>
          <w:rtl/>
        </w:rPr>
      </w:pPr>
      <w:bookmarkStart w:id="0" w:name="عصرنة_وتحديث_نظام_الموازنة_العموم_d609b0"/>
      <w:proofErr w:type="spellStart"/>
      <w:r w:rsidRPr="00791A33">
        <w:rPr>
          <w:rFonts w:ascii="Simplified Arabic" w:eastAsia="Georgia" w:hAnsi="Simplified Arabic" w:cs="Simplified Arabic"/>
          <w:b/>
          <w:bCs/>
          <w:sz w:val="28"/>
          <w:szCs w:val="28"/>
          <w:rtl/>
        </w:rPr>
        <w:t>عصرنة</w:t>
      </w:r>
      <w:proofErr w:type="spellEnd"/>
      <w:r w:rsidRPr="00791A33">
        <w:rPr>
          <w:rFonts w:ascii="Simplified Arabic" w:eastAsia="Georgia" w:hAnsi="Simplified Arabic" w:cs="Simplified Arabic"/>
          <w:b/>
          <w:bCs/>
          <w:sz w:val="28"/>
          <w:szCs w:val="28"/>
          <w:rtl/>
        </w:rPr>
        <w:t xml:space="preserve"> وتحديث نظام الموازنة العمومية في الجزائر</w:t>
      </w:r>
      <w:bookmarkEnd w:id="0"/>
    </w:p>
    <w:p w:rsidR="00BD2525" w:rsidRPr="00791A33" w:rsidRDefault="00BD2525" w:rsidP="00417984">
      <w:pPr>
        <w:bidi/>
        <w:spacing w:before="120" w:after="120"/>
        <w:jc w:val="both"/>
        <w:rPr>
          <w:rFonts w:ascii="Simplified Arabic" w:hAnsi="Simplified Arabic" w:cs="Simplified Arabic"/>
          <w:sz w:val="28"/>
          <w:szCs w:val="28"/>
          <w:rtl/>
        </w:rPr>
      </w:pPr>
      <w:r w:rsidRPr="00791A33">
        <w:rPr>
          <w:rFonts w:ascii="Simplified Arabic" w:eastAsia="Georgia" w:hAnsi="Simplified Arabic" w:cs="Simplified Arabic"/>
          <w:sz w:val="28"/>
          <w:szCs w:val="28"/>
          <w:rtl/>
        </w:rPr>
        <w:t xml:space="preserve">تُعتبر الموازنة العمومية أداة أساسية لإدارة الموارد المالية للدولة، وتعكس الأولويات الاقتصادية والاجتماعية للحكومة. في السياق الجزائري، شهد نظام الموازنة تطوراً ملحوظاً خاصة خلال العقد الأخير، حيث تبنت الجزائر مشاريع إصلاحية طموحة تستهدف </w:t>
      </w:r>
      <w:proofErr w:type="spellStart"/>
      <w:r w:rsidRPr="00791A33">
        <w:rPr>
          <w:rFonts w:ascii="Simplified Arabic" w:eastAsia="Georgia" w:hAnsi="Simplified Arabic" w:cs="Simplified Arabic"/>
          <w:sz w:val="28"/>
          <w:szCs w:val="28"/>
          <w:rtl/>
        </w:rPr>
        <w:t>عصرنة</w:t>
      </w:r>
      <w:proofErr w:type="spellEnd"/>
      <w:r w:rsidRPr="00791A33">
        <w:rPr>
          <w:rFonts w:ascii="Simplified Arabic" w:eastAsia="Georgia" w:hAnsi="Simplified Arabic" w:cs="Simplified Arabic"/>
          <w:sz w:val="28"/>
          <w:szCs w:val="28"/>
          <w:rtl/>
        </w:rPr>
        <w:t xml:space="preserve"> المالية العمومية ومواكبة أفضل الممارسات الدولية. تأتي هذه الإصلاحات في سياق التحديات الاقتصادية المتنامية وضرورة تحسين كفاءة استخدام الموارد العامة والتعاطي مع الضغوط المالية الهيكلية.</w:t>
      </w:r>
    </w:p>
    <w:p w:rsidR="00B27D67" w:rsidRPr="00791A33" w:rsidRDefault="00791A33" w:rsidP="00417984">
      <w:pPr>
        <w:bidi/>
        <w:spacing w:before="120" w:after="120" w:line="240" w:lineRule="auto"/>
        <w:jc w:val="both"/>
        <w:rPr>
          <w:rFonts w:ascii="Simplified Arabic" w:eastAsia="Times New Roman" w:hAnsi="Simplified Arabic" w:cs="Simplified Arabic"/>
          <w:sz w:val="28"/>
          <w:szCs w:val="28"/>
          <w:rtl/>
          <w:lang w:eastAsia="fr-FR"/>
        </w:rPr>
      </w:pPr>
      <w:r w:rsidRPr="00791A33">
        <w:rPr>
          <w:rFonts w:ascii="Simplified Arabic" w:eastAsia="Times New Roman" w:hAnsi="Simplified Arabic" w:cs="Simplified Arabic" w:hint="cs"/>
          <w:b/>
          <w:bCs/>
          <w:sz w:val="28"/>
          <w:szCs w:val="28"/>
          <w:rtl/>
          <w:lang w:eastAsia="fr-FR"/>
        </w:rPr>
        <w:t>أولا</w:t>
      </w:r>
      <w:r w:rsidR="00391B16" w:rsidRPr="00791A33">
        <w:rPr>
          <w:rFonts w:ascii="Simplified Arabic" w:eastAsia="Times New Roman" w:hAnsi="Simplified Arabic" w:cs="Simplified Arabic"/>
          <w:b/>
          <w:bCs/>
          <w:sz w:val="28"/>
          <w:szCs w:val="28"/>
          <w:rtl/>
          <w:lang w:eastAsia="fr-FR"/>
        </w:rPr>
        <w:t xml:space="preserve">: </w:t>
      </w:r>
      <w:r w:rsidR="00B27D67" w:rsidRPr="00B27D67">
        <w:rPr>
          <w:rFonts w:ascii="Simplified Arabic" w:eastAsia="Times New Roman" w:hAnsi="Simplified Arabic" w:cs="Simplified Arabic"/>
          <w:b/>
          <w:bCs/>
          <w:sz w:val="28"/>
          <w:szCs w:val="28"/>
          <w:rtl/>
          <w:lang w:eastAsia="fr-FR"/>
        </w:rPr>
        <w:t xml:space="preserve">دوافع </w:t>
      </w:r>
      <w:proofErr w:type="spellStart"/>
      <w:r w:rsidR="00B27D67" w:rsidRPr="00B27D67">
        <w:rPr>
          <w:rFonts w:ascii="Simplified Arabic" w:eastAsia="Times New Roman" w:hAnsi="Simplified Arabic" w:cs="Simplified Arabic"/>
          <w:b/>
          <w:bCs/>
          <w:sz w:val="28"/>
          <w:szCs w:val="28"/>
          <w:rtl/>
          <w:lang w:eastAsia="fr-FR"/>
        </w:rPr>
        <w:t>عصرنة</w:t>
      </w:r>
      <w:proofErr w:type="spellEnd"/>
      <w:r w:rsidR="00B27D67" w:rsidRPr="00B27D67">
        <w:rPr>
          <w:rFonts w:ascii="Simplified Arabic" w:eastAsia="Times New Roman" w:hAnsi="Simplified Arabic" w:cs="Simplified Arabic"/>
          <w:b/>
          <w:bCs/>
          <w:sz w:val="28"/>
          <w:szCs w:val="28"/>
          <w:rtl/>
          <w:lang w:eastAsia="fr-FR"/>
        </w:rPr>
        <w:t xml:space="preserve"> النظام </w:t>
      </w:r>
      <w:proofErr w:type="spellStart"/>
      <w:r w:rsidR="00B27D67" w:rsidRPr="00B27D67">
        <w:rPr>
          <w:rFonts w:ascii="Simplified Arabic" w:eastAsia="Times New Roman" w:hAnsi="Simplified Arabic" w:cs="Simplified Arabic"/>
          <w:b/>
          <w:bCs/>
          <w:sz w:val="28"/>
          <w:szCs w:val="28"/>
          <w:rtl/>
          <w:lang w:eastAsia="fr-FR"/>
        </w:rPr>
        <w:t>الميزانياتي</w:t>
      </w:r>
      <w:proofErr w:type="spellEnd"/>
      <w:r w:rsidR="00B27D67" w:rsidRPr="00B27D67">
        <w:rPr>
          <w:rFonts w:ascii="Simplified Arabic" w:eastAsia="Times New Roman" w:hAnsi="Simplified Arabic" w:cs="Simplified Arabic"/>
          <w:sz w:val="28"/>
          <w:szCs w:val="28"/>
          <w:rtl/>
          <w:lang w:eastAsia="fr-FR"/>
        </w:rPr>
        <w:t xml:space="preserve"> </w:t>
      </w:r>
      <w:r w:rsidR="00B27D67" w:rsidRPr="00791A33">
        <w:rPr>
          <w:rFonts w:ascii="Simplified Arabic" w:eastAsia="Times New Roman" w:hAnsi="Simplified Arabic" w:cs="Simplified Arabic"/>
          <w:sz w:val="28"/>
          <w:szCs w:val="28"/>
          <w:rtl/>
          <w:lang w:eastAsia="fr-FR"/>
        </w:rPr>
        <w:t>:</w:t>
      </w:r>
    </w:p>
    <w:p w:rsidR="00B27D67" w:rsidRPr="00B27D67" w:rsidRDefault="00B27D67" w:rsidP="00417984">
      <w:pPr>
        <w:bidi/>
        <w:spacing w:before="120" w:after="120" w:line="240" w:lineRule="auto"/>
        <w:jc w:val="both"/>
        <w:rPr>
          <w:rFonts w:ascii="Simplified Arabic" w:eastAsia="Times New Roman" w:hAnsi="Simplified Arabic" w:cs="Simplified Arabic"/>
          <w:sz w:val="28"/>
          <w:szCs w:val="28"/>
          <w:lang w:eastAsia="fr-FR"/>
        </w:rPr>
      </w:pPr>
      <w:r w:rsidRPr="00B27D67">
        <w:rPr>
          <w:rFonts w:ascii="Simplified Arabic" w:eastAsia="Times New Roman" w:hAnsi="Simplified Arabic" w:cs="Simplified Arabic"/>
          <w:sz w:val="28"/>
          <w:szCs w:val="28"/>
          <w:rtl/>
          <w:lang w:eastAsia="fr-FR"/>
        </w:rPr>
        <w:t xml:space="preserve">في الجزائر ترتبط بنقائص النظام التقليدي من جهة، وبالتحولات الاقتصادية والمالية </w:t>
      </w:r>
      <w:proofErr w:type="spellStart"/>
      <w:r w:rsidRPr="00B27D67">
        <w:rPr>
          <w:rFonts w:ascii="Simplified Arabic" w:eastAsia="Times New Roman" w:hAnsi="Simplified Arabic" w:cs="Simplified Arabic"/>
          <w:sz w:val="28"/>
          <w:szCs w:val="28"/>
          <w:rtl/>
          <w:lang w:eastAsia="fr-FR"/>
        </w:rPr>
        <w:t>والحوكميّة</w:t>
      </w:r>
      <w:proofErr w:type="spellEnd"/>
      <w:r w:rsidRPr="00B27D67">
        <w:rPr>
          <w:rFonts w:ascii="Simplified Arabic" w:eastAsia="Times New Roman" w:hAnsi="Simplified Arabic" w:cs="Simplified Arabic"/>
          <w:sz w:val="28"/>
          <w:szCs w:val="28"/>
          <w:rtl/>
          <w:lang w:eastAsia="fr-FR"/>
        </w:rPr>
        <w:t xml:space="preserve"> داخلياً وخارجياً من جهة أخرى، ما فرض الانتقال إلى ميزانية البرامج والأداء وفق القانون العضوي </w:t>
      </w:r>
      <w:r w:rsidRPr="00791A33">
        <w:rPr>
          <w:rFonts w:ascii="Simplified Arabic" w:eastAsia="Times New Roman" w:hAnsi="Simplified Arabic" w:cs="Simplified Arabic"/>
          <w:sz w:val="28"/>
          <w:szCs w:val="28"/>
          <w:rtl/>
          <w:lang w:eastAsia="fr-FR"/>
        </w:rPr>
        <w:t>.</w:t>
      </w:r>
    </w:p>
    <w:p w:rsidR="00B27D67" w:rsidRPr="00B27D67" w:rsidRDefault="00B27D67" w:rsidP="00417984">
      <w:pPr>
        <w:bidi/>
        <w:spacing w:before="120" w:after="120" w:line="240" w:lineRule="auto"/>
        <w:jc w:val="both"/>
        <w:outlineLvl w:val="1"/>
        <w:rPr>
          <w:rFonts w:ascii="Simplified Arabic" w:eastAsia="Times New Roman" w:hAnsi="Simplified Arabic" w:cs="Simplified Arabic"/>
          <w:b/>
          <w:bCs/>
          <w:sz w:val="28"/>
          <w:szCs w:val="28"/>
          <w:lang w:eastAsia="fr-FR"/>
        </w:rPr>
      </w:pPr>
      <w:r w:rsidRPr="00791A33">
        <w:rPr>
          <w:rFonts w:ascii="Simplified Arabic" w:eastAsia="Times New Roman" w:hAnsi="Simplified Arabic" w:cs="Simplified Arabic"/>
          <w:b/>
          <w:bCs/>
          <w:sz w:val="28"/>
          <w:szCs w:val="28"/>
          <w:rtl/>
          <w:lang w:eastAsia="fr-FR"/>
        </w:rPr>
        <w:t>1</w:t>
      </w:r>
      <w:r w:rsidRPr="00B27D67">
        <w:rPr>
          <w:rFonts w:ascii="Simplified Arabic" w:eastAsia="Times New Roman" w:hAnsi="Simplified Arabic" w:cs="Simplified Arabic"/>
          <w:b/>
          <w:bCs/>
          <w:sz w:val="28"/>
          <w:szCs w:val="28"/>
          <w:rtl/>
          <w:lang w:eastAsia="fr-FR"/>
        </w:rPr>
        <w:t xml:space="preserve">: </w:t>
      </w:r>
      <w:proofErr w:type="gramStart"/>
      <w:r w:rsidRPr="00B27D67">
        <w:rPr>
          <w:rFonts w:ascii="Simplified Arabic" w:eastAsia="Times New Roman" w:hAnsi="Simplified Arabic" w:cs="Simplified Arabic"/>
          <w:b/>
          <w:bCs/>
          <w:sz w:val="28"/>
          <w:szCs w:val="28"/>
          <w:rtl/>
          <w:lang w:eastAsia="fr-FR"/>
        </w:rPr>
        <w:t>نقائص</w:t>
      </w:r>
      <w:proofErr w:type="gramEnd"/>
      <w:r w:rsidRPr="00B27D67">
        <w:rPr>
          <w:rFonts w:ascii="Simplified Arabic" w:eastAsia="Times New Roman" w:hAnsi="Simplified Arabic" w:cs="Simplified Arabic"/>
          <w:b/>
          <w:bCs/>
          <w:sz w:val="28"/>
          <w:szCs w:val="28"/>
          <w:rtl/>
          <w:lang w:eastAsia="fr-FR"/>
        </w:rPr>
        <w:t xml:space="preserve"> النظام التقليدي</w:t>
      </w:r>
    </w:p>
    <w:p w:rsidR="00B27D67" w:rsidRPr="00B27D67" w:rsidRDefault="00B27D67" w:rsidP="00417984">
      <w:pPr>
        <w:numPr>
          <w:ilvl w:val="0"/>
          <w:numId w:val="1"/>
        </w:numPr>
        <w:bidi/>
        <w:spacing w:before="120" w:after="120" w:line="240" w:lineRule="auto"/>
        <w:jc w:val="both"/>
        <w:rPr>
          <w:rFonts w:ascii="Simplified Arabic" w:eastAsia="Times New Roman" w:hAnsi="Simplified Arabic" w:cs="Simplified Arabic"/>
          <w:sz w:val="28"/>
          <w:szCs w:val="28"/>
          <w:lang w:eastAsia="fr-FR"/>
        </w:rPr>
      </w:pPr>
      <w:r w:rsidRPr="00B27D67">
        <w:rPr>
          <w:rFonts w:ascii="Simplified Arabic" w:eastAsia="Times New Roman" w:hAnsi="Simplified Arabic" w:cs="Simplified Arabic"/>
          <w:sz w:val="28"/>
          <w:szCs w:val="28"/>
          <w:rtl/>
          <w:lang w:eastAsia="fr-FR"/>
        </w:rPr>
        <w:t xml:space="preserve">تركّز ميزانية البنود التقليدية على الوسائل (فصول وبنود) دون ربط حقيقي بالنّتائج، مما يؤدي إلى ضعف </w:t>
      </w:r>
      <w:proofErr w:type="spellStart"/>
      <w:r w:rsidRPr="00B27D67">
        <w:rPr>
          <w:rFonts w:ascii="Simplified Arabic" w:eastAsia="Times New Roman" w:hAnsi="Simplified Arabic" w:cs="Simplified Arabic"/>
          <w:sz w:val="28"/>
          <w:szCs w:val="28"/>
          <w:rtl/>
          <w:lang w:eastAsia="fr-FR"/>
        </w:rPr>
        <w:t>نجاعة</w:t>
      </w:r>
      <w:proofErr w:type="spellEnd"/>
      <w:r w:rsidRPr="00B27D67">
        <w:rPr>
          <w:rFonts w:ascii="Simplified Arabic" w:eastAsia="Times New Roman" w:hAnsi="Simplified Arabic" w:cs="Simplified Arabic"/>
          <w:sz w:val="28"/>
          <w:szCs w:val="28"/>
          <w:rtl/>
          <w:lang w:eastAsia="fr-FR"/>
        </w:rPr>
        <w:t xml:space="preserve"> الإنفاق وصعوبة تقييم </w:t>
      </w:r>
      <w:proofErr w:type="spellStart"/>
      <w:r w:rsidRPr="00B27D67">
        <w:rPr>
          <w:rFonts w:ascii="Simplified Arabic" w:eastAsia="Times New Roman" w:hAnsi="Simplified Arabic" w:cs="Simplified Arabic"/>
          <w:sz w:val="28"/>
          <w:szCs w:val="28"/>
          <w:rtl/>
          <w:lang w:eastAsia="fr-FR"/>
        </w:rPr>
        <w:t>مردودية</w:t>
      </w:r>
      <w:proofErr w:type="spellEnd"/>
      <w:r w:rsidRPr="00B27D67">
        <w:rPr>
          <w:rFonts w:ascii="Simplified Arabic" w:eastAsia="Times New Roman" w:hAnsi="Simplified Arabic" w:cs="Simplified Arabic"/>
          <w:sz w:val="28"/>
          <w:szCs w:val="28"/>
          <w:rtl/>
          <w:lang w:eastAsia="fr-FR"/>
        </w:rPr>
        <w:t xml:space="preserve"> البرامج العمومية</w:t>
      </w:r>
      <w:r w:rsidRPr="00B27D67">
        <w:rPr>
          <w:rFonts w:ascii="Simplified Arabic" w:eastAsia="Times New Roman" w:hAnsi="Simplified Arabic" w:cs="Simplified Arabic"/>
          <w:sz w:val="28"/>
          <w:szCs w:val="28"/>
          <w:lang w:eastAsia="fr-FR"/>
        </w:rPr>
        <w:t>.</w:t>
      </w:r>
    </w:p>
    <w:p w:rsidR="00B27D67" w:rsidRPr="00B27D67" w:rsidRDefault="00B27D67" w:rsidP="00417984">
      <w:pPr>
        <w:numPr>
          <w:ilvl w:val="0"/>
          <w:numId w:val="1"/>
        </w:numPr>
        <w:bidi/>
        <w:spacing w:before="120" w:after="120" w:line="240" w:lineRule="auto"/>
        <w:jc w:val="both"/>
        <w:rPr>
          <w:rFonts w:ascii="Simplified Arabic" w:eastAsia="Times New Roman" w:hAnsi="Simplified Arabic" w:cs="Simplified Arabic"/>
          <w:sz w:val="28"/>
          <w:szCs w:val="28"/>
          <w:lang w:eastAsia="fr-FR"/>
        </w:rPr>
      </w:pPr>
      <w:r w:rsidRPr="00B27D67">
        <w:rPr>
          <w:rFonts w:ascii="Simplified Arabic" w:eastAsia="Times New Roman" w:hAnsi="Simplified Arabic" w:cs="Simplified Arabic"/>
          <w:sz w:val="28"/>
          <w:szCs w:val="28"/>
          <w:rtl/>
          <w:lang w:eastAsia="fr-FR"/>
        </w:rPr>
        <w:t xml:space="preserve">وجود </w:t>
      </w:r>
      <w:proofErr w:type="spellStart"/>
      <w:r w:rsidRPr="00B27D67">
        <w:rPr>
          <w:rFonts w:ascii="Simplified Arabic" w:eastAsia="Times New Roman" w:hAnsi="Simplified Arabic" w:cs="Simplified Arabic"/>
          <w:sz w:val="28"/>
          <w:szCs w:val="28"/>
          <w:rtl/>
          <w:lang w:eastAsia="fr-FR"/>
        </w:rPr>
        <w:t>اختلالات</w:t>
      </w:r>
      <w:proofErr w:type="spellEnd"/>
      <w:r w:rsidRPr="00B27D67">
        <w:rPr>
          <w:rFonts w:ascii="Simplified Arabic" w:eastAsia="Times New Roman" w:hAnsi="Simplified Arabic" w:cs="Simplified Arabic"/>
          <w:sz w:val="28"/>
          <w:szCs w:val="28"/>
          <w:rtl/>
          <w:lang w:eastAsia="fr-FR"/>
        </w:rPr>
        <w:t xml:space="preserve"> في كفاءة وفعالية استخدام الموارد العامة، مع صعوبة تتبع التكلفة الحقيقية للسياسات والبرامج بسبب غياب مقاربة الأداء والمؤشرات الكمية الواضحة</w:t>
      </w:r>
      <w:r w:rsidRPr="00B27D67">
        <w:rPr>
          <w:rFonts w:ascii="Simplified Arabic" w:eastAsia="Times New Roman" w:hAnsi="Simplified Arabic" w:cs="Simplified Arabic"/>
          <w:sz w:val="28"/>
          <w:szCs w:val="28"/>
          <w:lang w:eastAsia="fr-FR"/>
        </w:rPr>
        <w:t>.</w:t>
      </w:r>
      <w:r w:rsidRPr="00791A33">
        <w:rPr>
          <w:rFonts w:ascii="Simplified Arabic" w:eastAsia="Times New Roman" w:hAnsi="Simplified Arabic" w:cs="Simplified Arabic"/>
          <w:sz w:val="28"/>
          <w:szCs w:val="28"/>
          <w:lang w:eastAsia="fr-FR"/>
        </w:rPr>
        <w:t xml:space="preserve"> </w:t>
      </w:r>
      <w:r w:rsidRPr="00B27D67">
        <w:rPr>
          <w:rFonts w:ascii="Times New Roman" w:eastAsia="Times New Roman" w:hAnsi="Times New Roman" w:cs="Simplified Arabic"/>
          <w:sz w:val="28"/>
          <w:szCs w:val="28"/>
          <w:lang w:eastAsia="fr-FR"/>
        </w:rPr>
        <w:t>​</w:t>
      </w:r>
    </w:p>
    <w:p w:rsidR="00B27D67" w:rsidRPr="00B27D67" w:rsidRDefault="00B27D67" w:rsidP="00417984">
      <w:pPr>
        <w:bidi/>
        <w:spacing w:before="120" w:after="120" w:line="240" w:lineRule="auto"/>
        <w:jc w:val="both"/>
        <w:outlineLvl w:val="1"/>
        <w:rPr>
          <w:rFonts w:ascii="Simplified Arabic" w:eastAsia="Times New Roman" w:hAnsi="Simplified Arabic" w:cs="Simplified Arabic"/>
          <w:b/>
          <w:bCs/>
          <w:sz w:val="28"/>
          <w:szCs w:val="28"/>
          <w:lang w:eastAsia="fr-FR"/>
        </w:rPr>
      </w:pPr>
      <w:r w:rsidRPr="00791A33">
        <w:rPr>
          <w:rFonts w:ascii="Simplified Arabic" w:eastAsia="Times New Roman" w:hAnsi="Simplified Arabic" w:cs="Simplified Arabic"/>
          <w:b/>
          <w:bCs/>
          <w:sz w:val="28"/>
          <w:szCs w:val="28"/>
          <w:rtl/>
          <w:lang w:eastAsia="fr-FR"/>
        </w:rPr>
        <w:t>2</w:t>
      </w:r>
      <w:r w:rsidRPr="00B27D67">
        <w:rPr>
          <w:rFonts w:ascii="Simplified Arabic" w:eastAsia="Times New Roman" w:hAnsi="Simplified Arabic" w:cs="Simplified Arabic"/>
          <w:b/>
          <w:bCs/>
          <w:sz w:val="28"/>
          <w:szCs w:val="28"/>
          <w:rtl/>
          <w:lang w:eastAsia="fr-FR"/>
        </w:rPr>
        <w:t>: متطلبات ترشيد الإنفاق العام</w:t>
      </w:r>
    </w:p>
    <w:p w:rsidR="00B27D67" w:rsidRPr="00B27D67" w:rsidRDefault="00B27D67" w:rsidP="00417984">
      <w:pPr>
        <w:numPr>
          <w:ilvl w:val="0"/>
          <w:numId w:val="2"/>
        </w:numPr>
        <w:bidi/>
        <w:spacing w:before="120" w:after="120" w:line="240" w:lineRule="auto"/>
        <w:jc w:val="both"/>
        <w:rPr>
          <w:rFonts w:ascii="Simplified Arabic" w:eastAsia="Times New Roman" w:hAnsi="Simplified Arabic" w:cs="Simplified Arabic"/>
          <w:sz w:val="28"/>
          <w:szCs w:val="28"/>
          <w:lang w:eastAsia="fr-FR"/>
        </w:rPr>
      </w:pPr>
      <w:r w:rsidRPr="00B27D67">
        <w:rPr>
          <w:rFonts w:ascii="Simplified Arabic" w:eastAsia="Times New Roman" w:hAnsi="Simplified Arabic" w:cs="Simplified Arabic"/>
          <w:sz w:val="28"/>
          <w:szCs w:val="28"/>
          <w:rtl/>
          <w:lang w:eastAsia="fr-FR"/>
        </w:rPr>
        <w:t>تنامي حجم الإنفاق العمومي وتعدد البرامج والمشاريع فرض البحث عن أدوات حديثة لضمان الاستخدام الأمثل للموارد وربط كل نفقة بهدف ونتيجة قابلة للقياس</w:t>
      </w:r>
      <w:r w:rsidRPr="00B27D67">
        <w:rPr>
          <w:rFonts w:ascii="Simplified Arabic" w:eastAsia="Times New Roman" w:hAnsi="Simplified Arabic" w:cs="Simplified Arabic"/>
          <w:sz w:val="28"/>
          <w:szCs w:val="28"/>
          <w:lang w:eastAsia="fr-FR"/>
        </w:rPr>
        <w:t>.</w:t>
      </w:r>
      <w:r w:rsidRPr="00791A33">
        <w:rPr>
          <w:rFonts w:ascii="Simplified Arabic" w:eastAsia="Times New Roman" w:hAnsi="Simplified Arabic" w:cs="Simplified Arabic"/>
          <w:sz w:val="28"/>
          <w:szCs w:val="28"/>
          <w:lang w:eastAsia="fr-FR"/>
        </w:rPr>
        <w:t xml:space="preserve"> </w:t>
      </w:r>
      <w:r w:rsidRPr="00B27D67">
        <w:rPr>
          <w:rFonts w:ascii="Times New Roman" w:eastAsia="Times New Roman" w:hAnsi="Times New Roman" w:cs="Simplified Arabic"/>
          <w:sz w:val="28"/>
          <w:szCs w:val="28"/>
          <w:lang w:eastAsia="fr-FR"/>
        </w:rPr>
        <w:t>​</w:t>
      </w:r>
    </w:p>
    <w:p w:rsidR="00B27D67" w:rsidRPr="00B27D67" w:rsidRDefault="00B27D67" w:rsidP="00417984">
      <w:pPr>
        <w:numPr>
          <w:ilvl w:val="0"/>
          <w:numId w:val="2"/>
        </w:numPr>
        <w:bidi/>
        <w:spacing w:before="120" w:after="120" w:line="240" w:lineRule="auto"/>
        <w:jc w:val="both"/>
        <w:rPr>
          <w:rFonts w:ascii="Simplified Arabic" w:eastAsia="Times New Roman" w:hAnsi="Simplified Arabic" w:cs="Simplified Arabic"/>
          <w:sz w:val="28"/>
          <w:szCs w:val="28"/>
          <w:lang w:eastAsia="fr-FR"/>
        </w:rPr>
      </w:pPr>
      <w:r w:rsidRPr="00B27D67">
        <w:rPr>
          <w:rFonts w:ascii="Simplified Arabic" w:eastAsia="Times New Roman" w:hAnsi="Simplified Arabic" w:cs="Simplified Arabic"/>
          <w:sz w:val="28"/>
          <w:szCs w:val="28"/>
          <w:rtl/>
          <w:lang w:eastAsia="fr-FR"/>
        </w:rPr>
        <w:t xml:space="preserve">إصلاح النظام </w:t>
      </w:r>
      <w:proofErr w:type="spellStart"/>
      <w:r w:rsidRPr="00B27D67">
        <w:rPr>
          <w:rFonts w:ascii="Simplified Arabic" w:eastAsia="Times New Roman" w:hAnsi="Simplified Arabic" w:cs="Simplified Arabic"/>
          <w:sz w:val="28"/>
          <w:szCs w:val="28"/>
          <w:rtl/>
          <w:lang w:eastAsia="fr-FR"/>
        </w:rPr>
        <w:t>الميزانياتي</w:t>
      </w:r>
      <w:proofErr w:type="spellEnd"/>
      <w:r w:rsidRPr="00B27D67">
        <w:rPr>
          <w:rFonts w:ascii="Simplified Arabic" w:eastAsia="Times New Roman" w:hAnsi="Simplified Arabic" w:cs="Simplified Arabic"/>
          <w:sz w:val="28"/>
          <w:szCs w:val="28"/>
          <w:rtl/>
          <w:lang w:eastAsia="fr-FR"/>
        </w:rPr>
        <w:t xml:space="preserve"> اعتُبر شرطاً أساسياً لتحقيق ترشيد حقيقي للإنفاق، وتقليص </w:t>
      </w:r>
      <w:proofErr w:type="spellStart"/>
      <w:r w:rsidRPr="00B27D67">
        <w:rPr>
          <w:rFonts w:ascii="Simplified Arabic" w:eastAsia="Times New Roman" w:hAnsi="Simplified Arabic" w:cs="Simplified Arabic"/>
          <w:sz w:val="28"/>
          <w:szCs w:val="28"/>
          <w:rtl/>
          <w:lang w:eastAsia="fr-FR"/>
        </w:rPr>
        <w:t>الهدر</w:t>
      </w:r>
      <w:proofErr w:type="spellEnd"/>
      <w:r w:rsidRPr="00B27D67">
        <w:rPr>
          <w:rFonts w:ascii="Simplified Arabic" w:eastAsia="Times New Roman" w:hAnsi="Simplified Arabic" w:cs="Simplified Arabic"/>
          <w:sz w:val="28"/>
          <w:szCs w:val="28"/>
          <w:rtl/>
          <w:lang w:eastAsia="fr-FR"/>
        </w:rPr>
        <w:t xml:space="preserve"> والتبذير، وتحسين توجيه </w:t>
      </w:r>
      <w:proofErr w:type="spellStart"/>
      <w:r w:rsidRPr="00B27D67">
        <w:rPr>
          <w:rFonts w:ascii="Simplified Arabic" w:eastAsia="Times New Roman" w:hAnsi="Simplified Arabic" w:cs="Simplified Arabic"/>
          <w:sz w:val="28"/>
          <w:szCs w:val="28"/>
          <w:rtl/>
          <w:lang w:eastAsia="fr-FR"/>
        </w:rPr>
        <w:t>الاعتمادات</w:t>
      </w:r>
      <w:proofErr w:type="spellEnd"/>
      <w:r w:rsidRPr="00B27D67">
        <w:rPr>
          <w:rFonts w:ascii="Simplified Arabic" w:eastAsia="Times New Roman" w:hAnsi="Simplified Arabic" w:cs="Simplified Arabic"/>
          <w:sz w:val="28"/>
          <w:szCs w:val="28"/>
          <w:rtl/>
          <w:lang w:eastAsia="fr-FR"/>
        </w:rPr>
        <w:t xml:space="preserve"> نحو الأولويات التنموية</w:t>
      </w:r>
      <w:r w:rsidRPr="00B27D67">
        <w:rPr>
          <w:rFonts w:ascii="Simplified Arabic" w:eastAsia="Times New Roman" w:hAnsi="Simplified Arabic" w:cs="Simplified Arabic"/>
          <w:sz w:val="28"/>
          <w:szCs w:val="28"/>
          <w:lang w:eastAsia="fr-FR"/>
        </w:rPr>
        <w:t>.</w:t>
      </w:r>
      <w:r w:rsidRPr="00791A33">
        <w:rPr>
          <w:rFonts w:ascii="Simplified Arabic" w:eastAsia="Times New Roman" w:hAnsi="Simplified Arabic" w:cs="Simplified Arabic"/>
          <w:sz w:val="28"/>
          <w:szCs w:val="28"/>
          <w:lang w:eastAsia="fr-FR"/>
        </w:rPr>
        <w:t xml:space="preserve"> </w:t>
      </w:r>
      <w:r w:rsidRPr="00B27D67">
        <w:rPr>
          <w:rFonts w:ascii="Times New Roman" w:eastAsia="Times New Roman" w:hAnsi="Times New Roman" w:cs="Simplified Arabic"/>
          <w:sz w:val="28"/>
          <w:szCs w:val="28"/>
          <w:lang w:eastAsia="fr-FR"/>
        </w:rPr>
        <w:t>​</w:t>
      </w:r>
    </w:p>
    <w:p w:rsidR="00B27D67" w:rsidRPr="00B27D67" w:rsidRDefault="00B27D67" w:rsidP="00417984">
      <w:pPr>
        <w:bidi/>
        <w:spacing w:before="120" w:after="120" w:line="240" w:lineRule="auto"/>
        <w:jc w:val="both"/>
        <w:outlineLvl w:val="1"/>
        <w:rPr>
          <w:rFonts w:ascii="Simplified Arabic" w:eastAsia="Times New Roman" w:hAnsi="Simplified Arabic" w:cs="Simplified Arabic"/>
          <w:b/>
          <w:bCs/>
          <w:sz w:val="28"/>
          <w:szCs w:val="28"/>
          <w:lang w:eastAsia="fr-FR"/>
        </w:rPr>
      </w:pPr>
      <w:r w:rsidRPr="00791A33">
        <w:rPr>
          <w:rFonts w:ascii="Simplified Arabic" w:eastAsia="Times New Roman" w:hAnsi="Simplified Arabic" w:cs="Simplified Arabic"/>
          <w:b/>
          <w:bCs/>
          <w:sz w:val="28"/>
          <w:szCs w:val="28"/>
          <w:rtl/>
          <w:lang w:eastAsia="fr-FR"/>
        </w:rPr>
        <w:t>3</w:t>
      </w:r>
      <w:r w:rsidRPr="00B27D67">
        <w:rPr>
          <w:rFonts w:ascii="Simplified Arabic" w:eastAsia="Times New Roman" w:hAnsi="Simplified Arabic" w:cs="Simplified Arabic"/>
          <w:b/>
          <w:bCs/>
          <w:sz w:val="28"/>
          <w:szCs w:val="28"/>
          <w:rtl/>
          <w:lang w:eastAsia="fr-FR"/>
        </w:rPr>
        <w:t xml:space="preserve">: </w:t>
      </w:r>
      <w:proofErr w:type="gramStart"/>
      <w:r w:rsidRPr="00B27D67">
        <w:rPr>
          <w:rFonts w:ascii="Simplified Arabic" w:eastAsia="Times New Roman" w:hAnsi="Simplified Arabic" w:cs="Simplified Arabic"/>
          <w:b/>
          <w:bCs/>
          <w:sz w:val="28"/>
          <w:szCs w:val="28"/>
          <w:rtl/>
          <w:lang w:eastAsia="fr-FR"/>
        </w:rPr>
        <w:t>مواكبة</w:t>
      </w:r>
      <w:proofErr w:type="gramEnd"/>
      <w:r w:rsidRPr="00B27D67">
        <w:rPr>
          <w:rFonts w:ascii="Simplified Arabic" w:eastAsia="Times New Roman" w:hAnsi="Simplified Arabic" w:cs="Simplified Arabic"/>
          <w:b/>
          <w:bCs/>
          <w:sz w:val="28"/>
          <w:szCs w:val="28"/>
          <w:rtl/>
          <w:lang w:eastAsia="fr-FR"/>
        </w:rPr>
        <w:t xml:space="preserve"> التطورات والمعايير الدولية</w:t>
      </w:r>
    </w:p>
    <w:p w:rsidR="00B27D67" w:rsidRPr="00B27D67" w:rsidRDefault="00B27D67" w:rsidP="00417984">
      <w:pPr>
        <w:numPr>
          <w:ilvl w:val="0"/>
          <w:numId w:val="3"/>
        </w:numPr>
        <w:bidi/>
        <w:spacing w:before="120" w:after="120" w:line="240" w:lineRule="auto"/>
        <w:jc w:val="both"/>
        <w:rPr>
          <w:rFonts w:ascii="Simplified Arabic" w:eastAsia="Times New Roman" w:hAnsi="Simplified Arabic" w:cs="Simplified Arabic"/>
          <w:sz w:val="28"/>
          <w:szCs w:val="28"/>
          <w:lang w:eastAsia="fr-FR"/>
        </w:rPr>
      </w:pPr>
      <w:r w:rsidRPr="00B27D67">
        <w:rPr>
          <w:rFonts w:ascii="Simplified Arabic" w:eastAsia="Times New Roman" w:hAnsi="Simplified Arabic" w:cs="Simplified Arabic"/>
          <w:sz w:val="28"/>
          <w:szCs w:val="28"/>
          <w:rtl/>
          <w:lang w:eastAsia="fr-FR"/>
        </w:rPr>
        <w:t>تطور المفاهيم الحديثة للموازنة (ميزانية البرامج والأداء، الإطار متوسط المدى، الحوكمة) وانتشارها عالمياً دفع الجزائر للحاق بالممارسات الدولية في إدارة المالية العامة</w:t>
      </w:r>
      <w:r w:rsidRPr="00791A33">
        <w:rPr>
          <w:rFonts w:ascii="Simplified Arabic" w:eastAsia="Times New Roman" w:hAnsi="Simplified Arabic" w:cs="Simplified Arabic"/>
          <w:sz w:val="28"/>
          <w:szCs w:val="28"/>
          <w:rtl/>
          <w:lang w:eastAsia="fr-FR"/>
        </w:rPr>
        <w:t>.</w:t>
      </w:r>
    </w:p>
    <w:p w:rsidR="00B27D67" w:rsidRDefault="00B27D67" w:rsidP="00417984">
      <w:pPr>
        <w:numPr>
          <w:ilvl w:val="0"/>
          <w:numId w:val="3"/>
        </w:numPr>
        <w:bidi/>
        <w:spacing w:before="120" w:after="120" w:line="240" w:lineRule="auto"/>
        <w:jc w:val="both"/>
        <w:rPr>
          <w:rFonts w:ascii="Simplified Arabic" w:eastAsia="Times New Roman" w:hAnsi="Simplified Arabic" w:cs="Simplified Arabic"/>
          <w:sz w:val="28"/>
          <w:szCs w:val="28"/>
          <w:lang w:eastAsia="fr-FR"/>
        </w:rPr>
      </w:pPr>
      <w:r w:rsidRPr="00B27D67">
        <w:rPr>
          <w:rFonts w:ascii="Simplified Arabic" w:eastAsia="Times New Roman" w:hAnsi="Simplified Arabic" w:cs="Simplified Arabic"/>
          <w:sz w:val="28"/>
          <w:szCs w:val="28"/>
          <w:rtl/>
          <w:lang w:eastAsia="fr-FR"/>
        </w:rPr>
        <w:t>التزامات الجزائر في محيط اقتصادي ومالي دولي متحوّل، وتوسع دور المنظمات المالية العالمية، فرضا تحديث الإطار القانوني والمؤسساتي للميزانية ليصبح أكثر انسجاماً مع هذه المعايير</w:t>
      </w:r>
      <w:r w:rsidRPr="00B27D67">
        <w:rPr>
          <w:rFonts w:ascii="Simplified Arabic" w:eastAsia="Times New Roman" w:hAnsi="Simplified Arabic" w:cs="Simplified Arabic"/>
          <w:sz w:val="28"/>
          <w:szCs w:val="28"/>
          <w:lang w:eastAsia="fr-FR"/>
        </w:rPr>
        <w:t>.</w:t>
      </w:r>
    </w:p>
    <w:p w:rsidR="003F7174" w:rsidRDefault="003F7174" w:rsidP="003F7174">
      <w:pPr>
        <w:bidi/>
        <w:spacing w:before="120" w:after="120" w:line="240" w:lineRule="auto"/>
        <w:jc w:val="both"/>
        <w:rPr>
          <w:rFonts w:ascii="Simplified Arabic" w:eastAsia="Times New Roman" w:hAnsi="Simplified Arabic" w:cs="Simplified Arabic"/>
          <w:sz w:val="28"/>
          <w:szCs w:val="28"/>
          <w:lang w:eastAsia="fr-FR"/>
        </w:rPr>
      </w:pPr>
    </w:p>
    <w:p w:rsidR="003F7174" w:rsidRPr="00B27D67" w:rsidRDefault="003F7174" w:rsidP="003F7174">
      <w:pPr>
        <w:bidi/>
        <w:spacing w:before="120" w:after="120" w:line="240" w:lineRule="auto"/>
        <w:jc w:val="both"/>
        <w:rPr>
          <w:rFonts w:ascii="Simplified Arabic" w:eastAsia="Times New Roman" w:hAnsi="Simplified Arabic" w:cs="Simplified Arabic"/>
          <w:sz w:val="28"/>
          <w:szCs w:val="28"/>
          <w:lang w:eastAsia="fr-FR"/>
        </w:rPr>
      </w:pPr>
    </w:p>
    <w:p w:rsidR="00B27D67" w:rsidRPr="00B27D67" w:rsidRDefault="00B27D67" w:rsidP="00417984">
      <w:pPr>
        <w:bidi/>
        <w:spacing w:before="120" w:after="120" w:line="240" w:lineRule="auto"/>
        <w:jc w:val="both"/>
        <w:outlineLvl w:val="1"/>
        <w:rPr>
          <w:rFonts w:ascii="Simplified Arabic" w:eastAsia="Times New Roman" w:hAnsi="Simplified Arabic" w:cs="Simplified Arabic"/>
          <w:b/>
          <w:bCs/>
          <w:sz w:val="28"/>
          <w:szCs w:val="28"/>
          <w:lang w:eastAsia="fr-FR"/>
        </w:rPr>
      </w:pPr>
      <w:r w:rsidRPr="00791A33">
        <w:rPr>
          <w:rFonts w:ascii="Simplified Arabic" w:eastAsia="Times New Roman" w:hAnsi="Simplified Arabic" w:cs="Simplified Arabic"/>
          <w:b/>
          <w:bCs/>
          <w:sz w:val="28"/>
          <w:szCs w:val="28"/>
          <w:rtl/>
          <w:lang w:eastAsia="fr-FR"/>
        </w:rPr>
        <w:lastRenderedPageBreak/>
        <w:t>4</w:t>
      </w:r>
      <w:r w:rsidRPr="00B27D67">
        <w:rPr>
          <w:rFonts w:ascii="Simplified Arabic" w:eastAsia="Times New Roman" w:hAnsi="Simplified Arabic" w:cs="Simplified Arabic"/>
          <w:b/>
          <w:bCs/>
          <w:sz w:val="28"/>
          <w:szCs w:val="28"/>
          <w:rtl/>
          <w:lang w:eastAsia="fr-FR"/>
        </w:rPr>
        <w:t xml:space="preserve">: </w:t>
      </w:r>
      <w:proofErr w:type="gramStart"/>
      <w:r w:rsidRPr="00B27D67">
        <w:rPr>
          <w:rFonts w:ascii="Simplified Arabic" w:eastAsia="Times New Roman" w:hAnsi="Simplified Arabic" w:cs="Simplified Arabic"/>
          <w:b/>
          <w:bCs/>
          <w:sz w:val="28"/>
          <w:szCs w:val="28"/>
          <w:rtl/>
          <w:lang w:eastAsia="fr-FR"/>
        </w:rPr>
        <w:t>متطلبات</w:t>
      </w:r>
      <w:proofErr w:type="gramEnd"/>
      <w:r w:rsidRPr="00B27D67">
        <w:rPr>
          <w:rFonts w:ascii="Simplified Arabic" w:eastAsia="Times New Roman" w:hAnsi="Simplified Arabic" w:cs="Simplified Arabic"/>
          <w:b/>
          <w:bCs/>
          <w:sz w:val="28"/>
          <w:szCs w:val="28"/>
          <w:rtl/>
          <w:lang w:eastAsia="fr-FR"/>
        </w:rPr>
        <w:t xml:space="preserve"> الإصلاح الدستوري والقانوني</w:t>
      </w:r>
    </w:p>
    <w:p w:rsidR="00B27D67" w:rsidRPr="00B27D67" w:rsidRDefault="00B27D67" w:rsidP="00417984">
      <w:pPr>
        <w:numPr>
          <w:ilvl w:val="0"/>
          <w:numId w:val="4"/>
        </w:numPr>
        <w:bidi/>
        <w:spacing w:before="120" w:after="120" w:line="240" w:lineRule="auto"/>
        <w:jc w:val="both"/>
        <w:rPr>
          <w:rFonts w:ascii="Simplified Arabic" w:eastAsia="Times New Roman" w:hAnsi="Simplified Arabic" w:cs="Simplified Arabic"/>
          <w:sz w:val="28"/>
          <w:szCs w:val="28"/>
          <w:lang w:eastAsia="fr-FR"/>
        </w:rPr>
      </w:pPr>
      <w:proofErr w:type="gramStart"/>
      <w:r w:rsidRPr="00B27D67">
        <w:rPr>
          <w:rFonts w:ascii="Simplified Arabic" w:eastAsia="Times New Roman" w:hAnsi="Simplified Arabic" w:cs="Simplified Arabic"/>
          <w:sz w:val="28"/>
          <w:szCs w:val="28"/>
          <w:rtl/>
          <w:lang w:eastAsia="fr-FR"/>
        </w:rPr>
        <w:t>دستور</w:t>
      </w:r>
      <w:proofErr w:type="gramEnd"/>
      <w:r w:rsidRPr="00B27D67">
        <w:rPr>
          <w:rFonts w:ascii="Simplified Arabic" w:eastAsia="Times New Roman" w:hAnsi="Simplified Arabic" w:cs="Simplified Arabic"/>
          <w:sz w:val="28"/>
          <w:szCs w:val="28"/>
          <w:rtl/>
          <w:lang w:eastAsia="fr-FR"/>
        </w:rPr>
        <w:t xml:space="preserve"> 2016 ثم دستور 2020 فرضا </w:t>
      </w:r>
      <w:proofErr w:type="spellStart"/>
      <w:r w:rsidRPr="00B27D67">
        <w:rPr>
          <w:rFonts w:ascii="Simplified Arabic" w:eastAsia="Times New Roman" w:hAnsi="Simplified Arabic" w:cs="Simplified Arabic"/>
          <w:sz w:val="28"/>
          <w:szCs w:val="28"/>
          <w:rtl/>
          <w:lang w:eastAsia="fr-FR"/>
        </w:rPr>
        <w:t>ملاءمة</w:t>
      </w:r>
      <w:proofErr w:type="spellEnd"/>
      <w:r w:rsidRPr="00B27D67">
        <w:rPr>
          <w:rFonts w:ascii="Simplified Arabic" w:eastAsia="Times New Roman" w:hAnsi="Simplified Arabic" w:cs="Simplified Arabic"/>
          <w:sz w:val="28"/>
          <w:szCs w:val="28"/>
          <w:rtl/>
          <w:lang w:eastAsia="fr-FR"/>
        </w:rPr>
        <w:t xml:space="preserve"> قانون المالية مع أحكام دستورية جديدة، وهو ما لم يعد يستوعبه القانون القديم 84</w:t>
      </w:r>
      <w:r w:rsidRPr="00B27D67">
        <w:rPr>
          <w:rFonts w:ascii="Simplified Arabic" w:eastAsia="Times New Roman" w:hAnsi="Simplified Arabic" w:cs="Simplified Arabic"/>
          <w:sz w:val="28"/>
          <w:szCs w:val="28"/>
          <w:rtl/>
          <w:lang w:eastAsia="fr-FR"/>
        </w:rPr>
        <w:noBreakHyphen/>
      </w:r>
      <w:r w:rsidRPr="00B27D67">
        <w:rPr>
          <w:rFonts w:ascii="Simplified Arabic" w:eastAsia="Times New Roman" w:hAnsi="Simplified Arabic" w:cs="Simplified Arabic"/>
          <w:sz w:val="28"/>
          <w:szCs w:val="28"/>
          <w:lang w:eastAsia="fr-FR"/>
        </w:rPr>
        <w:t>17</w:t>
      </w:r>
      <w:r w:rsidRPr="00B27D67">
        <w:rPr>
          <w:rFonts w:ascii="Simplified Arabic" w:eastAsia="Times New Roman" w:hAnsi="Simplified Arabic" w:cs="Simplified Arabic"/>
          <w:sz w:val="28"/>
          <w:szCs w:val="28"/>
          <w:rtl/>
          <w:lang w:eastAsia="fr-FR"/>
        </w:rPr>
        <w:t>، فكان تبنّي القانون العضوي 18</w:t>
      </w:r>
      <w:r w:rsidRPr="00B27D67">
        <w:rPr>
          <w:rFonts w:ascii="Simplified Arabic" w:eastAsia="Times New Roman" w:hAnsi="Simplified Arabic" w:cs="Simplified Arabic"/>
          <w:sz w:val="28"/>
          <w:szCs w:val="28"/>
          <w:rtl/>
          <w:lang w:eastAsia="fr-FR"/>
        </w:rPr>
        <w:noBreakHyphen/>
      </w:r>
      <w:r w:rsidRPr="00B27D67">
        <w:rPr>
          <w:rFonts w:ascii="Simplified Arabic" w:eastAsia="Times New Roman" w:hAnsi="Simplified Arabic" w:cs="Simplified Arabic"/>
          <w:sz w:val="28"/>
          <w:szCs w:val="28"/>
          <w:lang w:eastAsia="fr-FR"/>
        </w:rPr>
        <w:t xml:space="preserve">15 </w:t>
      </w:r>
      <w:r w:rsidRPr="00B27D67">
        <w:rPr>
          <w:rFonts w:ascii="Simplified Arabic" w:eastAsia="Times New Roman" w:hAnsi="Simplified Arabic" w:cs="Simplified Arabic"/>
          <w:sz w:val="28"/>
          <w:szCs w:val="28"/>
          <w:rtl/>
          <w:lang w:eastAsia="fr-FR"/>
        </w:rPr>
        <w:t>استجابة لهذه الضرورة</w:t>
      </w:r>
      <w:r w:rsidRPr="00791A33">
        <w:rPr>
          <w:rFonts w:ascii="Simplified Arabic" w:eastAsia="Times New Roman" w:hAnsi="Simplified Arabic" w:cs="Simplified Arabic"/>
          <w:sz w:val="28"/>
          <w:szCs w:val="28"/>
          <w:rtl/>
          <w:lang w:eastAsia="fr-FR"/>
        </w:rPr>
        <w:t>.</w:t>
      </w:r>
      <w:r w:rsidRPr="00B27D67">
        <w:rPr>
          <w:rFonts w:ascii="Times New Roman" w:eastAsia="Times New Roman" w:hAnsi="Times New Roman" w:cs="Simplified Arabic"/>
          <w:sz w:val="28"/>
          <w:szCs w:val="28"/>
          <w:lang w:eastAsia="fr-FR"/>
        </w:rPr>
        <w:t>​</w:t>
      </w:r>
    </w:p>
    <w:p w:rsidR="00B27D67" w:rsidRPr="00B27D67" w:rsidRDefault="00B27D67" w:rsidP="00417984">
      <w:pPr>
        <w:numPr>
          <w:ilvl w:val="0"/>
          <w:numId w:val="4"/>
        </w:numPr>
        <w:bidi/>
        <w:spacing w:before="120" w:after="120" w:line="240" w:lineRule="auto"/>
        <w:jc w:val="both"/>
        <w:rPr>
          <w:rFonts w:ascii="Simplified Arabic" w:eastAsia="Times New Roman" w:hAnsi="Simplified Arabic" w:cs="Simplified Arabic"/>
          <w:sz w:val="28"/>
          <w:szCs w:val="28"/>
          <w:lang w:eastAsia="fr-FR"/>
        </w:rPr>
      </w:pPr>
      <w:r w:rsidRPr="00B27D67">
        <w:rPr>
          <w:rFonts w:ascii="Simplified Arabic" w:eastAsia="Times New Roman" w:hAnsi="Simplified Arabic" w:cs="Simplified Arabic"/>
          <w:sz w:val="28"/>
          <w:szCs w:val="28"/>
          <w:rtl/>
          <w:lang w:eastAsia="fr-FR"/>
        </w:rPr>
        <w:t xml:space="preserve">هذا القانون جاء برؤية جديدة للمالية العامة تقوم على البرامج، </w:t>
      </w:r>
      <w:proofErr w:type="spellStart"/>
      <w:r w:rsidRPr="00B27D67">
        <w:rPr>
          <w:rFonts w:ascii="Simplified Arabic" w:eastAsia="Times New Roman" w:hAnsi="Simplified Arabic" w:cs="Simplified Arabic"/>
          <w:sz w:val="28"/>
          <w:szCs w:val="28"/>
          <w:rtl/>
          <w:lang w:eastAsia="fr-FR"/>
        </w:rPr>
        <w:t>الحكامة</w:t>
      </w:r>
      <w:proofErr w:type="spellEnd"/>
      <w:r w:rsidRPr="00B27D67">
        <w:rPr>
          <w:rFonts w:ascii="Simplified Arabic" w:eastAsia="Times New Roman" w:hAnsi="Simplified Arabic" w:cs="Simplified Arabic"/>
          <w:sz w:val="28"/>
          <w:szCs w:val="28"/>
          <w:rtl/>
          <w:lang w:eastAsia="fr-FR"/>
        </w:rPr>
        <w:t xml:space="preserve">، والرقابة الفعالة على المال العام، ما جعله الإطار القانوني </w:t>
      </w:r>
      <w:proofErr w:type="spellStart"/>
      <w:r w:rsidRPr="00B27D67">
        <w:rPr>
          <w:rFonts w:ascii="Simplified Arabic" w:eastAsia="Times New Roman" w:hAnsi="Simplified Arabic" w:cs="Simplified Arabic"/>
          <w:sz w:val="28"/>
          <w:szCs w:val="28"/>
          <w:rtl/>
          <w:lang w:eastAsia="fr-FR"/>
        </w:rPr>
        <w:t>لعصرنة</w:t>
      </w:r>
      <w:proofErr w:type="spellEnd"/>
      <w:r w:rsidRPr="00B27D67">
        <w:rPr>
          <w:rFonts w:ascii="Simplified Arabic" w:eastAsia="Times New Roman" w:hAnsi="Simplified Arabic" w:cs="Simplified Arabic"/>
          <w:sz w:val="28"/>
          <w:szCs w:val="28"/>
          <w:rtl/>
          <w:lang w:eastAsia="fr-FR"/>
        </w:rPr>
        <w:t xml:space="preserve"> النظام </w:t>
      </w:r>
      <w:proofErr w:type="spellStart"/>
      <w:r w:rsidRPr="00B27D67">
        <w:rPr>
          <w:rFonts w:ascii="Simplified Arabic" w:eastAsia="Times New Roman" w:hAnsi="Simplified Arabic" w:cs="Simplified Arabic"/>
          <w:sz w:val="28"/>
          <w:szCs w:val="28"/>
          <w:rtl/>
          <w:lang w:eastAsia="fr-FR"/>
        </w:rPr>
        <w:t>الميزانياتي</w:t>
      </w:r>
      <w:proofErr w:type="spellEnd"/>
      <w:r w:rsidRPr="00791A33">
        <w:rPr>
          <w:rFonts w:ascii="Simplified Arabic" w:eastAsia="Times New Roman" w:hAnsi="Simplified Arabic" w:cs="Simplified Arabic"/>
          <w:sz w:val="28"/>
          <w:szCs w:val="28"/>
          <w:rtl/>
          <w:lang w:eastAsia="fr-FR"/>
        </w:rPr>
        <w:t>.</w:t>
      </w:r>
    </w:p>
    <w:p w:rsidR="00B27D67" w:rsidRPr="00B27D67" w:rsidRDefault="00B27D67" w:rsidP="00417984">
      <w:pPr>
        <w:bidi/>
        <w:spacing w:before="120" w:after="120" w:line="240" w:lineRule="auto"/>
        <w:jc w:val="both"/>
        <w:outlineLvl w:val="1"/>
        <w:rPr>
          <w:rFonts w:ascii="Simplified Arabic" w:eastAsia="Times New Roman" w:hAnsi="Simplified Arabic" w:cs="Simplified Arabic"/>
          <w:b/>
          <w:bCs/>
          <w:sz w:val="28"/>
          <w:szCs w:val="28"/>
          <w:lang w:eastAsia="fr-FR"/>
        </w:rPr>
      </w:pPr>
      <w:r w:rsidRPr="00791A33">
        <w:rPr>
          <w:rFonts w:ascii="Simplified Arabic" w:eastAsia="Times New Roman" w:hAnsi="Simplified Arabic" w:cs="Simplified Arabic"/>
          <w:b/>
          <w:bCs/>
          <w:sz w:val="28"/>
          <w:szCs w:val="28"/>
          <w:rtl/>
          <w:lang w:eastAsia="fr-FR"/>
        </w:rPr>
        <w:t>5</w:t>
      </w:r>
      <w:r w:rsidRPr="00B27D67">
        <w:rPr>
          <w:rFonts w:ascii="Simplified Arabic" w:eastAsia="Times New Roman" w:hAnsi="Simplified Arabic" w:cs="Simplified Arabic"/>
          <w:b/>
          <w:bCs/>
          <w:sz w:val="28"/>
          <w:szCs w:val="28"/>
          <w:rtl/>
          <w:lang w:eastAsia="fr-FR"/>
        </w:rPr>
        <w:t xml:space="preserve">: تحسين الشفافية </w:t>
      </w:r>
      <w:proofErr w:type="spellStart"/>
      <w:r w:rsidRPr="00B27D67">
        <w:rPr>
          <w:rFonts w:ascii="Simplified Arabic" w:eastAsia="Times New Roman" w:hAnsi="Simplified Arabic" w:cs="Simplified Arabic"/>
          <w:b/>
          <w:bCs/>
          <w:sz w:val="28"/>
          <w:szCs w:val="28"/>
          <w:rtl/>
          <w:lang w:eastAsia="fr-FR"/>
        </w:rPr>
        <w:t>والحوكمة</w:t>
      </w:r>
      <w:proofErr w:type="spellEnd"/>
      <w:r w:rsidRPr="00B27D67">
        <w:rPr>
          <w:rFonts w:ascii="Simplified Arabic" w:eastAsia="Times New Roman" w:hAnsi="Simplified Arabic" w:cs="Simplified Arabic"/>
          <w:b/>
          <w:bCs/>
          <w:sz w:val="28"/>
          <w:szCs w:val="28"/>
          <w:rtl/>
          <w:lang w:eastAsia="fr-FR"/>
        </w:rPr>
        <w:t xml:space="preserve"> والثقة</w:t>
      </w:r>
    </w:p>
    <w:p w:rsidR="00B27D67" w:rsidRPr="00B27D67" w:rsidRDefault="00B27D67" w:rsidP="00417984">
      <w:pPr>
        <w:numPr>
          <w:ilvl w:val="0"/>
          <w:numId w:val="5"/>
        </w:numPr>
        <w:bidi/>
        <w:spacing w:before="120" w:after="120" w:line="240" w:lineRule="auto"/>
        <w:jc w:val="both"/>
        <w:rPr>
          <w:rFonts w:ascii="Simplified Arabic" w:eastAsia="Times New Roman" w:hAnsi="Simplified Arabic" w:cs="Simplified Arabic"/>
          <w:sz w:val="28"/>
          <w:szCs w:val="28"/>
          <w:lang w:eastAsia="fr-FR"/>
        </w:rPr>
      </w:pPr>
      <w:proofErr w:type="gramStart"/>
      <w:r w:rsidRPr="00B27D67">
        <w:rPr>
          <w:rFonts w:ascii="Simplified Arabic" w:eastAsia="Times New Roman" w:hAnsi="Simplified Arabic" w:cs="Simplified Arabic"/>
          <w:sz w:val="28"/>
          <w:szCs w:val="28"/>
          <w:rtl/>
          <w:lang w:eastAsia="fr-FR"/>
        </w:rPr>
        <w:t>الحاجة</w:t>
      </w:r>
      <w:proofErr w:type="gramEnd"/>
      <w:r w:rsidRPr="00B27D67">
        <w:rPr>
          <w:rFonts w:ascii="Simplified Arabic" w:eastAsia="Times New Roman" w:hAnsi="Simplified Arabic" w:cs="Simplified Arabic"/>
          <w:sz w:val="28"/>
          <w:szCs w:val="28"/>
          <w:rtl/>
          <w:lang w:eastAsia="fr-FR"/>
        </w:rPr>
        <w:t xml:space="preserve"> إلى تعزيز شفافية المعلومات المالية، وتمكين البرلمان وأجهزة الرقابة والرأي العام من متابعة كيفية استخدام المال العام، كانت من أهم دوافع الإصلاح</w:t>
      </w:r>
      <w:r w:rsidRPr="00B27D67">
        <w:rPr>
          <w:rFonts w:ascii="Simplified Arabic" w:eastAsia="Times New Roman" w:hAnsi="Simplified Arabic" w:cs="Simplified Arabic"/>
          <w:sz w:val="28"/>
          <w:szCs w:val="28"/>
          <w:lang w:eastAsia="fr-FR"/>
        </w:rPr>
        <w:t>.</w:t>
      </w:r>
    </w:p>
    <w:p w:rsidR="00B27D67" w:rsidRPr="00B27D67" w:rsidRDefault="00B27D67" w:rsidP="00417984">
      <w:pPr>
        <w:numPr>
          <w:ilvl w:val="0"/>
          <w:numId w:val="5"/>
        </w:numPr>
        <w:bidi/>
        <w:spacing w:before="120" w:after="120" w:line="240" w:lineRule="auto"/>
        <w:jc w:val="both"/>
        <w:rPr>
          <w:rFonts w:ascii="Simplified Arabic" w:eastAsia="Times New Roman" w:hAnsi="Simplified Arabic" w:cs="Simplified Arabic"/>
          <w:sz w:val="28"/>
          <w:szCs w:val="28"/>
          <w:lang w:eastAsia="fr-FR"/>
        </w:rPr>
      </w:pPr>
      <w:r w:rsidRPr="00B27D67">
        <w:rPr>
          <w:rFonts w:ascii="Simplified Arabic" w:eastAsia="Times New Roman" w:hAnsi="Simplified Arabic" w:cs="Simplified Arabic"/>
          <w:sz w:val="28"/>
          <w:szCs w:val="28"/>
          <w:rtl/>
          <w:lang w:eastAsia="fr-FR"/>
        </w:rPr>
        <w:t xml:space="preserve">تجسيد مبادئ </w:t>
      </w:r>
      <w:proofErr w:type="spellStart"/>
      <w:r w:rsidRPr="00B27D67">
        <w:rPr>
          <w:rFonts w:ascii="Simplified Arabic" w:eastAsia="Times New Roman" w:hAnsi="Simplified Arabic" w:cs="Simplified Arabic"/>
          <w:sz w:val="28"/>
          <w:szCs w:val="28"/>
          <w:rtl/>
          <w:lang w:eastAsia="fr-FR"/>
        </w:rPr>
        <w:t>الحكامة</w:t>
      </w:r>
      <w:proofErr w:type="spellEnd"/>
      <w:r w:rsidRPr="00B27D67">
        <w:rPr>
          <w:rFonts w:ascii="Simplified Arabic" w:eastAsia="Times New Roman" w:hAnsi="Simplified Arabic" w:cs="Simplified Arabic"/>
          <w:sz w:val="28"/>
          <w:szCs w:val="28"/>
          <w:rtl/>
          <w:lang w:eastAsia="fr-FR"/>
        </w:rPr>
        <w:t xml:space="preserve"> (المساءلة، النزاهة، المشاركة) وحماية المال العام عبر آليات رقابة أقوى، اعتُبر أيضاً سبباً رئيسياً لدفع مشروع </w:t>
      </w:r>
      <w:proofErr w:type="spellStart"/>
      <w:r w:rsidRPr="00B27D67">
        <w:rPr>
          <w:rFonts w:ascii="Simplified Arabic" w:eastAsia="Times New Roman" w:hAnsi="Simplified Arabic" w:cs="Simplified Arabic"/>
          <w:sz w:val="28"/>
          <w:szCs w:val="28"/>
          <w:rtl/>
          <w:lang w:eastAsia="fr-FR"/>
        </w:rPr>
        <w:t>العصرنة</w:t>
      </w:r>
      <w:proofErr w:type="spellEnd"/>
      <w:r w:rsidRPr="00B27D67">
        <w:rPr>
          <w:rFonts w:ascii="Simplified Arabic" w:eastAsia="Times New Roman" w:hAnsi="Simplified Arabic" w:cs="Simplified Arabic"/>
          <w:sz w:val="28"/>
          <w:szCs w:val="28"/>
          <w:lang w:eastAsia="fr-FR"/>
        </w:rPr>
        <w:t>.</w:t>
      </w:r>
      <w:r w:rsidRPr="00791A33">
        <w:rPr>
          <w:rFonts w:ascii="Simplified Arabic" w:eastAsia="Times New Roman" w:hAnsi="Simplified Arabic" w:cs="Simplified Arabic"/>
          <w:sz w:val="28"/>
          <w:szCs w:val="28"/>
          <w:lang w:eastAsia="fr-FR"/>
        </w:rPr>
        <w:t xml:space="preserve"> </w:t>
      </w:r>
      <w:r w:rsidRPr="00B27D67">
        <w:rPr>
          <w:rFonts w:ascii="Times New Roman" w:eastAsia="Times New Roman" w:hAnsi="Times New Roman" w:cs="Simplified Arabic"/>
          <w:sz w:val="28"/>
          <w:szCs w:val="28"/>
          <w:lang w:eastAsia="fr-FR"/>
        </w:rPr>
        <w:t>​</w:t>
      </w:r>
    </w:p>
    <w:p w:rsidR="00B27D67" w:rsidRPr="00B27D67" w:rsidRDefault="00B27D67" w:rsidP="00417984">
      <w:pPr>
        <w:bidi/>
        <w:spacing w:before="120" w:after="120" w:line="240" w:lineRule="auto"/>
        <w:jc w:val="both"/>
        <w:outlineLvl w:val="1"/>
        <w:rPr>
          <w:rFonts w:ascii="Simplified Arabic" w:eastAsia="Times New Roman" w:hAnsi="Simplified Arabic" w:cs="Simplified Arabic"/>
          <w:b/>
          <w:bCs/>
          <w:sz w:val="28"/>
          <w:szCs w:val="28"/>
          <w:lang w:eastAsia="fr-FR"/>
        </w:rPr>
      </w:pPr>
      <w:r w:rsidRPr="00791A33">
        <w:rPr>
          <w:rFonts w:ascii="Simplified Arabic" w:eastAsia="Times New Roman" w:hAnsi="Simplified Arabic" w:cs="Simplified Arabic"/>
          <w:b/>
          <w:bCs/>
          <w:sz w:val="28"/>
          <w:szCs w:val="28"/>
          <w:rtl/>
          <w:lang w:eastAsia="fr-FR"/>
        </w:rPr>
        <w:t>6</w:t>
      </w:r>
      <w:r w:rsidRPr="00B27D67">
        <w:rPr>
          <w:rFonts w:ascii="Simplified Arabic" w:eastAsia="Times New Roman" w:hAnsi="Simplified Arabic" w:cs="Simplified Arabic"/>
          <w:b/>
          <w:bCs/>
          <w:sz w:val="28"/>
          <w:szCs w:val="28"/>
          <w:rtl/>
          <w:lang w:eastAsia="fr-FR"/>
        </w:rPr>
        <w:t>: دعم التنمية ومناخ الأعمال</w:t>
      </w:r>
    </w:p>
    <w:p w:rsidR="00B27D67" w:rsidRPr="00B27D67" w:rsidRDefault="00B27D67" w:rsidP="00417984">
      <w:pPr>
        <w:numPr>
          <w:ilvl w:val="0"/>
          <w:numId w:val="6"/>
        </w:numPr>
        <w:bidi/>
        <w:spacing w:before="120" w:after="120" w:line="240" w:lineRule="auto"/>
        <w:jc w:val="both"/>
        <w:rPr>
          <w:rFonts w:ascii="Simplified Arabic" w:eastAsia="Times New Roman" w:hAnsi="Simplified Arabic" w:cs="Simplified Arabic"/>
          <w:sz w:val="28"/>
          <w:szCs w:val="28"/>
          <w:lang w:eastAsia="fr-FR"/>
        </w:rPr>
      </w:pPr>
      <w:r w:rsidRPr="00B27D67">
        <w:rPr>
          <w:rFonts w:ascii="Simplified Arabic" w:eastAsia="Times New Roman" w:hAnsi="Simplified Arabic" w:cs="Simplified Arabic"/>
          <w:sz w:val="28"/>
          <w:szCs w:val="28"/>
          <w:rtl/>
          <w:lang w:eastAsia="fr-FR"/>
        </w:rPr>
        <w:t xml:space="preserve">تحديث النظام </w:t>
      </w:r>
      <w:proofErr w:type="spellStart"/>
      <w:r w:rsidRPr="00B27D67">
        <w:rPr>
          <w:rFonts w:ascii="Simplified Arabic" w:eastAsia="Times New Roman" w:hAnsi="Simplified Arabic" w:cs="Simplified Arabic"/>
          <w:sz w:val="28"/>
          <w:szCs w:val="28"/>
          <w:rtl/>
          <w:lang w:eastAsia="fr-FR"/>
        </w:rPr>
        <w:t>الميزانياتي</w:t>
      </w:r>
      <w:proofErr w:type="spellEnd"/>
      <w:r w:rsidRPr="00B27D67">
        <w:rPr>
          <w:rFonts w:ascii="Simplified Arabic" w:eastAsia="Times New Roman" w:hAnsi="Simplified Arabic" w:cs="Simplified Arabic"/>
          <w:sz w:val="28"/>
          <w:szCs w:val="28"/>
          <w:rtl/>
          <w:lang w:eastAsia="fr-FR"/>
        </w:rPr>
        <w:t xml:space="preserve"> يهدف إلى توفير بيئة مالية مستقرة وواضحة، تسهّل التخطيط المالي متوسط المدى وتدعم تحقيق الأهداف الاقتصادية والاجتماعية للدولة</w:t>
      </w:r>
      <w:r w:rsidRPr="00B27D67">
        <w:rPr>
          <w:rFonts w:ascii="Simplified Arabic" w:eastAsia="Times New Roman" w:hAnsi="Simplified Arabic" w:cs="Simplified Arabic"/>
          <w:sz w:val="28"/>
          <w:szCs w:val="28"/>
          <w:lang w:eastAsia="fr-FR"/>
        </w:rPr>
        <w:t>.</w:t>
      </w:r>
      <w:r w:rsidRPr="00791A33">
        <w:rPr>
          <w:rFonts w:ascii="Simplified Arabic" w:eastAsia="Times New Roman" w:hAnsi="Simplified Arabic" w:cs="Simplified Arabic"/>
          <w:sz w:val="28"/>
          <w:szCs w:val="28"/>
          <w:lang w:eastAsia="fr-FR"/>
        </w:rPr>
        <w:t xml:space="preserve"> </w:t>
      </w:r>
      <w:r w:rsidRPr="00B27D67">
        <w:rPr>
          <w:rFonts w:ascii="Times New Roman" w:eastAsia="Times New Roman" w:hAnsi="Times New Roman" w:cs="Simplified Arabic"/>
          <w:sz w:val="28"/>
          <w:szCs w:val="28"/>
          <w:lang w:eastAsia="fr-FR"/>
        </w:rPr>
        <w:t>​</w:t>
      </w:r>
    </w:p>
    <w:p w:rsidR="00B27D67" w:rsidRPr="00791A33" w:rsidRDefault="00B27D67" w:rsidP="00417984">
      <w:pPr>
        <w:numPr>
          <w:ilvl w:val="0"/>
          <w:numId w:val="6"/>
        </w:numPr>
        <w:bidi/>
        <w:spacing w:before="120" w:after="120" w:line="240" w:lineRule="auto"/>
        <w:jc w:val="both"/>
        <w:rPr>
          <w:rFonts w:ascii="Simplified Arabic" w:eastAsia="Times New Roman" w:hAnsi="Simplified Arabic" w:cs="Simplified Arabic"/>
          <w:sz w:val="28"/>
          <w:szCs w:val="28"/>
          <w:lang w:eastAsia="fr-FR"/>
        </w:rPr>
      </w:pPr>
      <w:proofErr w:type="gramStart"/>
      <w:r w:rsidRPr="00B27D67">
        <w:rPr>
          <w:rFonts w:ascii="Simplified Arabic" w:eastAsia="Times New Roman" w:hAnsi="Simplified Arabic" w:cs="Simplified Arabic"/>
          <w:sz w:val="28"/>
          <w:szCs w:val="28"/>
          <w:rtl/>
          <w:lang w:eastAsia="fr-FR"/>
        </w:rPr>
        <w:t>نظام</w:t>
      </w:r>
      <w:proofErr w:type="gramEnd"/>
      <w:r w:rsidRPr="00B27D67">
        <w:rPr>
          <w:rFonts w:ascii="Simplified Arabic" w:eastAsia="Times New Roman" w:hAnsi="Simplified Arabic" w:cs="Simplified Arabic"/>
          <w:sz w:val="28"/>
          <w:szCs w:val="28"/>
          <w:rtl/>
          <w:lang w:eastAsia="fr-FR"/>
        </w:rPr>
        <w:t xml:space="preserve"> ميزاني حديث وشفاف يساعد على تحسين مناخ الأعمال وجذب الاستثمار، من خلال زيادة وضوح السياسات المالية وتقليل المخاطر المرتبطة بعدم اليقين في تسيير المال العام</w:t>
      </w:r>
      <w:r w:rsidRPr="00B27D67">
        <w:rPr>
          <w:rFonts w:ascii="Simplified Arabic" w:eastAsia="Times New Roman" w:hAnsi="Simplified Arabic" w:cs="Simplified Arabic"/>
          <w:sz w:val="28"/>
          <w:szCs w:val="28"/>
          <w:lang w:eastAsia="fr-FR"/>
        </w:rPr>
        <w:t>.</w:t>
      </w:r>
    </w:p>
    <w:p w:rsidR="00391B16" w:rsidRPr="00791A33" w:rsidRDefault="00391B16" w:rsidP="00417984">
      <w:pPr>
        <w:shd w:val="clear" w:color="auto" w:fill="FFFFFF"/>
        <w:bidi/>
        <w:spacing w:before="120" w:after="120" w:line="240" w:lineRule="auto"/>
        <w:jc w:val="both"/>
        <w:rPr>
          <w:rFonts w:ascii="Simplified Arabic" w:eastAsia="Times New Roman" w:hAnsi="Simplified Arabic" w:cs="Simplified Arabic"/>
          <w:b/>
          <w:bCs/>
          <w:sz w:val="28"/>
          <w:szCs w:val="28"/>
          <w:rtl/>
          <w:lang w:eastAsia="fr-FR"/>
        </w:rPr>
      </w:pPr>
      <w:r w:rsidRPr="00791A33">
        <w:rPr>
          <w:rFonts w:ascii="Simplified Arabic" w:eastAsia="Times New Roman" w:hAnsi="Simplified Arabic" w:cs="Simplified Arabic"/>
          <w:b/>
          <w:bCs/>
          <w:sz w:val="28"/>
          <w:szCs w:val="28"/>
          <w:rtl/>
          <w:lang w:eastAsia="fr-FR"/>
        </w:rPr>
        <w:t xml:space="preserve">ثانيا: أهداف </w:t>
      </w:r>
      <w:r w:rsidRPr="00391B16">
        <w:rPr>
          <w:rFonts w:ascii="Simplified Arabic" w:eastAsia="Times New Roman" w:hAnsi="Simplified Arabic" w:cs="Simplified Arabic"/>
          <w:b/>
          <w:bCs/>
          <w:sz w:val="28"/>
          <w:szCs w:val="28"/>
          <w:rtl/>
          <w:lang w:eastAsia="fr-FR"/>
        </w:rPr>
        <w:t xml:space="preserve">مشروع </w:t>
      </w:r>
      <w:proofErr w:type="spellStart"/>
      <w:r w:rsidRPr="00391B16">
        <w:rPr>
          <w:rFonts w:ascii="Simplified Arabic" w:eastAsia="Times New Roman" w:hAnsi="Simplified Arabic" w:cs="Simplified Arabic"/>
          <w:b/>
          <w:bCs/>
          <w:sz w:val="28"/>
          <w:szCs w:val="28"/>
          <w:rtl/>
          <w:lang w:eastAsia="fr-FR"/>
        </w:rPr>
        <w:t>عصرنة</w:t>
      </w:r>
      <w:proofErr w:type="spellEnd"/>
      <w:r w:rsidRPr="00391B16">
        <w:rPr>
          <w:rFonts w:ascii="Simplified Arabic" w:eastAsia="Times New Roman" w:hAnsi="Simplified Arabic" w:cs="Simplified Arabic"/>
          <w:b/>
          <w:bCs/>
          <w:sz w:val="28"/>
          <w:szCs w:val="28"/>
          <w:rtl/>
          <w:lang w:eastAsia="fr-FR"/>
        </w:rPr>
        <w:t xml:space="preserve"> النظام </w:t>
      </w:r>
      <w:proofErr w:type="spellStart"/>
      <w:r w:rsidRPr="00391B16">
        <w:rPr>
          <w:rFonts w:ascii="Simplified Arabic" w:eastAsia="Times New Roman" w:hAnsi="Simplified Arabic" w:cs="Simplified Arabic"/>
          <w:b/>
          <w:bCs/>
          <w:sz w:val="28"/>
          <w:szCs w:val="28"/>
          <w:rtl/>
          <w:lang w:eastAsia="fr-FR"/>
        </w:rPr>
        <w:t>الميزانياتي</w:t>
      </w:r>
      <w:proofErr w:type="spellEnd"/>
      <w:r w:rsidRPr="00391B16">
        <w:rPr>
          <w:rFonts w:ascii="Simplified Arabic" w:eastAsia="Times New Roman" w:hAnsi="Simplified Arabic" w:cs="Simplified Arabic"/>
          <w:b/>
          <w:bCs/>
          <w:sz w:val="28"/>
          <w:szCs w:val="28"/>
          <w:rtl/>
          <w:lang w:eastAsia="fr-FR"/>
        </w:rPr>
        <w:t xml:space="preserve"> في الجزائر</w:t>
      </w:r>
      <w:r w:rsidRPr="00791A33">
        <w:rPr>
          <w:rFonts w:ascii="Simplified Arabic" w:eastAsia="Times New Roman" w:hAnsi="Simplified Arabic" w:cs="Simplified Arabic"/>
          <w:b/>
          <w:bCs/>
          <w:sz w:val="28"/>
          <w:szCs w:val="28"/>
          <w:rtl/>
          <w:lang w:eastAsia="fr-FR"/>
        </w:rPr>
        <w:t>:</w:t>
      </w:r>
    </w:p>
    <w:p w:rsidR="00391B16" w:rsidRPr="00391B16" w:rsidRDefault="00391B16" w:rsidP="00417984">
      <w:pPr>
        <w:shd w:val="clear" w:color="auto" w:fill="FFFFFF"/>
        <w:bidi/>
        <w:spacing w:before="120" w:after="120" w:line="240" w:lineRule="auto"/>
        <w:jc w:val="both"/>
        <w:rPr>
          <w:rFonts w:ascii="Simplified Arabic" w:eastAsia="Times New Roman" w:hAnsi="Simplified Arabic" w:cs="Simplified Arabic"/>
          <w:sz w:val="28"/>
          <w:szCs w:val="28"/>
          <w:lang w:eastAsia="fr-FR"/>
        </w:rPr>
      </w:pPr>
      <w:r w:rsidRPr="00391B16">
        <w:rPr>
          <w:rFonts w:ascii="Simplified Arabic" w:eastAsia="Times New Roman" w:hAnsi="Simplified Arabic" w:cs="Simplified Arabic"/>
          <w:sz w:val="28"/>
          <w:szCs w:val="28"/>
          <w:rtl/>
          <w:lang w:eastAsia="fr-FR"/>
        </w:rPr>
        <w:t xml:space="preserve">يُعد مشروع </w:t>
      </w:r>
      <w:proofErr w:type="spellStart"/>
      <w:r w:rsidRPr="00391B16">
        <w:rPr>
          <w:rFonts w:ascii="Simplified Arabic" w:eastAsia="Times New Roman" w:hAnsi="Simplified Arabic" w:cs="Simplified Arabic"/>
          <w:sz w:val="28"/>
          <w:szCs w:val="28"/>
          <w:rtl/>
          <w:lang w:eastAsia="fr-FR"/>
        </w:rPr>
        <w:t>عصرنة</w:t>
      </w:r>
      <w:proofErr w:type="spellEnd"/>
      <w:r w:rsidRPr="00391B16">
        <w:rPr>
          <w:rFonts w:ascii="Simplified Arabic" w:eastAsia="Times New Roman" w:hAnsi="Simplified Arabic" w:cs="Simplified Arabic"/>
          <w:sz w:val="28"/>
          <w:szCs w:val="28"/>
          <w:rtl/>
          <w:lang w:eastAsia="fr-FR"/>
        </w:rPr>
        <w:t xml:space="preserve"> النظام </w:t>
      </w:r>
      <w:proofErr w:type="spellStart"/>
      <w:r w:rsidRPr="00391B16">
        <w:rPr>
          <w:rFonts w:ascii="Simplified Arabic" w:eastAsia="Times New Roman" w:hAnsi="Simplified Arabic" w:cs="Simplified Arabic"/>
          <w:sz w:val="28"/>
          <w:szCs w:val="28"/>
          <w:rtl/>
          <w:lang w:eastAsia="fr-FR"/>
        </w:rPr>
        <w:t>الميزانياتي</w:t>
      </w:r>
      <w:proofErr w:type="spellEnd"/>
      <w:r w:rsidRPr="00391B16">
        <w:rPr>
          <w:rFonts w:ascii="Simplified Arabic" w:eastAsia="Times New Roman" w:hAnsi="Simplified Arabic" w:cs="Simplified Arabic"/>
          <w:sz w:val="28"/>
          <w:szCs w:val="28"/>
          <w:rtl/>
          <w:lang w:eastAsia="fr-FR"/>
        </w:rPr>
        <w:t xml:space="preserve"> في الجزائر من أهم الإصلاحات التي تبنتها الدولة في السنوات الأخيرة، حيث يهدف إلى تحقيق كفاءة أكبر في إدارة المال العام وترشيد الإنفاق وتحسين الأداء الحكومي.</w:t>
      </w:r>
    </w:p>
    <w:p w:rsidR="00391B16" w:rsidRPr="00791A33" w:rsidRDefault="00391B16" w:rsidP="00417984">
      <w:pPr>
        <w:pStyle w:val="Paragraphedeliste"/>
        <w:numPr>
          <w:ilvl w:val="0"/>
          <w:numId w:val="8"/>
        </w:num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r w:rsidRPr="00791A33">
        <w:rPr>
          <w:rFonts w:ascii="Simplified Arabic" w:eastAsia="Times New Roman" w:hAnsi="Simplified Arabic" w:cs="Simplified Arabic"/>
          <w:b/>
          <w:bCs/>
          <w:sz w:val="28"/>
          <w:szCs w:val="28"/>
          <w:rtl/>
          <w:lang w:eastAsia="fr-FR"/>
        </w:rPr>
        <w:t>الانتقال من الميزانية التقليدية إلى ميزانية البرامج والأداء:</w:t>
      </w:r>
    </w:p>
    <w:p w:rsidR="00391B16" w:rsidRPr="00391B16" w:rsidRDefault="00391B16" w:rsidP="00417984">
      <w:pPr>
        <w:numPr>
          <w:ilvl w:val="1"/>
          <w:numId w:val="8"/>
        </w:num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proofErr w:type="gramStart"/>
      <w:r w:rsidRPr="00791A33">
        <w:rPr>
          <w:rFonts w:ascii="Simplified Arabic" w:eastAsia="Times New Roman" w:hAnsi="Simplified Arabic" w:cs="Simplified Arabic"/>
          <w:b/>
          <w:bCs/>
          <w:sz w:val="28"/>
          <w:szCs w:val="28"/>
          <w:rtl/>
          <w:lang w:eastAsia="fr-FR"/>
        </w:rPr>
        <w:t>التركيز</w:t>
      </w:r>
      <w:proofErr w:type="gramEnd"/>
      <w:r w:rsidRPr="00791A33">
        <w:rPr>
          <w:rFonts w:ascii="Simplified Arabic" w:eastAsia="Times New Roman" w:hAnsi="Simplified Arabic" w:cs="Simplified Arabic"/>
          <w:b/>
          <w:bCs/>
          <w:sz w:val="28"/>
          <w:szCs w:val="28"/>
          <w:rtl/>
          <w:lang w:eastAsia="fr-FR"/>
        </w:rPr>
        <w:t xml:space="preserve"> على النتائج:</w:t>
      </w:r>
      <w:r w:rsidRPr="00391B16">
        <w:rPr>
          <w:rFonts w:ascii="Simplified Arabic" w:eastAsia="Times New Roman" w:hAnsi="Simplified Arabic" w:cs="Simplified Arabic"/>
          <w:sz w:val="28"/>
          <w:szCs w:val="28"/>
          <w:rtl/>
          <w:lang w:eastAsia="fr-FR"/>
        </w:rPr>
        <w:t> بدلًا من التركيز على الوسائل، يتم التركيز على تحقيق الأهداف والنتائج المرجوة من خلال البرامج والمشاريع الحكومية.</w:t>
      </w:r>
    </w:p>
    <w:p w:rsidR="00391B16" w:rsidRPr="00391B16" w:rsidRDefault="00391B16" w:rsidP="00417984">
      <w:pPr>
        <w:numPr>
          <w:ilvl w:val="1"/>
          <w:numId w:val="8"/>
        </w:num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r w:rsidRPr="00791A33">
        <w:rPr>
          <w:rFonts w:ascii="Simplified Arabic" w:eastAsia="Times New Roman" w:hAnsi="Simplified Arabic" w:cs="Simplified Arabic"/>
          <w:b/>
          <w:bCs/>
          <w:sz w:val="28"/>
          <w:szCs w:val="28"/>
          <w:rtl/>
          <w:lang w:eastAsia="fr-FR"/>
        </w:rPr>
        <w:t>ربط الموارد بالأهداف:</w:t>
      </w:r>
      <w:r w:rsidRPr="00391B16">
        <w:rPr>
          <w:rFonts w:ascii="Simplified Arabic" w:eastAsia="Times New Roman" w:hAnsi="Simplified Arabic" w:cs="Simplified Arabic"/>
          <w:sz w:val="28"/>
          <w:szCs w:val="28"/>
          <w:rtl/>
          <w:lang w:eastAsia="fr-FR"/>
        </w:rPr>
        <w:t xml:space="preserve"> يتم تخصيص الموارد المالية للبرامج والمشاريع التي </w:t>
      </w:r>
      <w:proofErr w:type="gramStart"/>
      <w:r w:rsidRPr="00391B16">
        <w:rPr>
          <w:rFonts w:ascii="Simplified Arabic" w:eastAsia="Times New Roman" w:hAnsi="Simplified Arabic" w:cs="Simplified Arabic"/>
          <w:sz w:val="28"/>
          <w:szCs w:val="28"/>
          <w:rtl/>
          <w:lang w:eastAsia="fr-FR"/>
        </w:rPr>
        <w:t>تحقق</w:t>
      </w:r>
      <w:proofErr w:type="gramEnd"/>
      <w:r w:rsidRPr="00391B16">
        <w:rPr>
          <w:rFonts w:ascii="Simplified Arabic" w:eastAsia="Times New Roman" w:hAnsi="Simplified Arabic" w:cs="Simplified Arabic"/>
          <w:sz w:val="28"/>
          <w:szCs w:val="28"/>
          <w:rtl/>
          <w:lang w:eastAsia="fr-FR"/>
        </w:rPr>
        <w:t xml:space="preserve"> أهدافًا محددة وقابلة للقياس.</w:t>
      </w:r>
    </w:p>
    <w:p w:rsidR="00391B16" w:rsidRDefault="00391B16" w:rsidP="00417984">
      <w:pPr>
        <w:numPr>
          <w:ilvl w:val="1"/>
          <w:numId w:val="8"/>
        </w:numPr>
        <w:shd w:val="clear" w:color="auto" w:fill="FFFFFF"/>
        <w:bidi/>
        <w:spacing w:before="120" w:after="120" w:line="240" w:lineRule="auto"/>
        <w:jc w:val="both"/>
        <w:rPr>
          <w:rFonts w:ascii="Simplified Arabic" w:eastAsia="Times New Roman" w:hAnsi="Simplified Arabic" w:cs="Simplified Arabic"/>
          <w:sz w:val="28"/>
          <w:szCs w:val="28"/>
          <w:lang w:eastAsia="fr-FR"/>
        </w:rPr>
      </w:pPr>
      <w:r w:rsidRPr="00791A33">
        <w:rPr>
          <w:rFonts w:ascii="Simplified Arabic" w:eastAsia="Times New Roman" w:hAnsi="Simplified Arabic" w:cs="Simplified Arabic"/>
          <w:b/>
          <w:bCs/>
          <w:sz w:val="28"/>
          <w:szCs w:val="28"/>
          <w:rtl/>
          <w:lang w:eastAsia="fr-FR"/>
        </w:rPr>
        <w:t>تحسين المساءلة:</w:t>
      </w:r>
      <w:r w:rsidRPr="00391B16">
        <w:rPr>
          <w:rFonts w:ascii="Simplified Arabic" w:eastAsia="Times New Roman" w:hAnsi="Simplified Arabic" w:cs="Simplified Arabic"/>
          <w:sz w:val="28"/>
          <w:szCs w:val="28"/>
          <w:rtl/>
          <w:lang w:eastAsia="fr-FR"/>
        </w:rPr>
        <w:t xml:space="preserve"> يتم مساءلة </w:t>
      </w:r>
      <w:proofErr w:type="spellStart"/>
      <w:r w:rsidRPr="00391B16">
        <w:rPr>
          <w:rFonts w:ascii="Simplified Arabic" w:eastAsia="Times New Roman" w:hAnsi="Simplified Arabic" w:cs="Simplified Arabic"/>
          <w:sz w:val="28"/>
          <w:szCs w:val="28"/>
          <w:rtl/>
          <w:lang w:eastAsia="fr-FR"/>
        </w:rPr>
        <w:t>المسؤولين</w:t>
      </w:r>
      <w:proofErr w:type="spellEnd"/>
      <w:r w:rsidRPr="00391B16">
        <w:rPr>
          <w:rFonts w:ascii="Simplified Arabic" w:eastAsia="Times New Roman" w:hAnsi="Simplified Arabic" w:cs="Simplified Arabic"/>
          <w:sz w:val="28"/>
          <w:szCs w:val="28"/>
          <w:rtl/>
          <w:lang w:eastAsia="fr-FR"/>
        </w:rPr>
        <w:t xml:space="preserve"> عن تحقيق النتائج المرجوة من البرامج والمشاريع التي يشرفون عليها.</w:t>
      </w:r>
    </w:p>
    <w:p w:rsidR="003F7174" w:rsidRDefault="003F7174" w:rsidP="003F7174">
      <w:pPr>
        <w:shd w:val="clear" w:color="auto" w:fill="FFFFFF"/>
        <w:bidi/>
        <w:spacing w:before="120" w:after="120" w:line="240" w:lineRule="auto"/>
        <w:jc w:val="both"/>
        <w:rPr>
          <w:rFonts w:ascii="Simplified Arabic" w:eastAsia="Times New Roman" w:hAnsi="Simplified Arabic" w:cs="Simplified Arabic"/>
          <w:sz w:val="28"/>
          <w:szCs w:val="28"/>
          <w:lang w:eastAsia="fr-FR"/>
        </w:rPr>
      </w:pPr>
    </w:p>
    <w:p w:rsidR="003F7174" w:rsidRPr="00391B16" w:rsidRDefault="003F7174" w:rsidP="003F7174">
      <w:p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p>
    <w:p w:rsidR="00391B16" w:rsidRPr="00391B16" w:rsidRDefault="00391B16" w:rsidP="00417984">
      <w:pPr>
        <w:numPr>
          <w:ilvl w:val="0"/>
          <w:numId w:val="8"/>
        </w:num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proofErr w:type="gramStart"/>
      <w:r w:rsidRPr="00791A33">
        <w:rPr>
          <w:rFonts w:ascii="Simplified Arabic" w:eastAsia="Times New Roman" w:hAnsi="Simplified Arabic" w:cs="Simplified Arabic"/>
          <w:b/>
          <w:bCs/>
          <w:sz w:val="28"/>
          <w:szCs w:val="28"/>
          <w:rtl/>
          <w:lang w:eastAsia="fr-FR"/>
        </w:rPr>
        <w:lastRenderedPageBreak/>
        <w:t>تعزيز</w:t>
      </w:r>
      <w:proofErr w:type="gramEnd"/>
      <w:r w:rsidRPr="00791A33">
        <w:rPr>
          <w:rFonts w:ascii="Simplified Arabic" w:eastAsia="Times New Roman" w:hAnsi="Simplified Arabic" w:cs="Simplified Arabic"/>
          <w:b/>
          <w:bCs/>
          <w:sz w:val="28"/>
          <w:szCs w:val="28"/>
          <w:rtl/>
          <w:lang w:eastAsia="fr-FR"/>
        </w:rPr>
        <w:t xml:space="preserve"> الشفافية والإفصاح:</w:t>
      </w:r>
    </w:p>
    <w:p w:rsidR="00391B16" w:rsidRPr="00391B16" w:rsidRDefault="00391B16" w:rsidP="00417984">
      <w:pPr>
        <w:numPr>
          <w:ilvl w:val="1"/>
          <w:numId w:val="8"/>
        </w:num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r w:rsidRPr="00791A33">
        <w:rPr>
          <w:rFonts w:ascii="Simplified Arabic" w:eastAsia="Times New Roman" w:hAnsi="Simplified Arabic" w:cs="Simplified Arabic"/>
          <w:b/>
          <w:bCs/>
          <w:sz w:val="28"/>
          <w:szCs w:val="28"/>
          <w:rtl/>
          <w:lang w:eastAsia="fr-FR"/>
        </w:rPr>
        <w:t>نشر المعلومات:</w:t>
      </w:r>
      <w:r w:rsidRPr="00391B16">
        <w:rPr>
          <w:rFonts w:ascii="Simplified Arabic" w:eastAsia="Times New Roman" w:hAnsi="Simplified Arabic" w:cs="Simplified Arabic"/>
          <w:sz w:val="28"/>
          <w:szCs w:val="28"/>
          <w:rtl/>
          <w:lang w:eastAsia="fr-FR"/>
        </w:rPr>
        <w:t> توفير معلومات كافية وواضحة عن الميزانية للجمهور، بما في ذلك أهدافها ومكوناتها وكيفية إنفاق الأموال العامة.</w:t>
      </w:r>
    </w:p>
    <w:p w:rsidR="006855DF" w:rsidRPr="00391B16" w:rsidRDefault="00391B16" w:rsidP="00246216">
      <w:pPr>
        <w:numPr>
          <w:ilvl w:val="1"/>
          <w:numId w:val="8"/>
        </w:num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proofErr w:type="gramStart"/>
      <w:r w:rsidRPr="00791A33">
        <w:rPr>
          <w:rFonts w:ascii="Simplified Arabic" w:eastAsia="Times New Roman" w:hAnsi="Simplified Arabic" w:cs="Simplified Arabic"/>
          <w:b/>
          <w:bCs/>
          <w:sz w:val="28"/>
          <w:szCs w:val="28"/>
          <w:rtl/>
          <w:lang w:eastAsia="fr-FR"/>
        </w:rPr>
        <w:t>إشراك</w:t>
      </w:r>
      <w:proofErr w:type="gramEnd"/>
      <w:r w:rsidRPr="00791A33">
        <w:rPr>
          <w:rFonts w:ascii="Simplified Arabic" w:eastAsia="Times New Roman" w:hAnsi="Simplified Arabic" w:cs="Simplified Arabic"/>
          <w:b/>
          <w:bCs/>
          <w:sz w:val="28"/>
          <w:szCs w:val="28"/>
          <w:rtl/>
          <w:lang w:eastAsia="fr-FR"/>
        </w:rPr>
        <w:t xml:space="preserve"> المواطنين:</w:t>
      </w:r>
      <w:r w:rsidRPr="00391B16">
        <w:rPr>
          <w:rFonts w:ascii="Simplified Arabic" w:eastAsia="Times New Roman" w:hAnsi="Simplified Arabic" w:cs="Simplified Arabic"/>
          <w:sz w:val="28"/>
          <w:szCs w:val="28"/>
          <w:rtl/>
          <w:lang w:eastAsia="fr-FR"/>
        </w:rPr>
        <w:t> إشراك المواطنين في عملية صنع القرار المتعلقة بالميزانية من خلال آليات مختلفة مثل الاستشارات العامة.</w:t>
      </w:r>
    </w:p>
    <w:p w:rsidR="00391B16" w:rsidRPr="00391B16" w:rsidRDefault="00391B16" w:rsidP="00417984">
      <w:pPr>
        <w:numPr>
          <w:ilvl w:val="0"/>
          <w:numId w:val="8"/>
        </w:num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proofErr w:type="gramStart"/>
      <w:r w:rsidRPr="00791A33">
        <w:rPr>
          <w:rFonts w:ascii="Simplified Arabic" w:eastAsia="Times New Roman" w:hAnsi="Simplified Arabic" w:cs="Simplified Arabic"/>
          <w:b/>
          <w:bCs/>
          <w:sz w:val="28"/>
          <w:szCs w:val="28"/>
          <w:rtl/>
          <w:lang w:eastAsia="fr-FR"/>
        </w:rPr>
        <w:t>ترشيد</w:t>
      </w:r>
      <w:proofErr w:type="gramEnd"/>
      <w:r w:rsidRPr="00791A33">
        <w:rPr>
          <w:rFonts w:ascii="Simplified Arabic" w:eastAsia="Times New Roman" w:hAnsi="Simplified Arabic" w:cs="Simplified Arabic"/>
          <w:b/>
          <w:bCs/>
          <w:sz w:val="28"/>
          <w:szCs w:val="28"/>
          <w:rtl/>
          <w:lang w:eastAsia="fr-FR"/>
        </w:rPr>
        <w:t xml:space="preserve"> الإنفاق العام:</w:t>
      </w:r>
    </w:p>
    <w:p w:rsidR="00391B16" w:rsidRPr="00391B16" w:rsidRDefault="00391B16" w:rsidP="00417984">
      <w:pPr>
        <w:numPr>
          <w:ilvl w:val="1"/>
          <w:numId w:val="8"/>
        </w:num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proofErr w:type="gramStart"/>
      <w:r w:rsidRPr="00791A33">
        <w:rPr>
          <w:rFonts w:ascii="Simplified Arabic" w:eastAsia="Times New Roman" w:hAnsi="Simplified Arabic" w:cs="Simplified Arabic"/>
          <w:b/>
          <w:bCs/>
          <w:sz w:val="28"/>
          <w:szCs w:val="28"/>
          <w:rtl/>
          <w:lang w:eastAsia="fr-FR"/>
        </w:rPr>
        <w:t>مكافحة</w:t>
      </w:r>
      <w:proofErr w:type="gramEnd"/>
      <w:r w:rsidRPr="00791A33">
        <w:rPr>
          <w:rFonts w:ascii="Simplified Arabic" w:eastAsia="Times New Roman" w:hAnsi="Simplified Arabic" w:cs="Simplified Arabic"/>
          <w:b/>
          <w:bCs/>
          <w:sz w:val="28"/>
          <w:szCs w:val="28"/>
          <w:rtl/>
          <w:lang w:eastAsia="fr-FR"/>
        </w:rPr>
        <w:t xml:space="preserve"> التبذير:</w:t>
      </w:r>
      <w:r w:rsidRPr="00391B16">
        <w:rPr>
          <w:rFonts w:ascii="Simplified Arabic" w:eastAsia="Times New Roman" w:hAnsi="Simplified Arabic" w:cs="Simplified Arabic"/>
          <w:sz w:val="28"/>
          <w:szCs w:val="28"/>
          <w:rtl/>
          <w:lang w:eastAsia="fr-FR"/>
        </w:rPr>
        <w:t> تحديد أوجه التبذير في الإنفاق العام والعمل على تقليلها.</w:t>
      </w:r>
    </w:p>
    <w:p w:rsidR="00391B16" w:rsidRPr="00391B16" w:rsidRDefault="00391B16" w:rsidP="00417984">
      <w:pPr>
        <w:numPr>
          <w:ilvl w:val="1"/>
          <w:numId w:val="8"/>
        </w:num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r w:rsidRPr="00791A33">
        <w:rPr>
          <w:rFonts w:ascii="Simplified Arabic" w:eastAsia="Times New Roman" w:hAnsi="Simplified Arabic" w:cs="Simplified Arabic"/>
          <w:b/>
          <w:bCs/>
          <w:sz w:val="28"/>
          <w:szCs w:val="28"/>
          <w:rtl/>
          <w:lang w:eastAsia="fr-FR"/>
        </w:rPr>
        <w:t>تحسين كفاءة الإنفاق:</w:t>
      </w:r>
      <w:r w:rsidRPr="00391B16">
        <w:rPr>
          <w:rFonts w:ascii="Simplified Arabic" w:eastAsia="Times New Roman" w:hAnsi="Simplified Arabic" w:cs="Simplified Arabic"/>
          <w:sz w:val="28"/>
          <w:szCs w:val="28"/>
          <w:rtl/>
          <w:lang w:eastAsia="fr-FR"/>
        </w:rPr>
        <w:t> تخصيص الموارد المالية للبرامج والمشاريع الأكثر فعالية وكفاءة.</w:t>
      </w:r>
    </w:p>
    <w:p w:rsidR="00391B16" w:rsidRPr="00391B16" w:rsidRDefault="00391B16" w:rsidP="00417984">
      <w:pPr>
        <w:numPr>
          <w:ilvl w:val="0"/>
          <w:numId w:val="8"/>
        </w:num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proofErr w:type="gramStart"/>
      <w:r w:rsidRPr="00791A33">
        <w:rPr>
          <w:rFonts w:ascii="Simplified Arabic" w:eastAsia="Times New Roman" w:hAnsi="Simplified Arabic" w:cs="Simplified Arabic"/>
          <w:b/>
          <w:bCs/>
          <w:sz w:val="28"/>
          <w:szCs w:val="28"/>
          <w:rtl/>
          <w:lang w:eastAsia="fr-FR"/>
        </w:rPr>
        <w:t>تطوير</w:t>
      </w:r>
      <w:proofErr w:type="gramEnd"/>
      <w:r w:rsidRPr="00791A33">
        <w:rPr>
          <w:rFonts w:ascii="Simplified Arabic" w:eastAsia="Times New Roman" w:hAnsi="Simplified Arabic" w:cs="Simplified Arabic"/>
          <w:b/>
          <w:bCs/>
          <w:sz w:val="28"/>
          <w:szCs w:val="28"/>
          <w:rtl/>
          <w:lang w:eastAsia="fr-FR"/>
        </w:rPr>
        <w:t xml:space="preserve"> القدرات المؤسسية:</w:t>
      </w:r>
    </w:p>
    <w:p w:rsidR="00391B16" w:rsidRPr="00391B16" w:rsidRDefault="00391B16" w:rsidP="00417984">
      <w:pPr>
        <w:numPr>
          <w:ilvl w:val="1"/>
          <w:numId w:val="8"/>
        </w:num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r w:rsidRPr="00791A33">
        <w:rPr>
          <w:rFonts w:ascii="Simplified Arabic" w:eastAsia="Times New Roman" w:hAnsi="Simplified Arabic" w:cs="Simplified Arabic"/>
          <w:b/>
          <w:bCs/>
          <w:sz w:val="28"/>
          <w:szCs w:val="28"/>
          <w:rtl/>
          <w:lang w:eastAsia="fr-FR"/>
        </w:rPr>
        <w:t>تحديث الأنظمة:</w:t>
      </w:r>
      <w:r w:rsidRPr="00391B16">
        <w:rPr>
          <w:rFonts w:ascii="Simplified Arabic" w:eastAsia="Times New Roman" w:hAnsi="Simplified Arabic" w:cs="Simplified Arabic"/>
          <w:sz w:val="28"/>
          <w:szCs w:val="28"/>
          <w:rtl/>
          <w:lang w:eastAsia="fr-FR"/>
        </w:rPr>
        <w:t> تحديث الأنظمة والإجراءات المتبعة في إعداد وتنفيذ الميزانية.</w:t>
      </w:r>
    </w:p>
    <w:p w:rsidR="00391B16" w:rsidRPr="00391B16" w:rsidRDefault="00391B16" w:rsidP="00417984">
      <w:pPr>
        <w:numPr>
          <w:ilvl w:val="1"/>
          <w:numId w:val="8"/>
        </w:num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r w:rsidRPr="00791A33">
        <w:rPr>
          <w:rFonts w:ascii="Simplified Arabic" w:eastAsia="Times New Roman" w:hAnsi="Simplified Arabic" w:cs="Simplified Arabic"/>
          <w:b/>
          <w:bCs/>
          <w:sz w:val="28"/>
          <w:szCs w:val="28"/>
          <w:rtl/>
          <w:lang w:eastAsia="fr-FR"/>
        </w:rPr>
        <w:t>تدريب الموظفين:</w:t>
      </w:r>
      <w:r w:rsidRPr="00391B16">
        <w:rPr>
          <w:rFonts w:ascii="Simplified Arabic" w:eastAsia="Times New Roman" w:hAnsi="Simplified Arabic" w:cs="Simplified Arabic"/>
          <w:sz w:val="28"/>
          <w:szCs w:val="28"/>
          <w:rtl/>
          <w:lang w:eastAsia="fr-FR"/>
        </w:rPr>
        <w:t xml:space="preserve"> تدريب الموظفين على أحدث أساليب الإدارة المالية </w:t>
      </w:r>
      <w:proofErr w:type="spellStart"/>
      <w:r w:rsidRPr="00391B16">
        <w:rPr>
          <w:rFonts w:ascii="Simplified Arabic" w:eastAsia="Times New Roman" w:hAnsi="Simplified Arabic" w:cs="Simplified Arabic"/>
          <w:sz w:val="28"/>
          <w:szCs w:val="28"/>
          <w:rtl/>
          <w:lang w:eastAsia="fr-FR"/>
        </w:rPr>
        <w:t>والميزانياتية</w:t>
      </w:r>
      <w:proofErr w:type="spellEnd"/>
      <w:r w:rsidRPr="00391B16">
        <w:rPr>
          <w:rFonts w:ascii="Simplified Arabic" w:eastAsia="Times New Roman" w:hAnsi="Simplified Arabic" w:cs="Simplified Arabic"/>
          <w:sz w:val="28"/>
          <w:szCs w:val="28"/>
          <w:rtl/>
          <w:lang w:eastAsia="fr-FR"/>
        </w:rPr>
        <w:t>.</w:t>
      </w:r>
    </w:p>
    <w:p w:rsidR="00391B16" w:rsidRPr="00791A33" w:rsidRDefault="00391B16" w:rsidP="00417984">
      <w:p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r w:rsidRPr="00391B16">
        <w:rPr>
          <w:rFonts w:ascii="Simplified Arabic" w:eastAsia="Times New Roman" w:hAnsi="Simplified Arabic" w:cs="Simplified Arabic"/>
          <w:sz w:val="28"/>
          <w:szCs w:val="28"/>
          <w:rtl/>
          <w:lang w:eastAsia="fr-FR"/>
        </w:rPr>
        <w:t xml:space="preserve">يُعد مشروع تحديث </w:t>
      </w:r>
      <w:proofErr w:type="spellStart"/>
      <w:r w:rsidRPr="00391B16">
        <w:rPr>
          <w:rFonts w:ascii="Simplified Arabic" w:eastAsia="Times New Roman" w:hAnsi="Simplified Arabic" w:cs="Simplified Arabic"/>
          <w:sz w:val="28"/>
          <w:szCs w:val="28"/>
          <w:rtl/>
          <w:lang w:eastAsia="fr-FR"/>
        </w:rPr>
        <w:t>وعصرنة</w:t>
      </w:r>
      <w:proofErr w:type="spellEnd"/>
      <w:r w:rsidRPr="00391B16">
        <w:rPr>
          <w:rFonts w:ascii="Simplified Arabic" w:eastAsia="Times New Roman" w:hAnsi="Simplified Arabic" w:cs="Simplified Arabic"/>
          <w:sz w:val="28"/>
          <w:szCs w:val="28"/>
          <w:rtl/>
          <w:lang w:eastAsia="fr-FR"/>
        </w:rPr>
        <w:t xml:space="preserve"> النظام </w:t>
      </w:r>
      <w:proofErr w:type="spellStart"/>
      <w:r w:rsidRPr="00391B16">
        <w:rPr>
          <w:rFonts w:ascii="Simplified Arabic" w:eastAsia="Times New Roman" w:hAnsi="Simplified Arabic" w:cs="Simplified Arabic"/>
          <w:sz w:val="28"/>
          <w:szCs w:val="28"/>
          <w:rtl/>
          <w:lang w:eastAsia="fr-FR"/>
        </w:rPr>
        <w:t>الميزانياتي</w:t>
      </w:r>
      <w:proofErr w:type="spellEnd"/>
      <w:r w:rsidRPr="00391B16">
        <w:rPr>
          <w:rFonts w:ascii="Simplified Arabic" w:eastAsia="Times New Roman" w:hAnsi="Simplified Arabic" w:cs="Simplified Arabic"/>
          <w:sz w:val="28"/>
          <w:szCs w:val="28"/>
          <w:rtl/>
          <w:lang w:eastAsia="fr-FR"/>
        </w:rPr>
        <w:t xml:space="preserve"> في الجزائر مشروعًا طموحًا يهدف إلى تحقيق إصلاحات جذرية في الإدارة المالية العامة. وعلى الرغم من وجود بعض التحديات، ومن المتوقع أن يحقق نتائج إيجابية في المدى المتوسط والطويل.</w:t>
      </w:r>
    </w:p>
    <w:p w:rsidR="00791A33" w:rsidRPr="00791A33" w:rsidRDefault="00791A33" w:rsidP="00417984">
      <w:pPr>
        <w:shd w:val="clear" w:color="auto" w:fill="FFFFFF"/>
        <w:bidi/>
        <w:spacing w:before="120" w:after="120" w:line="240" w:lineRule="auto"/>
        <w:jc w:val="both"/>
        <w:rPr>
          <w:rFonts w:ascii="Simplified Arabic" w:eastAsia="Times New Roman" w:hAnsi="Simplified Arabic" w:cs="Simplified Arabic"/>
          <w:b/>
          <w:bCs/>
          <w:sz w:val="28"/>
          <w:szCs w:val="28"/>
          <w:rtl/>
          <w:lang w:eastAsia="fr-FR"/>
        </w:rPr>
      </w:pPr>
      <w:r w:rsidRPr="00791A33">
        <w:rPr>
          <w:rFonts w:ascii="Simplified Arabic" w:eastAsia="Times New Roman" w:hAnsi="Simplified Arabic" w:cs="Simplified Arabic"/>
          <w:b/>
          <w:bCs/>
          <w:sz w:val="28"/>
          <w:szCs w:val="28"/>
          <w:rtl/>
          <w:lang w:eastAsia="fr-FR"/>
        </w:rPr>
        <w:t xml:space="preserve">ثالثا: تحديات </w:t>
      </w:r>
      <w:proofErr w:type="spellStart"/>
      <w:r w:rsidRPr="00791A33">
        <w:rPr>
          <w:rFonts w:ascii="Simplified Arabic" w:eastAsia="Times New Roman" w:hAnsi="Simplified Arabic" w:cs="Simplified Arabic"/>
          <w:b/>
          <w:bCs/>
          <w:sz w:val="28"/>
          <w:szCs w:val="28"/>
          <w:rtl/>
          <w:lang w:eastAsia="fr-FR"/>
        </w:rPr>
        <w:t>عصرنة</w:t>
      </w:r>
      <w:proofErr w:type="spellEnd"/>
      <w:r w:rsidRPr="00791A33">
        <w:rPr>
          <w:rFonts w:ascii="Simplified Arabic" w:eastAsia="Times New Roman" w:hAnsi="Simplified Arabic" w:cs="Simplified Arabic"/>
          <w:b/>
          <w:bCs/>
          <w:sz w:val="28"/>
          <w:szCs w:val="28"/>
          <w:rtl/>
          <w:lang w:eastAsia="fr-FR"/>
        </w:rPr>
        <w:t xml:space="preserve"> النظام </w:t>
      </w:r>
      <w:proofErr w:type="spellStart"/>
      <w:r w:rsidRPr="00791A33">
        <w:rPr>
          <w:rFonts w:ascii="Simplified Arabic" w:eastAsia="Times New Roman" w:hAnsi="Simplified Arabic" w:cs="Simplified Arabic"/>
          <w:b/>
          <w:bCs/>
          <w:sz w:val="28"/>
          <w:szCs w:val="28"/>
          <w:rtl/>
          <w:lang w:eastAsia="fr-FR"/>
        </w:rPr>
        <w:t>الميزانياتي</w:t>
      </w:r>
      <w:proofErr w:type="spellEnd"/>
      <w:r w:rsidRPr="00791A33">
        <w:rPr>
          <w:rFonts w:ascii="Simplified Arabic" w:eastAsia="Times New Roman" w:hAnsi="Simplified Arabic" w:cs="Simplified Arabic"/>
          <w:b/>
          <w:bCs/>
          <w:sz w:val="28"/>
          <w:szCs w:val="28"/>
          <w:rtl/>
          <w:lang w:eastAsia="fr-FR"/>
        </w:rPr>
        <w:t xml:space="preserve"> في الجزائر</w:t>
      </w:r>
    </w:p>
    <w:p w:rsidR="00791A33" w:rsidRPr="00791A33" w:rsidRDefault="00791A33" w:rsidP="00417984">
      <w:pPr>
        <w:bidi/>
        <w:spacing w:before="120" w:after="120" w:line="240" w:lineRule="auto"/>
        <w:jc w:val="both"/>
        <w:rPr>
          <w:rFonts w:ascii="Simplified Arabic" w:eastAsia="Times New Roman" w:hAnsi="Simplified Arabic" w:cs="Simplified Arabic"/>
          <w:sz w:val="28"/>
          <w:szCs w:val="28"/>
          <w:lang w:eastAsia="fr-FR"/>
        </w:rPr>
      </w:pPr>
      <w:r w:rsidRPr="00791A33">
        <w:rPr>
          <w:rFonts w:ascii="Simplified Arabic" w:eastAsia="Times New Roman" w:hAnsi="Simplified Arabic" w:cs="Simplified Arabic"/>
          <w:sz w:val="28"/>
          <w:szCs w:val="28"/>
          <w:rtl/>
          <w:lang w:eastAsia="fr-FR"/>
        </w:rPr>
        <w:t xml:space="preserve">تحديث النظام </w:t>
      </w:r>
      <w:proofErr w:type="spellStart"/>
      <w:r w:rsidRPr="00791A33">
        <w:rPr>
          <w:rFonts w:ascii="Simplified Arabic" w:eastAsia="Times New Roman" w:hAnsi="Simplified Arabic" w:cs="Simplified Arabic"/>
          <w:sz w:val="28"/>
          <w:szCs w:val="28"/>
          <w:rtl/>
          <w:lang w:eastAsia="fr-FR"/>
        </w:rPr>
        <w:t>الموازناتي</w:t>
      </w:r>
      <w:proofErr w:type="spellEnd"/>
      <w:r w:rsidRPr="00791A33">
        <w:rPr>
          <w:rFonts w:ascii="Simplified Arabic" w:eastAsia="Times New Roman" w:hAnsi="Simplified Arabic" w:cs="Simplified Arabic"/>
          <w:sz w:val="28"/>
          <w:szCs w:val="28"/>
          <w:rtl/>
          <w:lang w:eastAsia="fr-FR"/>
        </w:rPr>
        <w:t xml:space="preserve"> في الجزائر يواجه حزمة مترابطة من التحديات المؤسسية والتقنية والبشرية، تجعل الانتقال من موازنة البنود إلى موازنة البرامج والأداء مساراً بطيئاً ومعقداً. جزء كبير من الصعوبة يرجع أيضاً لطبيعة الاقتصاد </w:t>
      </w:r>
      <w:proofErr w:type="spellStart"/>
      <w:r w:rsidRPr="00791A33">
        <w:rPr>
          <w:rFonts w:ascii="Simplified Arabic" w:eastAsia="Times New Roman" w:hAnsi="Simplified Arabic" w:cs="Simplified Arabic"/>
          <w:sz w:val="28"/>
          <w:szCs w:val="28"/>
          <w:rtl/>
          <w:lang w:eastAsia="fr-FR"/>
        </w:rPr>
        <w:t>الريعي</w:t>
      </w:r>
      <w:proofErr w:type="spellEnd"/>
      <w:r w:rsidRPr="00791A33">
        <w:rPr>
          <w:rFonts w:ascii="Simplified Arabic" w:eastAsia="Times New Roman" w:hAnsi="Simplified Arabic" w:cs="Simplified Arabic"/>
          <w:sz w:val="28"/>
          <w:szCs w:val="28"/>
          <w:rtl/>
          <w:lang w:eastAsia="fr-FR"/>
        </w:rPr>
        <w:t xml:space="preserve"> المعتمد على المحروقات، وضعف الثقافة </w:t>
      </w:r>
      <w:proofErr w:type="spellStart"/>
      <w:r w:rsidRPr="00791A33">
        <w:rPr>
          <w:rFonts w:ascii="Simplified Arabic" w:eastAsia="Times New Roman" w:hAnsi="Simplified Arabic" w:cs="Simplified Arabic"/>
          <w:sz w:val="28"/>
          <w:szCs w:val="28"/>
          <w:rtl/>
          <w:lang w:eastAsia="fr-FR"/>
        </w:rPr>
        <w:t>التسييرية</w:t>
      </w:r>
      <w:proofErr w:type="spellEnd"/>
      <w:r w:rsidRPr="00791A33">
        <w:rPr>
          <w:rFonts w:ascii="Simplified Arabic" w:eastAsia="Times New Roman" w:hAnsi="Simplified Arabic" w:cs="Simplified Arabic"/>
          <w:sz w:val="28"/>
          <w:szCs w:val="28"/>
          <w:rtl/>
          <w:lang w:eastAsia="fr-FR"/>
        </w:rPr>
        <w:t xml:space="preserve"> المبنية على النتائج داخل الإدارات العمومية</w:t>
      </w:r>
      <w:r w:rsidRPr="00791A33">
        <w:rPr>
          <w:rFonts w:ascii="Simplified Arabic" w:eastAsia="Times New Roman" w:hAnsi="Simplified Arabic" w:cs="Simplified Arabic"/>
          <w:sz w:val="28"/>
          <w:szCs w:val="28"/>
          <w:lang w:eastAsia="fr-FR"/>
        </w:rPr>
        <w:t xml:space="preserve">. </w:t>
      </w:r>
      <w:r w:rsidRPr="00791A33">
        <w:rPr>
          <w:rFonts w:ascii="Times New Roman" w:eastAsia="Times New Roman" w:hAnsi="Times New Roman" w:cs="Simplified Arabic"/>
          <w:sz w:val="28"/>
          <w:szCs w:val="28"/>
          <w:lang w:eastAsia="fr-FR"/>
        </w:rPr>
        <w:t>​</w:t>
      </w:r>
    </w:p>
    <w:p w:rsidR="00791A33" w:rsidRPr="00791A33" w:rsidRDefault="00791A33" w:rsidP="00417984">
      <w:pPr>
        <w:pStyle w:val="Paragraphedeliste"/>
        <w:numPr>
          <w:ilvl w:val="0"/>
          <w:numId w:val="15"/>
        </w:numPr>
        <w:bidi/>
        <w:spacing w:before="120" w:after="120" w:line="240" w:lineRule="auto"/>
        <w:jc w:val="both"/>
        <w:outlineLvl w:val="1"/>
        <w:rPr>
          <w:rFonts w:ascii="Simplified Arabic" w:eastAsia="Times New Roman" w:hAnsi="Simplified Arabic" w:cs="Simplified Arabic"/>
          <w:b/>
          <w:bCs/>
          <w:sz w:val="28"/>
          <w:szCs w:val="28"/>
          <w:lang w:eastAsia="fr-FR"/>
        </w:rPr>
      </w:pPr>
      <w:r w:rsidRPr="00791A33">
        <w:rPr>
          <w:rFonts w:ascii="Simplified Arabic" w:eastAsia="Times New Roman" w:hAnsi="Simplified Arabic" w:cs="Simplified Arabic"/>
          <w:b/>
          <w:bCs/>
          <w:sz w:val="28"/>
          <w:szCs w:val="28"/>
          <w:rtl/>
          <w:lang w:eastAsia="fr-FR"/>
        </w:rPr>
        <w:t>تحديات مرتبطة بالإطار القانوني والمؤسسي</w:t>
      </w:r>
    </w:p>
    <w:p w:rsidR="00791A33" w:rsidRPr="00791A33" w:rsidRDefault="00791A33" w:rsidP="00417984">
      <w:pPr>
        <w:numPr>
          <w:ilvl w:val="0"/>
          <w:numId w:val="9"/>
        </w:numPr>
        <w:bidi/>
        <w:spacing w:before="120" w:after="120" w:line="240" w:lineRule="auto"/>
        <w:jc w:val="both"/>
        <w:rPr>
          <w:rFonts w:ascii="Simplified Arabic" w:eastAsia="Times New Roman" w:hAnsi="Simplified Arabic" w:cs="Simplified Arabic"/>
          <w:sz w:val="28"/>
          <w:szCs w:val="28"/>
          <w:lang w:eastAsia="fr-FR"/>
        </w:rPr>
      </w:pPr>
      <w:r w:rsidRPr="00791A33">
        <w:rPr>
          <w:rFonts w:ascii="Simplified Arabic" w:eastAsia="Times New Roman" w:hAnsi="Simplified Arabic" w:cs="Simplified Arabic"/>
          <w:sz w:val="28"/>
          <w:szCs w:val="28"/>
          <w:rtl/>
          <w:lang w:eastAsia="fr-FR"/>
        </w:rPr>
        <w:t>رغم صدور القانون العضوي 18</w:t>
      </w:r>
      <w:r w:rsidRPr="00791A33">
        <w:rPr>
          <w:rFonts w:ascii="Simplified Arabic" w:eastAsia="Times New Roman" w:hAnsi="Simplified Arabic" w:cs="Simplified Arabic"/>
          <w:sz w:val="28"/>
          <w:szCs w:val="28"/>
          <w:rtl/>
          <w:lang w:eastAsia="fr-FR"/>
        </w:rPr>
        <w:noBreakHyphen/>
      </w:r>
      <w:r w:rsidRPr="00791A33">
        <w:rPr>
          <w:rFonts w:ascii="Simplified Arabic" w:eastAsia="Times New Roman" w:hAnsi="Simplified Arabic" w:cs="Simplified Arabic"/>
          <w:sz w:val="28"/>
          <w:szCs w:val="28"/>
          <w:lang w:eastAsia="fr-FR"/>
        </w:rPr>
        <w:t xml:space="preserve">15 </w:t>
      </w:r>
      <w:r w:rsidRPr="00791A33">
        <w:rPr>
          <w:rFonts w:ascii="Simplified Arabic" w:eastAsia="Times New Roman" w:hAnsi="Simplified Arabic" w:cs="Simplified Arabic"/>
          <w:sz w:val="28"/>
          <w:szCs w:val="28"/>
          <w:rtl/>
          <w:lang w:eastAsia="fr-FR"/>
        </w:rPr>
        <w:t>المتعلق بقوانين المالية، ما زال تنزيله العملي يتطلب مراجعة واسعة للنصوص التنظيمية والإجراءات الداخلية في الوزارات والجماعات المحلية.</w:t>
      </w:r>
      <w:r w:rsidRPr="00791A33">
        <w:rPr>
          <w:rFonts w:ascii="Times New Roman" w:eastAsia="Times New Roman" w:hAnsi="Times New Roman" w:cs="Simplified Arabic"/>
          <w:sz w:val="28"/>
          <w:szCs w:val="28"/>
          <w:lang w:eastAsia="fr-FR"/>
        </w:rPr>
        <w:t>​</w:t>
      </w:r>
    </w:p>
    <w:p w:rsidR="00791A33" w:rsidRPr="00791A33" w:rsidRDefault="00791A33" w:rsidP="00417984">
      <w:pPr>
        <w:numPr>
          <w:ilvl w:val="0"/>
          <w:numId w:val="9"/>
        </w:numPr>
        <w:bidi/>
        <w:spacing w:before="120" w:after="120" w:line="240" w:lineRule="auto"/>
        <w:jc w:val="both"/>
        <w:rPr>
          <w:rFonts w:ascii="Simplified Arabic" w:eastAsia="Times New Roman" w:hAnsi="Simplified Arabic" w:cs="Simplified Arabic"/>
          <w:sz w:val="28"/>
          <w:szCs w:val="28"/>
          <w:lang w:eastAsia="fr-FR"/>
        </w:rPr>
      </w:pPr>
      <w:r w:rsidRPr="00791A33">
        <w:rPr>
          <w:rFonts w:ascii="Simplified Arabic" w:eastAsia="Times New Roman" w:hAnsi="Simplified Arabic" w:cs="Simplified Arabic"/>
          <w:sz w:val="28"/>
          <w:szCs w:val="28"/>
          <w:rtl/>
          <w:lang w:eastAsia="fr-FR"/>
        </w:rPr>
        <w:t>استمرار تداخل الصلاحيات وضعف التنسيق بين الفاعلين (المالية، المحاسبة العمومية، الرقابة، القطاعات الوزارية) يعرقل تطبيق منطق “مسؤولية مقابل نتائج” الذي تقوم عليه موازنة البرامج.</w:t>
      </w:r>
      <w:r w:rsidRPr="00791A33">
        <w:rPr>
          <w:rFonts w:ascii="Times New Roman" w:eastAsia="Times New Roman" w:hAnsi="Times New Roman" w:cs="Simplified Arabic"/>
          <w:sz w:val="28"/>
          <w:szCs w:val="28"/>
          <w:lang w:eastAsia="fr-FR"/>
        </w:rPr>
        <w:t>​</w:t>
      </w:r>
    </w:p>
    <w:p w:rsidR="00791A33" w:rsidRPr="00791A33" w:rsidRDefault="00791A33" w:rsidP="00417984">
      <w:pPr>
        <w:pStyle w:val="Paragraphedeliste"/>
        <w:numPr>
          <w:ilvl w:val="0"/>
          <w:numId w:val="15"/>
        </w:numPr>
        <w:bidi/>
        <w:spacing w:before="120" w:after="120" w:line="240" w:lineRule="auto"/>
        <w:jc w:val="both"/>
        <w:outlineLvl w:val="1"/>
        <w:rPr>
          <w:rFonts w:ascii="Simplified Arabic" w:eastAsia="Times New Roman" w:hAnsi="Simplified Arabic" w:cs="Simplified Arabic"/>
          <w:b/>
          <w:bCs/>
          <w:sz w:val="28"/>
          <w:szCs w:val="28"/>
          <w:lang w:eastAsia="fr-FR"/>
        </w:rPr>
      </w:pPr>
      <w:r w:rsidRPr="00791A33">
        <w:rPr>
          <w:rFonts w:ascii="Simplified Arabic" w:eastAsia="Times New Roman" w:hAnsi="Simplified Arabic" w:cs="Simplified Arabic"/>
          <w:b/>
          <w:bCs/>
          <w:sz w:val="28"/>
          <w:szCs w:val="28"/>
          <w:rtl/>
          <w:lang w:eastAsia="fr-FR"/>
        </w:rPr>
        <w:t>تحديات تقنية ومعلوماتية</w:t>
      </w:r>
    </w:p>
    <w:p w:rsidR="00791A33" w:rsidRPr="00791A33" w:rsidRDefault="00791A33" w:rsidP="00417984">
      <w:pPr>
        <w:numPr>
          <w:ilvl w:val="0"/>
          <w:numId w:val="10"/>
        </w:numPr>
        <w:bidi/>
        <w:spacing w:before="120" w:after="120" w:line="240" w:lineRule="auto"/>
        <w:jc w:val="both"/>
        <w:rPr>
          <w:rFonts w:ascii="Simplified Arabic" w:eastAsia="Times New Roman" w:hAnsi="Simplified Arabic" w:cs="Simplified Arabic"/>
          <w:sz w:val="28"/>
          <w:szCs w:val="28"/>
          <w:lang w:eastAsia="fr-FR"/>
        </w:rPr>
      </w:pPr>
      <w:r w:rsidRPr="00791A33">
        <w:rPr>
          <w:rFonts w:ascii="Simplified Arabic" w:eastAsia="Times New Roman" w:hAnsi="Simplified Arabic" w:cs="Simplified Arabic"/>
          <w:sz w:val="28"/>
          <w:szCs w:val="28"/>
          <w:rtl/>
          <w:lang w:eastAsia="fr-FR"/>
        </w:rPr>
        <w:t xml:space="preserve">الأنظمة المعلوماتية الحالية غير مهيأة بالكامل لتدبير موازنة متعددة السنوات </w:t>
      </w:r>
      <w:proofErr w:type="gramStart"/>
      <w:r w:rsidRPr="00791A33">
        <w:rPr>
          <w:rFonts w:ascii="Simplified Arabic" w:eastAsia="Times New Roman" w:hAnsi="Simplified Arabic" w:cs="Simplified Arabic"/>
          <w:sz w:val="28"/>
          <w:szCs w:val="28"/>
          <w:rtl/>
          <w:lang w:eastAsia="fr-FR"/>
        </w:rPr>
        <w:t>قائمة</w:t>
      </w:r>
      <w:proofErr w:type="gramEnd"/>
      <w:r w:rsidRPr="00791A33">
        <w:rPr>
          <w:rFonts w:ascii="Simplified Arabic" w:eastAsia="Times New Roman" w:hAnsi="Simplified Arabic" w:cs="Simplified Arabic"/>
          <w:sz w:val="28"/>
          <w:szCs w:val="28"/>
          <w:rtl/>
          <w:lang w:eastAsia="fr-FR"/>
        </w:rPr>
        <w:t xml:space="preserve"> على البرامج، مع نقص التكامل بين أنظمة إعداد الميزانية، المحاسبة، والرقابة.</w:t>
      </w:r>
      <w:r w:rsidRPr="00791A33">
        <w:rPr>
          <w:rFonts w:ascii="Times New Roman" w:eastAsia="Times New Roman" w:hAnsi="Times New Roman" w:cs="Simplified Arabic"/>
          <w:sz w:val="28"/>
          <w:szCs w:val="28"/>
          <w:lang w:eastAsia="fr-FR"/>
        </w:rPr>
        <w:t>​</w:t>
      </w:r>
    </w:p>
    <w:p w:rsidR="00791A33" w:rsidRPr="00246216" w:rsidRDefault="00791A33" w:rsidP="005238B9">
      <w:pPr>
        <w:numPr>
          <w:ilvl w:val="0"/>
          <w:numId w:val="10"/>
        </w:numPr>
        <w:bidi/>
        <w:spacing w:before="120" w:after="120" w:line="240" w:lineRule="auto"/>
        <w:jc w:val="both"/>
        <w:rPr>
          <w:rFonts w:ascii="Simplified Arabic" w:eastAsia="Times New Roman" w:hAnsi="Simplified Arabic" w:cs="Simplified Arabic"/>
          <w:sz w:val="28"/>
          <w:szCs w:val="28"/>
          <w:lang w:eastAsia="fr-FR"/>
        </w:rPr>
      </w:pPr>
      <w:r w:rsidRPr="00791A33">
        <w:rPr>
          <w:rFonts w:ascii="Simplified Arabic" w:eastAsia="Times New Roman" w:hAnsi="Simplified Arabic" w:cs="Simplified Arabic"/>
          <w:sz w:val="28"/>
          <w:szCs w:val="28"/>
          <w:rtl/>
          <w:lang w:eastAsia="fr-FR"/>
        </w:rPr>
        <w:lastRenderedPageBreak/>
        <w:t xml:space="preserve">الدراسات تنبّه إلى أن نجاح التحديث يرتبط بوجود نظام معلومات مندمج يوفر بيانات آنية </w:t>
      </w:r>
      <w:proofErr w:type="spellStart"/>
      <w:r w:rsidRPr="00791A33">
        <w:rPr>
          <w:rFonts w:ascii="Simplified Arabic" w:eastAsia="Times New Roman" w:hAnsi="Simplified Arabic" w:cs="Simplified Arabic"/>
          <w:sz w:val="28"/>
          <w:szCs w:val="28"/>
          <w:rtl/>
          <w:lang w:eastAsia="fr-FR"/>
        </w:rPr>
        <w:t>وموثوقة</w:t>
      </w:r>
      <w:proofErr w:type="spellEnd"/>
      <w:r w:rsidRPr="00791A33">
        <w:rPr>
          <w:rFonts w:ascii="Simplified Arabic" w:eastAsia="Times New Roman" w:hAnsi="Simplified Arabic" w:cs="Simplified Arabic"/>
          <w:sz w:val="28"/>
          <w:szCs w:val="28"/>
          <w:rtl/>
          <w:lang w:eastAsia="fr-FR"/>
        </w:rPr>
        <w:t xml:space="preserve"> عن </w:t>
      </w:r>
      <w:proofErr w:type="spellStart"/>
      <w:r w:rsidRPr="00791A33">
        <w:rPr>
          <w:rFonts w:ascii="Simplified Arabic" w:eastAsia="Times New Roman" w:hAnsi="Simplified Arabic" w:cs="Simplified Arabic"/>
          <w:sz w:val="28"/>
          <w:szCs w:val="28"/>
          <w:rtl/>
          <w:lang w:eastAsia="fr-FR"/>
        </w:rPr>
        <w:t>الاعتمادات</w:t>
      </w:r>
      <w:proofErr w:type="spellEnd"/>
      <w:r w:rsidRPr="00791A33">
        <w:rPr>
          <w:rFonts w:ascii="Simplified Arabic" w:eastAsia="Times New Roman" w:hAnsi="Simplified Arabic" w:cs="Simplified Arabic"/>
          <w:sz w:val="28"/>
          <w:szCs w:val="28"/>
          <w:rtl/>
          <w:lang w:eastAsia="fr-FR"/>
        </w:rPr>
        <w:t xml:space="preserve"> والتنفيذ والمؤشرات،</w:t>
      </w:r>
      <w:r w:rsidRPr="00791A33">
        <w:rPr>
          <w:rFonts w:ascii="Simplified Arabic" w:eastAsia="Times New Roman" w:hAnsi="Simplified Arabic" w:cs="Simplified Arabic"/>
          <w:sz w:val="28"/>
          <w:szCs w:val="28"/>
          <w:lang w:eastAsia="fr-FR"/>
        </w:rPr>
        <w:t xml:space="preserve">. </w:t>
      </w:r>
      <w:r w:rsidRPr="00791A33">
        <w:rPr>
          <w:rFonts w:ascii="Times New Roman" w:eastAsia="Times New Roman" w:hAnsi="Times New Roman" w:cs="Simplified Arabic"/>
          <w:sz w:val="28"/>
          <w:szCs w:val="28"/>
          <w:lang w:eastAsia="fr-FR"/>
        </w:rPr>
        <w:t>​</w:t>
      </w:r>
      <w:r w:rsidR="00AA1C61">
        <w:rPr>
          <w:color w:val="000000"/>
          <w:sz w:val="27"/>
          <w:szCs w:val="27"/>
          <w:rtl/>
        </w:rPr>
        <w:t>مثل نظام</w:t>
      </w:r>
      <w:r w:rsidR="005238B9">
        <w:rPr>
          <w:color w:val="000000"/>
          <w:sz w:val="27"/>
          <w:szCs w:val="27"/>
        </w:rPr>
        <w:t>(</w:t>
      </w:r>
      <w:r w:rsidR="00AA1C61">
        <w:rPr>
          <w:color w:val="000000"/>
          <w:sz w:val="27"/>
          <w:szCs w:val="27"/>
        </w:rPr>
        <w:t xml:space="preserve">SIGB) </w:t>
      </w:r>
      <w:r w:rsidR="00AA1C61">
        <w:rPr>
          <w:color w:val="000000"/>
          <w:sz w:val="27"/>
          <w:szCs w:val="27"/>
          <w:rtl/>
        </w:rPr>
        <w:t>لضمان تدفق المعلومات المالية في الوقت الحقيقي، وهو ما يمثل تحدياً تقنياً كبيراً</w:t>
      </w:r>
    </w:p>
    <w:p w:rsidR="00246216" w:rsidRPr="00791A33" w:rsidRDefault="00246216" w:rsidP="00246216">
      <w:pPr>
        <w:bidi/>
        <w:spacing w:before="120" w:after="120" w:line="240" w:lineRule="auto"/>
        <w:ind w:left="720"/>
        <w:jc w:val="both"/>
        <w:rPr>
          <w:rFonts w:ascii="Simplified Arabic" w:eastAsia="Times New Roman" w:hAnsi="Simplified Arabic" w:cs="Simplified Arabic"/>
          <w:sz w:val="28"/>
          <w:szCs w:val="28"/>
          <w:lang w:eastAsia="fr-FR"/>
        </w:rPr>
      </w:pPr>
    </w:p>
    <w:p w:rsidR="00791A33" w:rsidRPr="00791A33" w:rsidRDefault="00791A33" w:rsidP="00417984">
      <w:pPr>
        <w:pStyle w:val="Paragraphedeliste"/>
        <w:numPr>
          <w:ilvl w:val="0"/>
          <w:numId w:val="15"/>
        </w:numPr>
        <w:bidi/>
        <w:spacing w:before="120" w:after="120" w:line="240" w:lineRule="auto"/>
        <w:jc w:val="both"/>
        <w:outlineLvl w:val="1"/>
        <w:rPr>
          <w:rFonts w:ascii="Simplified Arabic" w:eastAsia="Times New Roman" w:hAnsi="Simplified Arabic" w:cs="Simplified Arabic"/>
          <w:b/>
          <w:bCs/>
          <w:sz w:val="28"/>
          <w:szCs w:val="28"/>
          <w:lang w:eastAsia="fr-FR"/>
        </w:rPr>
      </w:pPr>
      <w:r w:rsidRPr="00791A33">
        <w:rPr>
          <w:rFonts w:ascii="Simplified Arabic" w:eastAsia="Times New Roman" w:hAnsi="Simplified Arabic" w:cs="Simplified Arabic"/>
          <w:b/>
          <w:bCs/>
          <w:sz w:val="28"/>
          <w:szCs w:val="28"/>
          <w:rtl/>
          <w:lang w:eastAsia="fr-FR"/>
        </w:rPr>
        <w:t xml:space="preserve">تحديات القدرات البشرية والثقافة </w:t>
      </w:r>
      <w:proofErr w:type="spellStart"/>
      <w:r w:rsidRPr="00791A33">
        <w:rPr>
          <w:rFonts w:ascii="Simplified Arabic" w:eastAsia="Times New Roman" w:hAnsi="Simplified Arabic" w:cs="Simplified Arabic"/>
          <w:b/>
          <w:bCs/>
          <w:sz w:val="28"/>
          <w:szCs w:val="28"/>
          <w:rtl/>
          <w:lang w:eastAsia="fr-FR"/>
        </w:rPr>
        <w:t>التسييرية</w:t>
      </w:r>
      <w:proofErr w:type="spellEnd"/>
    </w:p>
    <w:p w:rsidR="00791A33" w:rsidRPr="00791A33" w:rsidRDefault="00791A33" w:rsidP="00417984">
      <w:pPr>
        <w:numPr>
          <w:ilvl w:val="0"/>
          <w:numId w:val="11"/>
        </w:numPr>
        <w:bidi/>
        <w:spacing w:before="120" w:after="120" w:line="240" w:lineRule="auto"/>
        <w:jc w:val="both"/>
        <w:rPr>
          <w:rFonts w:ascii="Simplified Arabic" w:eastAsia="Times New Roman" w:hAnsi="Simplified Arabic" w:cs="Simplified Arabic"/>
          <w:sz w:val="28"/>
          <w:szCs w:val="28"/>
          <w:lang w:eastAsia="fr-FR"/>
        </w:rPr>
      </w:pPr>
      <w:r w:rsidRPr="00791A33">
        <w:rPr>
          <w:rFonts w:ascii="Simplified Arabic" w:eastAsia="Times New Roman" w:hAnsi="Simplified Arabic" w:cs="Simplified Arabic"/>
          <w:sz w:val="28"/>
          <w:szCs w:val="28"/>
          <w:rtl/>
          <w:lang w:eastAsia="fr-FR"/>
        </w:rPr>
        <w:t xml:space="preserve">الانتقال من “منطق صرف </w:t>
      </w:r>
      <w:proofErr w:type="spellStart"/>
      <w:r w:rsidRPr="00791A33">
        <w:rPr>
          <w:rFonts w:ascii="Simplified Arabic" w:eastAsia="Times New Roman" w:hAnsi="Simplified Arabic" w:cs="Simplified Arabic"/>
          <w:sz w:val="28"/>
          <w:szCs w:val="28"/>
          <w:rtl/>
          <w:lang w:eastAsia="fr-FR"/>
        </w:rPr>
        <w:t>الاعتمادات</w:t>
      </w:r>
      <w:proofErr w:type="spellEnd"/>
      <w:r w:rsidRPr="00791A33">
        <w:rPr>
          <w:rFonts w:ascii="Simplified Arabic" w:eastAsia="Times New Roman" w:hAnsi="Simplified Arabic" w:cs="Simplified Arabic"/>
          <w:sz w:val="28"/>
          <w:szCs w:val="28"/>
          <w:rtl/>
          <w:lang w:eastAsia="fr-FR"/>
        </w:rPr>
        <w:t>” إلى “منطق الأداء والنتائج” يتطلب تغييراً عميقاً في عقلية المسيرين والمحاسبين والرقابة، مع حاجة كبيرة للتكوين في التخطيط الاستراتيجي، إعداد البرامج، وصياغة مؤشرات الأداء.</w:t>
      </w:r>
      <w:r w:rsidRPr="00791A33">
        <w:rPr>
          <w:rFonts w:ascii="Times New Roman" w:eastAsia="Times New Roman" w:hAnsi="Times New Roman" w:cs="Simplified Arabic"/>
          <w:sz w:val="28"/>
          <w:szCs w:val="28"/>
          <w:lang w:eastAsia="fr-FR"/>
        </w:rPr>
        <w:t>​</w:t>
      </w:r>
    </w:p>
    <w:p w:rsidR="00791A33" w:rsidRPr="00791A33" w:rsidRDefault="00791A33" w:rsidP="00417984">
      <w:pPr>
        <w:numPr>
          <w:ilvl w:val="0"/>
          <w:numId w:val="11"/>
        </w:numPr>
        <w:bidi/>
        <w:spacing w:before="120" w:after="120" w:line="240" w:lineRule="auto"/>
        <w:jc w:val="both"/>
        <w:rPr>
          <w:rFonts w:ascii="Simplified Arabic" w:eastAsia="Times New Roman" w:hAnsi="Simplified Arabic" w:cs="Simplified Arabic"/>
          <w:sz w:val="28"/>
          <w:szCs w:val="28"/>
          <w:lang w:eastAsia="fr-FR"/>
        </w:rPr>
      </w:pPr>
      <w:r w:rsidRPr="00791A33">
        <w:rPr>
          <w:rFonts w:ascii="Simplified Arabic" w:eastAsia="Times New Roman" w:hAnsi="Simplified Arabic" w:cs="Simplified Arabic"/>
          <w:sz w:val="28"/>
          <w:szCs w:val="28"/>
          <w:rtl/>
          <w:lang w:eastAsia="fr-FR"/>
        </w:rPr>
        <w:t xml:space="preserve">توجد مقاومة داخلية للتغيير في بعض الإدارات بسبب الخوف من زيادة المساءلة وربط الموارد بالنتائج، ما يبطئ وتيرة الإصلاح </w:t>
      </w:r>
      <w:proofErr w:type="spellStart"/>
      <w:r w:rsidRPr="00791A33">
        <w:rPr>
          <w:rFonts w:ascii="Simplified Arabic" w:eastAsia="Times New Roman" w:hAnsi="Simplified Arabic" w:cs="Simplified Arabic"/>
          <w:sz w:val="28"/>
          <w:szCs w:val="28"/>
          <w:rtl/>
          <w:lang w:eastAsia="fr-FR"/>
        </w:rPr>
        <w:t>الموازناتي</w:t>
      </w:r>
      <w:proofErr w:type="spellEnd"/>
      <w:r w:rsidRPr="00791A33">
        <w:rPr>
          <w:rFonts w:ascii="Simplified Arabic" w:eastAsia="Times New Roman" w:hAnsi="Simplified Arabic" w:cs="Simplified Arabic"/>
          <w:sz w:val="28"/>
          <w:szCs w:val="28"/>
          <w:lang w:eastAsia="fr-FR"/>
        </w:rPr>
        <w:t>.</w:t>
      </w:r>
    </w:p>
    <w:p w:rsidR="00791A33" w:rsidRPr="00791A33" w:rsidRDefault="00791A33" w:rsidP="00417984">
      <w:pPr>
        <w:pStyle w:val="Paragraphedeliste"/>
        <w:numPr>
          <w:ilvl w:val="0"/>
          <w:numId w:val="15"/>
        </w:numPr>
        <w:bidi/>
        <w:spacing w:before="120" w:after="120" w:line="240" w:lineRule="auto"/>
        <w:jc w:val="both"/>
        <w:outlineLvl w:val="1"/>
        <w:rPr>
          <w:rFonts w:ascii="Simplified Arabic" w:eastAsia="Times New Roman" w:hAnsi="Simplified Arabic" w:cs="Simplified Arabic"/>
          <w:b/>
          <w:bCs/>
          <w:sz w:val="28"/>
          <w:szCs w:val="28"/>
          <w:lang w:eastAsia="fr-FR"/>
        </w:rPr>
      </w:pPr>
      <w:r w:rsidRPr="00791A33">
        <w:rPr>
          <w:rFonts w:ascii="Simplified Arabic" w:eastAsia="Times New Roman" w:hAnsi="Simplified Arabic" w:cs="Simplified Arabic"/>
          <w:b/>
          <w:bCs/>
          <w:sz w:val="28"/>
          <w:szCs w:val="28"/>
          <w:rtl/>
          <w:lang w:eastAsia="fr-FR"/>
        </w:rPr>
        <w:t>تحديات اقتصادية ومالية</w:t>
      </w:r>
    </w:p>
    <w:p w:rsidR="00791A33" w:rsidRPr="00791A33" w:rsidRDefault="00791A33" w:rsidP="00417984">
      <w:pPr>
        <w:numPr>
          <w:ilvl w:val="0"/>
          <w:numId w:val="12"/>
        </w:numPr>
        <w:bidi/>
        <w:spacing w:before="120" w:after="120" w:line="240" w:lineRule="auto"/>
        <w:jc w:val="both"/>
        <w:rPr>
          <w:rFonts w:ascii="Simplified Arabic" w:eastAsia="Times New Roman" w:hAnsi="Simplified Arabic" w:cs="Simplified Arabic"/>
          <w:sz w:val="28"/>
          <w:szCs w:val="28"/>
          <w:lang w:eastAsia="fr-FR"/>
        </w:rPr>
      </w:pPr>
      <w:r w:rsidRPr="00791A33">
        <w:rPr>
          <w:rFonts w:ascii="Simplified Arabic" w:eastAsia="Times New Roman" w:hAnsi="Simplified Arabic" w:cs="Simplified Arabic"/>
          <w:sz w:val="28"/>
          <w:szCs w:val="28"/>
          <w:rtl/>
          <w:lang w:eastAsia="fr-FR"/>
        </w:rPr>
        <w:t xml:space="preserve">اعتماد الميزانية على إيرادات المحروقات يجعل التخطيط متوسط الأمد صعباً بسبب تقلبات أسعار النفط والغاز، ما يضعف استقرار الأطر </w:t>
      </w:r>
      <w:proofErr w:type="spellStart"/>
      <w:r w:rsidRPr="00791A33">
        <w:rPr>
          <w:rFonts w:ascii="Simplified Arabic" w:eastAsia="Times New Roman" w:hAnsi="Simplified Arabic" w:cs="Simplified Arabic"/>
          <w:sz w:val="28"/>
          <w:szCs w:val="28"/>
          <w:rtl/>
          <w:lang w:eastAsia="fr-FR"/>
        </w:rPr>
        <w:t>الموازناتية</w:t>
      </w:r>
      <w:proofErr w:type="spellEnd"/>
      <w:r w:rsidRPr="00791A33">
        <w:rPr>
          <w:rFonts w:ascii="Simplified Arabic" w:eastAsia="Times New Roman" w:hAnsi="Simplified Arabic" w:cs="Simplified Arabic"/>
          <w:sz w:val="28"/>
          <w:szCs w:val="28"/>
          <w:rtl/>
          <w:lang w:eastAsia="fr-FR"/>
        </w:rPr>
        <w:t xml:space="preserve"> متعددة السنوات</w:t>
      </w:r>
      <w:r w:rsidRPr="00791A33">
        <w:rPr>
          <w:rFonts w:ascii="Simplified Arabic" w:eastAsia="Times New Roman" w:hAnsi="Simplified Arabic" w:cs="Simplified Arabic"/>
          <w:sz w:val="28"/>
          <w:szCs w:val="28"/>
          <w:lang w:eastAsia="fr-FR"/>
        </w:rPr>
        <w:t xml:space="preserve">. </w:t>
      </w:r>
      <w:r w:rsidRPr="00791A33">
        <w:rPr>
          <w:rFonts w:ascii="Times New Roman" w:eastAsia="Times New Roman" w:hAnsi="Times New Roman" w:cs="Simplified Arabic"/>
          <w:sz w:val="28"/>
          <w:szCs w:val="28"/>
          <w:lang w:eastAsia="fr-FR"/>
        </w:rPr>
        <w:t>​</w:t>
      </w:r>
    </w:p>
    <w:p w:rsidR="00791A33" w:rsidRPr="00791A33" w:rsidRDefault="00791A33" w:rsidP="00417984">
      <w:pPr>
        <w:numPr>
          <w:ilvl w:val="0"/>
          <w:numId w:val="12"/>
        </w:numPr>
        <w:bidi/>
        <w:spacing w:before="120" w:after="120" w:line="240" w:lineRule="auto"/>
        <w:jc w:val="both"/>
        <w:rPr>
          <w:rFonts w:ascii="Simplified Arabic" w:eastAsia="Times New Roman" w:hAnsi="Simplified Arabic" w:cs="Simplified Arabic"/>
          <w:sz w:val="28"/>
          <w:szCs w:val="28"/>
          <w:lang w:eastAsia="fr-FR"/>
        </w:rPr>
      </w:pPr>
      <w:r w:rsidRPr="00791A33">
        <w:rPr>
          <w:rFonts w:ascii="Simplified Arabic" w:eastAsia="Times New Roman" w:hAnsi="Simplified Arabic" w:cs="Simplified Arabic"/>
          <w:sz w:val="28"/>
          <w:szCs w:val="28"/>
          <w:rtl/>
          <w:lang w:eastAsia="fr-FR"/>
        </w:rPr>
        <w:t xml:space="preserve">الضغط على التوازنات المالية (عجز الميزانية، الحاجة للاستدامة المالية) يفرض تعميم منطق تقييم </w:t>
      </w:r>
      <w:proofErr w:type="spellStart"/>
      <w:r w:rsidRPr="00791A33">
        <w:rPr>
          <w:rFonts w:ascii="Simplified Arabic" w:eastAsia="Times New Roman" w:hAnsi="Simplified Arabic" w:cs="Simplified Arabic"/>
          <w:sz w:val="28"/>
          <w:szCs w:val="28"/>
          <w:rtl/>
          <w:lang w:eastAsia="fr-FR"/>
        </w:rPr>
        <w:t>نجاعة</w:t>
      </w:r>
      <w:proofErr w:type="spellEnd"/>
      <w:r w:rsidRPr="00791A33">
        <w:rPr>
          <w:rFonts w:ascii="Simplified Arabic" w:eastAsia="Times New Roman" w:hAnsi="Simplified Arabic" w:cs="Simplified Arabic"/>
          <w:sz w:val="28"/>
          <w:szCs w:val="28"/>
          <w:rtl/>
          <w:lang w:eastAsia="fr-FR"/>
        </w:rPr>
        <w:t xml:space="preserve"> الإنفاق، في حين أن أدوات تقييم الكلفة</w:t>
      </w:r>
      <w:r w:rsidRPr="00791A33">
        <w:rPr>
          <w:rFonts w:ascii="Simplified Arabic" w:eastAsia="Times New Roman" w:hAnsi="Simplified Arabic" w:cs="Simplified Arabic"/>
          <w:sz w:val="28"/>
          <w:szCs w:val="28"/>
          <w:rtl/>
          <w:lang w:eastAsia="fr-FR"/>
        </w:rPr>
        <w:noBreakHyphen/>
        <w:t>النتيجة لا تزال محدودة في الممارسة.</w:t>
      </w:r>
      <w:r w:rsidRPr="00791A33">
        <w:rPr>
          <w:rFonts w:ascii="Times New Roman" w:eastAsia="Times New Roman" w:hAnsi="Times New Roman" w:cs="Simplified Arabic"/>
          <w:sz w:val="28"/>
          <w:szCs w:val="28"/>
          <w:lang w:eastAsia="fr-FR"/>
        </w:rPr>
        <w:t>​</w:t>
      </w:r>
    </w:p>
    <w:p w:rsidR="00791A33" w:rsidRPr="00791A33" w:rsidRDefault="00791A33" w:rsidP="00417984">
      <w:pPr>
        <w:pStyle w:val="Paragraphedeliste"/>
        <w:numPr>
          <w:ilvl w:val="0"/>
          <w:numId w:val="15"/>
        </w:numPr>
        <w:bidi/>
        <w:spacing w:before="120" w:after="120" w:line="240" w:lineRule="auto"/>
        <w:jc w:val="both"/>
        <w:outlineLvl w:val="1"/>
        <w:rPr>
          <w:rFonts w:ascii="Simplified Arabic" w:eastAsia="Times New Roman" w:hAnsi="Simplified Arabic" w:cs="Simplified Arabic"/>
          <w:b/>
          <w:bCs/>
          <w:sz w:val="28"/>
          <w:szCs w:val="28"/>
          <w:lang w:eastAsia="fr-FR"/>
        </w:rPr>
      </w:pPr>
      <w:r w:rsidRPr="00791A33">
        <w:rPr>
          <w:rFonts w:ascii="Simplified Arabic" w:eastAsia="Times New Roman" w:hAnsi="Simplified Arabic" w:cs="Simplified Arabic"/>
          <w:b/>
          <w:bCs/>
          <w:sz w:val="28"/>
          <w:szCs w:val="28"/>
          <w:rtl/>
          <w:lang w:eastAsia="fr-FR"/>
        </w:rPr>
        <w:t>تحديات الحوكمة والشفافية والرقابة</w:t>
      </w:r>
    </w:p>
    <w:p w:rsidR="00791A33" w:rsidRPr="00791A33" w:rsidRDefault="00791A33" w:rsidP="00417984">
      <w:pPr>
        <w:numPr>
          <w:ilvl w:val="0"/>
          <w:numId w:val="13"/>
        </w:numPr>
        <w:bidi/>
        <w:spacing w:before="120" w:after="120" w:line="240" w:lineRule="auto"/>
        <w:jc w:val="both"/>
        <w:rPr>
          <w:rFonts w:ascii="Simplified Arabic" w:eastAsia="Times New Roman" w:hAnsi="Simplified Arabic" w:cs="Simplified Arabic"/>
          <w:sz w:val="28"/>
          <w:szCs w:val="28"/>
          <w:lang w:eastAsia="fr-FR"/>
        </w:rPr>
      </w:pPr>
      <w:r w:rsidRPr="00791A33">
        <w:rPr>
          <w:rFonts w:ascii="Simplified Arabic" w:eastAsia="Times New Roman" w:hAnsi="Simplified Arabic" w:cs="Simplified Arabic"/>
          <w:sz w:val="28"/>
          <w:szCs w:val="28"/>
          <w:rtl/>
          <w:lang w:eastAsia="fr-FR"/>
        </w:rPr>
        <w:t>الإصلاح يستلزم تعزيز دور الرقابة البرلمانية والهيئات العليا للرقابة المالية في تتبع الأداء وليس فقط شرعية النفقة، وهو مجال يشهد تطوراً تدريجياً لكن بقدرات محدودة.</w:t>
      </w:r>
      <w:r w:rsidRPr="00791A33">
        <w:rPr>
          <w:rFonts w:ascii="Times New Roman" w:eastAsia="Times New Roman" w:hAnsi="Times New Roman" w:cs="Simplified Arabic"/>
          <w:sz w:val="28"/>
          <w:szCs w:val="28"/>
          <w:lang w:eastAsia="fr-FR"/>
        </w:rPr>
        <w:t>​</w:t>
      </w:r>
    </w:p>
    <w:p w:rsidR="00791A33" w:rsidRPr="00791A33" w:rsidRDefault="00791A33" w:rsidP="00417984">
      <w:pPr>
        <w:numPr>
          <w:ilvl w:val="0"/>
          <w:numId w:val="13"/>
        </w:numPr>
        <w:bidi/>
        <w:spacing w:before="120" w:after="120" w:line="240" w:lineRule="auto"/>
        <w:jc w:val="both"/>
        <w:rPr>
          <w:rFonts w:ascii="Simplified Arabic" w:eastAsia="Times New Roman" w:hAnsi="Simplified Arabic" w:cs="Simplified Arabic"/>
          <w:sz w:val="28"/>
          <w:szCs w:val="28"/>
          <w:lang w:eastAsia="fr-FR"/>
        </w:rPr>
      </w:pPr>
      <w:r w:rsidRPr="00791A33">
        <w:rPr>
          <w:rFonts w:ascii="Simplified Arabic" w:eastAsia="Times New Roman" w:hAnsi="Simplified Arabic" w:cs="Simplified Arabic"/>
          <w:sz w:val="28"/>
          <w:szCs w:val="28"/>
          <w:rtl/>
          <w:lang w:eastAsia="fr-FR"/>
        </w:rPr>
        <w:t xml:space="preserve">رغم التقدم في رقمنة بعض جوانب المالية العمومية، ما تزال الشفافية </w:t>
      </w:r>
      <w:proofErr w:type="spellStart"/>
      <w:r w:rsidRPr="00791A33">
        <w:rPr>
          <w:rFonts w:ascii="Simplified Arabic" w:eastAsia="Times New Roman" w:hAnsi="Simplified Arabic" w:cs="Simplified Arabic"/>
          <w:sz w:val="28"/>
          <w:szCs w:val="28"/>
          <w:rtl/>
          <w:lang w:eastAsia="fr-FR"/>
        </w:rPr>
        <w:t>الموازناتية</w:t>
      </w:r>
      <w:proofErr w:type="spellEnd"/>
      <w:r w:rsidRPr="00791A33">
        <w:rPr>
          <w:rFonts w:ascii="Simplified Arabic" w:eastAsia="Times New Roman" w:hAnsi="Simplified Arabic" w:cs="Simplified Arabic"/>
          <w:sz w:val="28"/>
          <w:szCs w:val="28"/>
          <w:rtl/>
          <w:lang w:eastAsia="fr-FR"/>
        </w:rPr>
        <w:t xml:space="preserve"> الكاملة (نشر معلومات مفهومة عن البرامج، الأهداف، النتائج) في طور التحسين، مما يحد من مشاركة المواطنين والخبراء في تقييم السياسات</w:t>
      </w:r>
      <w:r w:rsidRPr="00791A33">
        <w:rPr>
          <w:rFonts w:ascii="Simplified Arabic" w:eastAsia="Times New Roman" w:hAnsi="Simplified Arabic" w:cs="Simplified Arabic"/>
          <w:sz w:val="28"/>
          <w:szCs w:val="28"/>
          <w:lang w:eastAsia="fr-FR"/>
        </w:rPr>
        <w:t>.</w:t>
      </w:r>
    </w:p>
    <w:p w:rsidR="00AA1C61" w:rsidRDefault="00AA1C61" w:rsidP="00AA1C61">
      <w:pPr>
        <w:pStyle w:val="my-2"/>
        <w:bidi/>
        <w:ind w:left="720"/>
        <w:rPr>
          <w:color w:val="000000"/>
          <w:sz w:val="27"/>
          <w:szCs w:val="27"/>
        </w:rPr>
      </w:pPr>
    </w:p>
    <w:p w:rsidR="00AA1C61" w:rsidRPr="00AA1C61" w:rsidRDefault="00AA1C61" w:rsidP="00AA1C61">
      <w:pPr>
        <w:pStyle w:val="my-2"/>
        <w:bidi/>
        <w:ind w:left="720"/>
        <w:rPr>
          <w:rFonts w:ascii="Simplified Arabic" w:hAnsi="Simplified Arabic" w:cs="Simplified Arabic"/>
          <w:color w:val="000000"/>
          <w:sz w:val="27"/>
          <w:szCs w:val="27"/>
        </w:rPr>
      </w:pPr>
      <w:r w:rsidRPr="00AA1C61">
        <w:rPr>
          <w:rFonts w:ascii="Simplified Arabic" w:hAnsi="Simplified Arabic" w:cs="Simplified Arabic" w:hint="cs"/>
          <w:b/>
          <w:bCs/>
          <w:color w:val="000000"/>
          <w:sz w:val="27"/>
          <w:szCs w:val="27"/>
          <w:u w:val="single"/>
          <w:rtl/>
          <w:lang w:bidi="ar-DZ"/>
        </w:rPr>
        <w:t>خاتمة</w:t>
      </w:r>
      <w:r>
        <w:rPr>
          <w:rFonts w:ascii="Simplified Arabic" w:hAnsi="Simplified Arabic" w:cs="Simplified Arabic" w:hint="cs"/>
          <w:color w:val="000000"/>
          <w:sz w:val="27"/>
          <w:szCs w:val="27"/>
          <w:rtl/>
          <w:lang w:bidi="ar-DZ"/>
        </w:rPr>
        <w:t xml:space="preserve"> : </w:t>
      </w:r>
      <w:r w:rsidRPr="00AA1C61">
        <w:rPr>
          <w:rFonts w:ascii="Simplified Arabic" w:hAnsi="Simplified Arabic" w:cs="Simplified Arabic"/>
          <w:color w:val="000000"/>
          <w:sz w:val="27"/>
          <w:szCs w:val="27"/>
          <w:rtl/>
        </w:rPr>
        <w:t xml:space="preserve">يشكل القانون العضوي 18-15 نقطة تحول مفصلية في تاريخ المالية العامة بالجزائر، حيث ينقل الدولة من منطق "توزيع الريع" إلى منطق "الكفاءة الاقتصادية". ورغم أن النصوص التشريعية قد اكتملت، فإن نجاح هذا المسار يظل مرهوناً بمدى انخراط العنصر البشري وتسريع وتيرة </w:t>
      </w:r>
      <w:proofErr w:type="spellStart"/>
      <w:r w:rsidRPr="00AA1C61">
        <w:rPr>
          <w:rFonts w:ascii="Simplified Arabic" w:hAnsi="Simplified Arabic" w:cs="Simplified Arabic"/>
          <w:color w:val="000000"/>
          <w:sz w:val="27"/>
          <w:szCs w:val="27"/>
          <w:rtl/>
        </w:rPr>
        <w:t>الرقمنة</w:t>
      </w:r>
      <w:proofErr w:type="spellEnd"/>
      <w:r w:rsidRPr="00AA1C61">
        <w:rPr>
          <w:rFonts w:ascii="Simplified Arabic" w:hAnsi="Simplified Arabic" w:cs="Simplified Arabic"/>
          <w:color w:val="000000"/>
          <w:sz w:val="27"/>
          <w:szCs w:val="27"/>
          <w:rtl/>
        </w:rPr>
        <w:t xml:space="preserve">. إن نجاح </w:t>
      </w:r>
      <w:proofErr w:type="spellStart"/>
      <w:r w:rsidRPr="00AA1C61">
        <w:rPr>
          <w:rFonts w:ascii="Simplified Arabic" w:hAnsi="Simplified Arabic" w:cs="Simplified Arabic"/>
          <w:color w:val="000000"/>
          <w:sz w:val="27"/>
          <w:szCs w:val="27"/>
          <w:rtl/>
        </w:rPr>
        <w:t>عصرنة</w:t>
      </w:r>
      <w:proofErr w:type="spellEnd"/>
      <w:r w:rsidRPr="00AA1C61">
        <w:rPr>
          <w:rFonts w:ascii="Simplified Arabic" w:hAnsi="Simplified Arabic" w:cs="Simplified Arabic"/>
          <w:color w:val="000000"/>
          <w:sz w:val="27"/>
          <w:szCs w:val="27"/>
          <w:rtl/>
        </w:rPr>
        <w:t xml:space="preserve"> الميزانية ليس غاية في حد ذاته، بل هو أداة أساسية لضمان استدامة التنمية وتحسين الحوكمة الرشيدة في الجزائر للسنوات القادمة</w:t>
      </w:r>
      <w:r w:rsidRPr="00AA1C61">
        <w:rPr>
          <w:rFonts w:ascii="Simplified Arabic" w:hAnsi="Simplified Arabic" w:cs="Simplified Arabic"/>
          <w:color w:val="000000"/>
          <w:sz w:val="27"/>
          <w:szCs w:val="27"/>
        </w:rPr>
        <w:t>.</w:t>
      </w:r>
    </w:p>
    <w:p w:rsidR="00791A33" w:rsidRPr="00AA1C61" w:rsidRDefault="00791A33" w:rsidP="00417984">
      <w:pPr>
        <w:shd w:val="clear" w:color="auto" w:fill="FFFFFF"/>
        <w:bidi/>
        <w:spacing w:before="120" w:after="120" w:line="240" w:lineRule="auto"/>
        <w:jc w:val="both"/>
        <w:rPr>
          <w:rFonts w:ascii="Simplified Arabic" w:eastAsia="Times New Roman" w:hAnsi="Simplified Arabic" w:cs="Simplified Arabic"/>
          <w:sz w:val="28"/>
          <w:szCs w:val="28"/>
          <w:rtl/>
          <w:lang w:eastAsia="fr-FR"/>
        </w:rPr>
      </w:pPr>
    </w:p>
    <w:sectPr w:rsidR="00791A33" w:rsidRPr="00AA1C61" w:rsidSect="00791A33">
      <w:footerReference w:type="default" r:id="rId7"/>
      <w:pgSz w:w="11906" w:h="16838"/>
      <w:pgMar w:top="851" w:right="1417"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297" w:rsidRDefault="008B6297" w:rsidP="00246216">
      <w:pPr>
        <w:spacing w:after="0" w:line="240" w:lineRule="auto"/>
      </w:pPr>
      <w:r>
        <w:separator/>
      </w:r>
    </w:p>
  </w:endnote>
  <w:endnote w:type="continuationSeparator" w:id="1">
    <w:p w:rsidR="008B6297" w:rsidRDefault="008B6297" w:rsidP="00246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11728"/>
      <w:docPartObj>
        <w:docPartGallery w:val="Page Numbers (Bottom of Page)"/>
        <w:docPartUnique/>
      </w:docPartObj>
    </w:sdtPr>
    <w:sdtContent>
      <w:p w:rsidR="00246216" w:rsidRDefault="00B424AE">
        <w:pPr>
          <w:pStyle w:val="Pieddepage"/>
        </w:pPr>
        <w:fldSimple w:instr=" PAGE   \* MERGEFORMAT ">
          <w:r w:rsidR="005238B9">
            <w:rPr>
              <w:noProof/>
            </w:rPr>
            <w:t>4</w:t>
          </w:r>
        </w:fldSimple>
      </w:p>
    </w:sdtContent>
  </w:sdt>
  <w:p w:rsidR="00246216" w:rsidRDefault="0024621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297" w:rsidRDefault="008B6297" w:rsidP="00246216">
      <w:pPr>
        <w:spacing w:after="0" w:line="240" w:lineRule="auto"/>
      </w:pPr>
      <w:r>
        <w:separator/>
      </w:r>
    </w:p>
  </w:footnote>
  <w:footnote w:type="continuationSeparator" w:id="1">
    <w:p w:rsidR="008B6297" w:rsidRDefault="008B6297" w:rsidP="002462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4D13"/>
    <w:multiLevelType w:val="multilevel"/>
    <w:tmpl w:val="527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C1D90"/>
    <w:multiLevelType w:val="multilevel"/>
    <w:tmpl w:val="BC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C60"/>
    <w:multiLevelType w:val="multilevel"/>
    <w:tmpl w:val="8C04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55DA9"/>
    <w:multiLevelType w:val="multilevel"/>
    <w:tmpl w:val="D714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3A01B8"/>
    <w:multiLevelType w:val="multilevel"/>
    <w:tmpl w:val="33FC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480C38"/>
    <w:multiLevelType w:val="multilevel"/>
    <w:tmpl w:val="E364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0C5764"/>
    <w:multiLevelType w:val="multilevel"/>
    <w:tmpl w:val="DC1A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B14184"/>
    <w:multiLevelType w:val="hybridMultilevel"/>
    <w:tmpl w:val="D7A44F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6A11BE0"/>
    <w:multiLevelType w:val="multilevel"/>
    <w:tmpl w:val="3174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80435F"/>
    <w:multiLevelType w:val="multilevel"/>
    <w:tmpl w:val="A3EE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2B78B7"/>
    <w:multiLevelType w:val="multilevel"/>
    <w:tmpl w:val="9C00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000BF7"/>
    <w:multiLevelType w:val="multilevel"/>
    <w:tmpl w:val="4B7C292C"/>
    <w:lvl w:ilvl="0">
      <w:start w:val="1"/>
      <w:numFmt w:val="decimal"/>
      <w:lvlText w:val="%1-"/>
      <w:lvlJc w:val="left"/>
      <w:pPr>
        <w:tabs>
          <w:tab w:val="num" w:pos="720"/>
        </w:tabs>
        <w:ind w:left="720" w:hanging="360"/>
      </w:pPr>
      <w:rPr>
        <w:rFonts w:ascii="Simplified Arabic" w:eastAsia="Times New Roman" w:hAnsi="Simplified Arabic" w:cs="Simplified Arabic"/>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104D27"/>
    <w:multiLevelType w:val="multilevel"/>
    <w:tmpl w:val="4CF0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7A7B44"/>
    <w:multiLevelType w:val="multilevel"/>
    <w:tmpl w:val="8AC67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C97A07"/>
    <w:multiLevelType w:val="multilevel"/>
    <w:tmpl w:val="74EE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E7164A"/>
    <w:multiLevelType w:val="multilevel"/>
    <w:tmpl w:val="AF9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136BA8"/>
    <w:multiLevelType w:val="multilevel"/>
    <w:tmpl w:val="C430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B22751"/>
    <w:multiLevelType w:val="multilevel"/>
    <w:tmpl w:val="FAE6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C96A01"/>
    <w:multiLevelType w:val="multilevel"/>
    <w:tmpl w:val="E704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864B20"/>
    <w:multiLevelType w:val="multilevel"/>
    <w:tmpl w:val="810C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4"/>
  </w:num>
  <w:num w:numId="4">
    <w:abstractNumId w:val="19"/>
  </w:num>
  <w:num w:numId="5">
    <w:abstractNumId w:val="16"/>
  </w:num>
  <w:num w:numId="6">
    <w:abstractNumId w:val="1"/>
  </w:num>
  <w:num w:numId="7">
    <w:abstractNumId w:val="18"/>
  </w:num>
  <w:num w:numId="8">
    <w:abstractNumId w:val="11"/>
  </w:num>
  <w:num w:numId="9">
    <w:abstractNumId w:val="0"/>
  </w:num>
  <w:num w:numId="10">
    <w:abstractNumId w:val="8"/>
  </w:num>
  <w:num w:numId="11">
    <w:abstractNumId w:val="6"/>
  </w:num>
  <w:num w:numId="12">
    <w:abstractNumId w:val="12"/>
  </w:num>
  <w:num w:numId="13">
    <w:abstractNumId w:val="5"/>
  </w:num>
  <w:num w:numId="14">
    <w:abstractNumId w:val="10"/>
  </w:num>
  <w:num w:numId="15">
    <w:abstractNumId w:val="7"/>
  </w:num>
  <w:num w:numId="16">
    <w:abstractNumId w:val="2"/>
  </w:num>
  <w:num w:numId="17">
    <w:abstractNumId w:val="4"/>
  </w:num>
  <w:num w:numId="18">
    <w:abstractNumId w:val="3"/>
  </w:num>
  <w:num w:numId="19">
    <w:abstractNumId w:val="9"/>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27D67"/>
    <w:rsid w:val="00205BE5"/>
    <w:rsid w:val="00246216"/>
    <w:rsid w:val="00391B16"/>
    <w:rsid w:val="003F7174"/>
    <w:rsid w:val="00417984"/>
    <w:rsid w:val="005238B9"/>
    <w:rsid w:val="006855DF"/>
    <w:rsid w:val="00791A33"/>
    <w:rsid w:val="007A2451"/>
    <w:rsid w:val="008A716E"/>
    <w:rsid w:val="008B6297"/>
    <w:rsid w:val="00AA1C61"/>
    <w:rsid w:val="00B27D67"/>
    <w:rsid w:val="00B424AE"/>
    <w:rsid w:val="00BD2525"/>
    <w:rsid w:val="00D23D05"/>
    <w:rsid w:val="00E019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451"/>
  </w:style>
  <w:style w:type="paragraph" w:styleId="Titre1">
    <w:name w:val="heading 1"/>
    <w:basedOn w:val="Normal"/>
    <w:next w:val="Normal"/>
    <w:link w:val="Titre1Car"/>
    <w:uiPriority w:val="9"/>
    <w:qFormat/>
    <w:rsid w:val="00D23D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B27D6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27D67"/>
    <w:rPr>
      <w:rFonts w:ascii="Times New Roman" w:eastAsia="Times New Roman" w:hAnsi="Times New Roman" w:cs="Times New Roman"/>
      <w:b/>
      <w:bCs/>
      <w:sz w:val="36"/>
      <w:szCs w:val="36"/>
      <w:lang w:eastAsia="fr-FR"/>
    </w:rPr>
  </w:style>
  <w:style w:type="paragraph" w:customStyle="1" w:styleId="my-2">
    <w:name w:val="my-2"/>
    <w:basedOn w:val="Normal"/>
    <w:rsid w:val="00B27D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
    <w:name w:val="citation"/>
    <w:basedOn w:val="Policepardfaut"/>
    <w:rsid w:val="00B27D67"/>
  </w:style>
  <w:style w:type="character" w:styleId="Lienhypertexte">
    <w:name w:val="Hyperlink"/>
    <w:basedOn w:val="Policepardfaut"/>
    <w:uiPriority w:val="99"/>
    <w:semiHidden/>
    <w:unhideWhenUsed/>
    <w:rsid w:val="00B27D67"/>
    <w:rPr>
      <w:color w:val="0000FF"/>
      <w:u w:val="single"/>
    </w:rPr>
  </w:style>
  <w:style w:type="character" w:customStyle="1" w:styleId="relative">
    <w:name w:val="relative"/>
    <w:basedOn w:val="Policepardfaut"/>
    <w:rsid w:val="00B27D67"/>
  </w:style>
  <w:style w:type="character" w:customStyle="1" w:styleId="opacity-50">
    <w:name w:val="opacity-50"/>
    <w:basedOn w:val="Policepardfaut"/>
    <w:rsid w:val="00B27D67"/>
  </w:style>
  <w:style w:type="paragraph" w:styleId="NormalWeb">
    <w:name w:val="Normal (Web)"/>
    <w:basedOn w:val="Normal"/>
    <w:uiPriority w:val="99"/>
    <w:semiHidden/>
    <w:unhideWhenUsed/>
    <w:rsid w:val="00391B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91B16"/>
    <w:rPr>
      <w:b/>
      <w:bCs/>
    </w:rPr>
  </w:style>
  <w:style w:type="paragraph" w:styleId="Paragraphedeliste">
    <w:name w:val="List Paragraph"/>
    <w:basedOn w:val="Normal"/>
    <w:uiPriority w:val="34"/>
    <w:qFormat/>
    <w:rsid w:val="00391B16"/>
    <w:pPr>
      <w:ind w:left="720"/>
      <w:contextualSpacing/>
    </w:pPr>
  </w:style>
  <w:style w:type="character" w:customStyle="1" w:styleId="Titre1Car">
    <w:name w:val="Titre 1 Car"/>
    <w:basedOn w:val="Policepardfaut"/>
    <w:link w:val="Titre1"/>
    <w:uiPriority w:val="9"/>
    <w:rsid w:val="00D23D05"/>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2462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46216"/>
  </w:style>
  <w:style w:type="paragraph" w:styleId="Pieddepage">
    <w:name w:val="footer"/>
    <w:basedOn w:val="Normal"/>
    <w:link w:val="PieddepageCar"/>
    <w:uiPriority w:val="99"/>
    <w:unhideWhenUsed/>
    <w:rsid w:val="002462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6216"/>
  </w:style>
</w:styles>
</file>

<file path=word/webSettings.xml><?xml version="1.0" encoding="utf-8"?>
<w:webSettings xmlns:r="http://schemas.openxmlformats.org/officeDocument/2006/relationships" xmlns:w="http://schemas.openxmlformats.org/wordprocessingml/2006/main">
  <w:divs>
    <w:div w:id="680938230">
      <w:bodyDiv w:val="1"/>
      <w:marLeft w:val="0"/>
      <w:marRight w:val="0"/>
      <w:marTop w:val="0"/>
      <w:marBottom w:val="0"/>
      <w:divBdr>
        <w:top w:val="none" w:sz="0" w:space="0" w:color="auto"/>
        <w:left w:val="none" w:sz="0" w:space="0" w:color="auto"/>
        <w:bottom w:val="none" w:sz="0" w:space="0" w:color="auto"/>
        <w:right w:val="none" w:sz="0" w:space="0" w:color="auto"/>
      </w:divBdr>
      <w:divsChild>
        <w:div w:id="885216858">
          <w:marLeft w:val="0"/>
          <w:marRight w:val="0"/>
          <w:marTop w:val="0"/>
          <w:marBottom w:val="0"/>
          <w:divBdr>
            <w:top w:val="none" w:sz="0" w:space="0" w:color="auto"/>
            <w:left w:val="none" w:sz="0" w:space="0" w:color="auto"/>
            <w:bottom w:val="none" w:sz="0" w:space="0" w:color="auto"/>
            <w:right w:val="none" w:sz="0" w:space="0" w:color="auto"/>
          </w:divBdr>
        </w:div>
      </w:divsChild>
    </w:div>
    <w:div w:id="796529940">
      <w:bodyDiv w:val="1"/>
      <w:marLeft w:val="0"/>
      <w:marRight w:val="0"/>
      <w:marTop w:val="0"/>
      <w:marBottom w:val="0"/>
      <w:divBdr>
        <w:top w:val="none" w:sz="0" w:space="0" w:color="auto"/>
        <w:left w:val="none" w:sz="0" w:space="0" w:color="auto"/>
        <w:bottom w:val="none" w:sz="0" w:space="0" w:color="auto"/>
        <w:right w:val="none" w:sz="0" w:space="0" w:color="auto"/>
      </w:divBdr>
      <w:divsChild>
        <w:div w:id="976303401">
          <w:marLeft w:val="0"/>
          <w:marRight w:val="0"/>
          <w:marTop w:val="0"/>
          <w:marBottom w:val="0"/>
          <w:divBdr>
            <w:top w:val="none" w:sz="0" w:space="0" w:color="auto"/>
            <w:left w:val="none" w:sz="0" w:space="0" w:color="auto"/>
            <w:bottom w:val="none" w:sz="0" w:space="0" w:color="auto"/>
            <w:right w:val="none" w:sz="0" w:space="0" w:color="auto"/>
          </w:divBdr>
        </w:div>
      </w:divsChild>
    </w:div>
    <w:div w:id="951279373">
      <w:bodyDiv w:val="1"/>
      <w:marLeft w:val="0"/>
      <w:marRight w:val="0"/>
      <w:marTop w:val="0"/>
      <w:marBottom w:val="0"/>
      <w:divBdr>
        <w:top w:val="none" w:sz="0" w:space="0" w:color="auto"/>
        <w:left w:val="none" w:sz="0" w:space="0" w:color="auto"/>
        <w:bottom w:val="none" w:sz="0" w:space="0" w:color="auto"/>
        <w:right w:val="none" w:sz="0" w:space="0" w:color="auto"/>
      </w:divBdr>
    </w:div>
    <w:div w:id="1488784916">
      <w:bodyDiv w:val="1"/>
      <w:marLeft w:val="0"/>
      <w:marRight w:val="0"/>
      <w:marTop w:val="0"/>
      <w:marBottom w:val="0"/>
      <w:divBdr>
        <w:top w:val="none" w:sz="0" w:space="0" w:color="auto"/>
        <w:left w:val="none" w:sz="0" w:space="0" w:color="auto"/>
        <w:bottom w:val="none" w:sz="0" w:space="0" w:color="auto"/>
        <w:right w:val="none" w:sz="0" w:space="0" w:color="auto"/>
      </w:divBdr>
      <w:divsChild>
        <w:div w:id="2070424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4</Pages>
  <Words>1069</Words>
  <Characters>5885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2025-12-03T06:12:00Z</cp:lastPrinted>
  <dcterms:created xsi:type="dcterms:W3CDTF">2025-12-02T21:03:00Z</dcterms:created>
  <dcterms:modified xsi:type="dcterms:W3CDTF">2025-12-16T19:28:00Z</dcterms:modified>
</cp:coreProperties>
</file>