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EA" w:rsidRPr="00EE46EA" w:rsidRDefault="00EE46EA" w:rsidP="00EE46EA">
      <w:pPr>
        <w:bidi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EE46EA">
        <w:rPr>
          <w:rFonts w:hint="cs"/>
          <w:b/>
          <w:bCs/>
          <w:sz w:val="32"/>
          <w:szCs w:val="32"/>
          <w:u w:val="single"/>
          <w:rtl/>
        </w:rPr>
        <w:t>أشكال وخصائص الدولة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 xml:space="preserve">أشكال الدولة الرئيسية هي البسيطة (الموحدة) التي تتميز بوحدة السلطة والقوانين، والمركبة (الاتحادية) التي تتكون من دولتين أو أكثر مثل الفيدرالية </w:t>
      </w:r>
      <w:proofErr w:type="spellStart"/>
      <w:r w:rsidRPr="00EE46EA">
        <w:rPr>
          <w:sz w:val="28"/>
          <w:szCs w:val="28"/>
          <w:rtl/>
        </w:rPr>
        <w:t>والكونفدرالية</w:t>
      </w:r>
      <w:proofErr w:type="spellEnd"/>
      <w:r w:rsidRPr="00EE46EA">
        <w:rPr>
          <w:sz w:val="28"/>
          <w:szCs w:val="28"/>
          <w:rtl/>
        </w:rPr>
        <w:t>، وتختلف في توزيع السلطات بين المركز والأقاليم، أما خصائص الدولة الأساسية فهي الشخصية القانونية، السيادة، السلطة، والإقليم</w:t>
      </w:r>
      <w:r w:rsidRPr="00EE46EA">
        <w:rPr>
          <w:sz w:val="28"/>
          <w:szCs w:val="28"/>
          <w:lang w:bidi="ar-DZ"/>
        </w:rPr>
        <w:t>. </w:t>
      </w:r>
    </w:p>
    <w:p w:rsidR="00EE46EA" w:rsidRPr="00EE46EA" w:rsidRDefault="00EE46EA" w:rsidP="00EE46EA">
      <w:pPr>
        <w:bidi/>
        <w:rPr>
          <w:b/>
          <w:bCs/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أشكال الدولة</w:t>
      </w:r>
    </w:p>
    <w:p w:rsidR="00EE46EA" w:rsidRPr="00EE46EA" w:rsidRDefault="00EE46EA" w:rsidP="00EE46EA">
      <w:pPr>
        <w:numPr>
          <w:ilvl w:val="0"/>
          <w:numId w:val="1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الدولة</w:t>
      </w:r>
      <w:proofErr w:type="gramEnd"/>
      <w:r w:rsidRPr="00EE46EA">
        <w:rPr>
          <w:b/>
          <w:bCs/>
          <w:sz w:val="28"/>
          <w:szCs w:val="28"/>
          <w:rtl/>
        </w:rPr>
        <w:t xml:space="preserve"> البسيطة (الموحدة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proofErr w:type="gramStart"/>
      <w:r w:rsidRPr="00EE46EA">
        <w:rPr>
          <w:sz w:val="28"/>
          <w:szCs w:val="28"/>
          <w:rtl/>
        </w:rPr>
        <w:t>تتكون</w:t>
      </w:r>
      <w:proofErr w:type="gramEnd"/>
      <w:r w:rsidRPr="00EE46EA">
        <w:rPr>
          <w:sz w:val="28"/>
          <w:szCs w:val="28"/>
          <w:rtl/>
        </w:rPr>
        <w:t xml:space="preserve"> من سلطة مركزية واحدة تحكم كافة أجزاء الدولة، ولها دستور وقوانين موحدة، مثال: الأردن (وفقاً لبعض المصادر).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1"/>
          <w:numId w:val="2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خصائصها</w:t>
      </w:r>
      <w:proofErr w:type="gramEnd"/>
      <w:r w:rsidRPr="00EE46EA">
        <w:rPr>
          <w:sz w:val="28"/>
          <w:szCs w:val="28"/>
          <w:lang w:bidi="ar-DZ"/>
        </w:rPr>
        <w:t>: </w:t>
      </w:r>
      <w:r w:rsidRPr="00EE46EA">
        <w:rPr>
          <w:sz w:val="28"/>
          <w:szCs w:val="28"/>
          <w:rtl/>
        </w:rPr>
        <w:t>وحدة الحكم، وحدة القوانين، وحدة الإقليم، وجود شخصية قانونية واحدة.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0"/>
          <w:numId w:val="2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الدولة</w:t>
      </w:r>
      <w:proofErr w:type="gramEnd"/>
      <w:r w:rsidRPr="00EE46EA">
        <w:rPr>
          <w:b/>
          <w:bCs/>
          <w:sz w:val="28"/>
          <w:szCs w:val="28"/>
          <w:rtl/>
        </w:rPr>
        <w:t xml:space="preserve"> المركبة (الاتحادية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 xml:space="preserve">تجمع دولتين أو أكثر </w:t>
      </w:r>
      <w:proofErr w:type="gramStart"/>
      <w:r w:rsidRPr="00EE46EA">
        <w:rPr>
          <w:sz w:val="28"/>
          <w:szCs w:val="28"/>
          <w:rtl/>
        </w:rPr>
        <w:t>تحت</w:t>
      </w:r>
      <w:proofErr w:type="gramEnd"/>
      <w:r w:rsidRPr="00EE46EA">
        <w:rPr>
          <w:sz w:val="28"/>
          <w:szCs w:val="28"/>
          <w:rtl/>
        </w:rPr>
        <w:t xml:space="preserve"> مظلة واحدة، وتُقسم إلى:</w:t>
      </w:r>
    </w:p>
    <w:p w:rsidR="00EE46EA" w:rsidRPr="00EE46EA" w:rsidRDefault="00EE46EA" w:rsidP="00EE46EA">
      <w:pPr>
        <w:numPr>
          <w:ilvl w:val="1"/>
          <w:numId w:val="2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الاتحاد</w:t>
      </w:r>
      <w:proofErr w:type="gramEnd"/>
      <w:r w:rsidRPr="00EE46EA">
        <w:rPr>
          <w:b/>
          <w:bCs/>
          <w:sz w:val="28"/>
          <w:szCs w:val="28"/>
          <w:rtl/>
        </w:rPr>
        <w:t xml:space="preserve"> الشخصي</w:t>
      </w:r>
      <w:r w:rsidRPr="00EE46EA">
        <w:rPr>
          <w:sz w:val="28"/>
          <w:szCs w:val="28"/>
          <w:lang w:bidi="ar-DZ"/>
        </w:rPr>
        <w:t>: </w:t>
      </w:r>
      <w:r w:rsidRPr="00EE46EA">
        <w:rPr>
          <w:sz w:val="28"/>
          <w:szCs w:val="28"/>
          <w:rtl/>
        </w:rPr>
        <w:t>يجمع دولتين تحت رأس واحد (ملك أو رئيس) مع احتفاظ كل دولة بسيادتها الداخلية والخارجية.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1"/>
          <w:numId w:val="2"/>
        </w:numPr>
        <w:bidi/>
        <w:rPr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 xml:space="preserve">الاتحاد </w:t>
      </w:r>
      <w:proofErr w:type="spellStart"/>
      <w:r w:rsidRPr="00EE46EA">
        <w:rPr>
          <w:b/>
          <w:bCs/>
          <w:sz w:val="28"/>
          <w:szCs w:val="28"/>
          <w:rtl/>
        </w:rPr>
        <w:t>التعاهدي</w:t>
      </w:r>
      <w:proofErr w:type="spellEnd"/>
      <w:r w:rsidRPr="00EE46EA">
        <w:rPr>
          <w:b/>
          <w:bCs/>
          <w:sz w:val="28"/>
          <w:szCs w:val="28"/>
          <w:rtl/>
        </w:rPr>
        <w:t xml:space="preserve"> (</w:t>
      </w:r>
      <w:proofErr w:type="spellStart"/>
      <w:r w:rsidRPr="00EE46EA">
        <w:rPr>
          <w:b/>
          <w:bCs/>
          <w:sz w:val="28"/>
          <w:szCs w:val="28"/>
          <w:rtl/>
        </w:rPr>
        <w:t>الكونفدرالي</w:t>
      </w:r>
      <w:proofErr w:type="spellEnd"/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  <w:r w:rsidRPr="00EE46EA">
        <w:rPr>
          <w:sz w:val="28"/>
          <w:szCs w:val="28"/>
          <w:rtl/>
        </w:rPr>
        <w:t>اتحاد دول مستقلة تحفظ استقلالها الكامل، وتتعاون في مجالات محددة، وتعتبر دولاً منفصلة، مثال: الاتحاد الأوروبي (في بعض جوانبه).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1"/>
          <w:numId w:val="2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الاتحاد</w:t>
      </w:r>
      <w:proofErr w:type="gramEnd"/>
      <w:r w:rsidRPr="00EE46EA">
        <w:rPr>
          <w:b/>
          <w:bCs/>
          <w:sz w:val="28"/>
          <w:szCs w:val="28"/>
          <w:rtl/>
        </w:rPr>
        <w:t xml:space="preserve"> الفعلي (الحقيقي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  <w:r w:rsidRPr="00EE46EA">
        <w:rPr>
          <w:sz w:val="28"/>
          <w:szCs w:val="28"/>
          <w:rtl/>
        </w:rPr>
        <w:t>توحيد السياسة الخارجية لدولتين مع احتفاظهما بسياستها الداخلية، وقد يصبحان دولة واحدة في المستقبل، مثال: ألمانيا والنمسا (تاريخياً).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1"/>
          <w:numId w:val="2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الدولة</w:t>
      </w:r>
      <w:proofErr w:type="gramEnd"/>
      <w:r w:rsidRPr="00EE46EA">
        <w:rPr>
          <w:b/>
          <w:bCs/>
          <w:sz w:val="28"/>
          <w:szCs w:val="28"/>
          <w:rtl/>
        </w:rPr>
        <w:t xml:space="preserve"> الاتحادية (الفيدرالية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  <w:r w:rsidRPr="00EE46EA">
        <w:rPr>
          <w:sz w:val="28"/>
          <w:szCs w:val="28"/>
          <w:rtl/>
        </w:rPr>
        <w:t>اتحاد دول (ولايات) تحت دستور واحد، وتتقاسم السلطات بين الحكومة المركزية وحكومات الولايات، مع وجود شخصية دولية موحدة، مثال: الولايات المتحدة الأمريكية، الإمارات العربية المتحدة.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bidi/>
        <w:rPr>
          <w:b/>
          <w:bCs/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خصائص الدولة العامة</w:t>
      </w:r>
    </w:p>
    <w:p w:rsidR="00EE46EA" w:rsidRPr="00EE46EA" w:rsidRDefault="00EE46EA" w:rsidP="00EE46EA">
      <w:pPr>
        <w:numPr>
          <w:ilvl w:val="0"/>
          <w:numId w:val="3"/>
        </w:numPr>
        <w:bidi/>
        <w:rPr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الشخصية القانونية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>كيان معنوي مستقل عن الأفراد يمتلك حقوقاً وواجبات.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0"/>
          <w:numId w:val="3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السلطة</w:t>
      </w:r>
      <w:proofErr w:type="gramEnd"/>
      <w:r w:rsidRPr="00EE46EA">
        <w:rPr>
          <w:b/>
          <w:bCs/>
          <w:sz w:val="28"/>
          <w:szCs w:val="28"/>
          <w:rtl/>
        </w:rPr>
        <w:t xml:space="preserve"> (السيادة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>السلطة العليا التي لا توجد سلطة أعلى منها في فرض الإرادة، وهي مطلقة وغير قابلة للتنازل عنها.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0"/>
          <w:numId w:val="3"/>
        </w:numPr>
        <w:bidi/>
        <w:rPr>
          <w:sz w:val="28"/>
          <w:szCs w:val="28"/>
          <w:lang w:bidi="ar-DZ"/>
        </w:rPr>
      </w:pPr>
      <w:proofErr w:type="gramStart"/>
      <w:r w:rsidRPr="00EE46EA">
        <w:rPr>
          <w:b/>
          <w:bCs/>
          <w:sz w:val="28"/>
          <w:szCs w:val="28"/>
          <w:rtl/>
        </w:rPr>
        <w:t>الإقليم</w:t>
      </w:r>
      <w:proofErr w:type="gramEnd"/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lastRenderedPageBreak/>
        <w:t>الرقعة الجغرافية التي تمارس عليها الدولة سلطتها.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numPr>
          <w:ilvl w:val="0"/>
          <w:numId w:val="3"/>
        </w:numPr>
        <w:bidi/>
        <w:rPr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الشعب (السكان</w:t>
      </w:r>
      <w:r w:rsidRPr="00EE46EA">
        <w:rPr>
          <w:b/>
          <w:bCs/>
          <w:sz w:val="28"/>
          <w:szCs w:val="28"/>
          <w:lang w:bidi="ar-DZ"/>
        </w:rPr>
        <w:t>)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 xml:space="preserve">مجموعة الأفراد المقيمين بشكل دائم في الإقليم </w:t>
      </w:r>
      <w:proofErr w:type="gramStart"/>
      <w:r w:rsidRPr="00EE46EA">
        <w:rPr>
          <w:sz w:val="28"/>
          <w:szCs w:val="28"/>
          <w:rtl/>
        </w:rPr>
        <w:t>ويخضعون</w:t>
      </w:r>
      <w:proofErr w:type="gramEnd"/>
      <w:r w:rsidRPr="00EE46EA">
        <w:rPr>
          <w:sz w:val="28"/>
          <w:szCs w:val="28"/>
          <w:rtl/>
        </w:rPr>
        <w:t xml:space="preserve"> لسلطة الدولة.</w:t>
      </w:r>
      <w:r w:rsidRPr="00EE46EA">
        <w:rPr>
          <w:sz w:val="28"/>
          <w:szCs w:val="28"/>
          <w:lang w:bidi="ar-DZ"/>
        </w:rPr>
        <w:t> </w:t>
      </w:r>
    </w:p>
    <w:p w:rsidR="00EE46EA" w:rsidRPr="00EE46EA" w:rsidRDefault="00EE46EA" w:rsidP="00EE46EA">
      <w:pPr>
        <w:bidi/>
        <w:rPr>
          <w:b/>
          <w:bCs/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التمييز بين أشكال الدولة وأشكال الحكم</w:t>
      </w:r>
    </w:p>
    <w:p w:rsidR="00EE46EA" w:rsidRPr="00EE46EA" w:rsidRDefault="00EE46EA" w:rsidP="00EE46EA">
      <w:pPr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شكل الدولة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 xml:space="preserve">يتعلق بتنظيم السلطة </w:t>
      </w:r>
      <w:proofErr w:type="gramStart"/>
      <w:r w:rsidRPr="00EE46EA">
        <w:rPr>
          <w:sz w:val="28"/>
          <w:szCs w:val="28"/>
          <w:rtl/>
        </w:rPr>
        <w:t>داخل</w:t>
      </w:r>
      <w:proofErr w:type="gramEnd"/>
      <w:r w:rsidRPr="00EE46EA">
        <w:rPr>
          <w:sz w:val="28"/>
          <w:szCs w:val="28"/>
          <w:rtl/>
        </w:rPr>
        <w:t xml:space="preserve"> الدولة (موحدة أو مركبة).</w:t>
      </w:r>
    </w:p>
    <w:p w:rsidR="00EE46EA" w:rsidRPr="00EE46EA" w:rsidRDefault="00EE46EA" w:rsidP="00EE46EA">
      <w:pPr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EE46EA">
        <w:rPr>
          <w:b/>
          <w:bCs/>
          <w:sz w:val="28"/>
          <w:szCs w:val="28"/>
          <w:rtl/>
        </w:rPr>
        <w:t>شكل الحكم</w:t>
      </w:r>
      <w:r w:rsidRPr="00EE46EA">
        <w:rPr>
          <w:sz w:val="28"/>
          <w:szCs w:val="28"/>
          <w:lang w:bidi="ar-DZ"/>
        </w:rPr>
        <w:t>: </w:t>
      </w:r>
    </w:p>
    <w:p w:rsidR="00EE46EA" w:rsidRPr="00EE46EA" w:rsidRDefault="00EE46EA" w:rsidP="00EE46EA">
      <w:pPr>
        <w:bidi/>
        <w:rPr>
          <w:sz w:val="28"/>
          <w:szCs w:val="28"/>
          <w:lang w:bidi="ar-DZ"/>
        </w:rPr>
      </w:pPr>
      <w:r w:rsidRPr="00EE46EA">
        <w:rPr>
          <w:sz w:val="28"/>
          <w:szCs w:val="28"/>
          <w:rtl/>
        </w:rPr>
        <w:t xml:space="preserve">يتعلق بأسلوب ممارسة السلطة وتعيين الحكام (جمهوري، ملكي، برلماني، رئاسي، </w:t>
      </w:r>
      <w:proofErr w:type="spellStart"/>
      <w:r w:rsidRPr="00EE46EA">
        <w:rPr>
          <w:sz w:val="28"/>
          <w:szCs w:val="28"/>
          <w:rtl/>
        </w:rPr>
        <w:t>إلخ</w:t>
      </w:r>
      <w:proofErr w:type="spellEnd"/>
      <w:r w:rsidRPr="00EE46EA">
        <w:rPr>
          <w:sz w:val="28"/>
          <w:szCs w:val="28"/>
          <w:rtl/>
        </w:rPr>
        <w:t>).</w:t>
      </w:r>
      <w:r w:rsidRPr="00EE46EA">
        <w:rPr>
          <w:sz w:val="28"/>
          <w:szCs w:val="28"/>
          <w:lang w:bidi="ar-DZ"/>
        </w:rPr>
        <w:t> </w:t>
      </w:r>
    </w:p>
    <w:p w:rsidR="003F49F5" w:rsidRPr="00EE46EA" w:rsidRDefault="003F49F5" w:rsidP="00EE46EA">
      <w:pPr>
        <w:bidi/>
        <w:rPr>
          <w:rFonts w:hint="cs"/>
          <w:sz w:val="28"/>
          <w:szCs w:val="28"/>
          <w:rtl/>
          <w:lang w:bidi="ar-DZ"/>
        </w:rPr>
      </w:pPr>
    </w:p>
    <w:sectPr w:rsidR="003F49F5" w:rsidRPr="00EE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00A9"/>
    <w:multiLevelType w:val="multilevel"/>
    <w:tmpl w:val="FE0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C28D7"/>
    <w:multiLevelType w:val="multilevel"/>
    <w:tmpl w:val="E61C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F7039"/>
    <w:multiLevelType w:val="multilevel"/>
    <w:tmpl w:val="189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46EA"/>
    <w:rsid w:val="003F49F5"/>
    <w:rsid w:val="00EE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43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34">
              <w:marLeft w:val="0"/>
              <w:marRight w:val="0"/>
              <w:marTop w:val="272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1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44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787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9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8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2475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3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7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95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122">
              <w:marLeft w:val="0"/>
              <w:marRight w:val="0"/>
              <w:marTop w:val="272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7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1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9425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5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0315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4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68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2714">
              <w:marLeft w:val="0"/>
              <w:marRight w:val="0"/>
              <w:marTop w:val="272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8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6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2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5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2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807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8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7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6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8000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0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Company>MicroTech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MicroTech</dc:creator>
  <cp:keywords/>
  <dc:description/>
  <cp:lastModifiedBy>MicroTech</cp:lastModifiedBy>
  <cp:revision>2</cp:revision>
  <dcterms:created xsi:type="dcterms:W3CDTF">2026-01-12T16:36:00Z</dcterms:created>
  <dcterms:modified xsi:type="dcterms:W3CDTF">2026-01-12T16:36:00Z</dcterms:modified>
</cp:coreProperties>
</file>