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2C1C" w14:textId="4D76391B" w:rsidR="000D3EC7" w:rsidRPr="000D3EC7" w:rsidRDefault="000D3EC7" w:rsidP="000D3EC7">
      <w:pPr>
        <w:bidi/>
        <w:spacing w:line="360" w:lineRule="auto"/>
        <w:jc w:val="center"/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</w:pPr>
      <w:r w:rsidRPr="000D3EC7">
        <w:rPr>
          <w:rFonts w:ascii="Segoe UI Historic" w:hAnsi="Segoe UI Historic" w:cs="Times New Roman" w:hint="cs"/>
          <w:b/>
          <w:bCs/>
          <w:sz w:val="32"/>
          <w:szCs w:val="32"/>
          <w:shd w:val="clear" w:color="auto" w:fill="FFFFFF"/>
          <w:rtl/>
        </w:rPr>
        <w:t>محا</w:t>
      </w:r>
      <w:r w:rsidRPr="000D3EC7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 xml:space="preserve">ضرة: مصادر </w:t>
      </w:r>
      <w:r w:rsidRPr="000D3EC7">
        <w:rPr>
          <w:rFonts w:ascii="Segoe UI Historic" w:hAnsi="Segoe UI Historic" w:cs="Times New Roman"/>
          <w:b/>
          <w:bCs/>
          <w:sz w:val="36"/>
          <w:szCs w:val="36"/>
          <w:shd w:val="clear" w:color="auto" w:fill="FFFFFF"/>
          <w:rtl/>
        </w:rPr>
        <w:t>التشريع</w:t>
      </w:r>
      <w:r w:rsidRPr="000D3EC7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 xml:space="preserve"> البنكي في الجزائر</w:t>
      </w:r>
    </w:p>
    <w:p w14:paraId="5DE1FCD7" w14:textId="71522D9C" w:rsidR="000D3EC7" w:rsidRPr="000D3EC7" w:rsidRDefault="000D3EC7" w:rsidP="000D3EC7">
      <w:pPr>
        <w:bidi/>
        <w:spacing w:line="360" w:lineRule="auto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 w:rsidRPr="000D3EC7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</w:t>
      </w:r>
      <w:r w:rsidRPr="000D3EC7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تمهيد:</w:t>
      </w:r>
      <w:r w:rsidRPr="000D3EC7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يُعد النظام البنكي أحد الركائز الأساسية للاقتصاد الوطني، إذ يضطلع بوظيفة حيوية في تعبئة الموارد المالية وتوجيهها نحو الاستثمار والتنمية</w:t>
      </w:r>
      <w:r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 xml:space="preserve">. </w:t>
      </w:r>
      <w:r w:rsidRPr="000D3EC7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ولأن النشاط البنكي يمس المصلحة العامة ويمارس في إطار نظام قانوني دقيق، كان لزامًا أن يُؤطر بتشريعات تنظم آليات العمل، والرقابة، والعلاقة بين البنوك والعملاء، وبين البنوك والسلطات النقدية</w:t>
      </w:r>
      <w:r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>.</w:t>
      </w:r>
      <w:r w:rsidRPr="000D3EC7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</w:t>
      </w:r>
      <w:r w:rsidRPr="000D3EC7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</w:t>
      </w:r>
    </w:p>
    <w:p w14:paraId="1F91F80A" w14:textId="77777777" w:rsidR="00AA1B2A" w:rsidRDefault="000D3EC7" w:rsidP="000D3EC7">
      <w:pPr>
        <w:bidi/>
        <w:spacing w:line="360" w:lineRule="auto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 w:rsidRPr="000D3EC7">
        <w:rPr>
          <w:rFonts w:ascii="Segoe UI Historic" w:hAnsi="Segoe UI Historic" w:cs="Times New Roman" w:hint="cs"/>
          <w:b/>
          <w:bCs/>
          <w:sz w:val="32"/>
          <w:szCs w:val="32"/>
          <w:shd w:val="clear" w:color="auto" w:fill="FFFFFF"/>
          <w:rtl/>
        </w:rPr>
        <w:t xml:space="preserve">         </w:t>
      </w:r>
      <w:r>
        <w:rPr>
          <w:rFonts w:ascii="Segoe UI Historic" w:hAnsi="Segoe UI Historic" w:cs="Times New Roman" w:hint="cs"/>
          <w:b/>
          <w:bCs/>
          <w:sz w:val="32"/>
          <w:szCs w:val="32"/>
          <w:shd w:val="clear" w:color="auto" w:fill="FFFFFF"/>
          <w:rtl/>
        </w:rPr>
        <w:t>"</w:t>
      </w:r>
      <w:r w:rsidRPr="000D3EC7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يستند التشريع البنكي الجزائري إلى منظومة قانونية متكاملة، تتداخل فيها مصادر متعددة</w:t>
      </w:r>
      <w:r w:rsidRPr="000D3EC7"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</w:rPr>
        <w:t xml:space="preserve">: </w:t>
      </w:r>
      <w:r w:rsidRPr="000D3EC7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دستورية، تشريعية، تنظيمية، مهنية، واتفاقية دولية</w:t>
      </w:r>
      <w:r w:rsidR="00AA1B2A"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>".</w:t>
      </w:r>
    </w:p>
    <w:p w14:paraId="3BCB6412" w14:textId="77777777" w:rsidR="00592E0E" w:rsidRDefault="000D3EC7" w:rsidP="00AA1B2A">
      <w:pPr>
        <w:bidi/>
        <w:spacing w:line="360" w:lineRule="auto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 w:rsidRPr="00592E0E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أولًا: المصادر الدستورية</w:t>
      </w:r>
      <w:r w:rsidR="00592E0E"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 xml:space="preserve">: </w:t>
      </w:r>
      <w:r w:rsidRPr="000D3EC7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الدستور الجزائري هو القاعدة العليا للنظام القانوني، ومنه تستمد جميع التشريعات مشروعيتها</w:t>
      </w:r>
      <w:r w:rsidR="00592E0E"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 xml:space="preserve">. </w:t>
      </w:r>
      <w:r w:rsidRPr="000D3EC7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أهم ما جاء فيه يخص المجال المالي والبنكي</w:t>
      </w:r>
      <w:r w:rsidR="00592E0E"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 xml:space="preserve">: </w:t>
      </w:r>
    </w:p>
    <w:p w14:paraId="190FB34C" w14:textId="77777777" w:rsidR="00592E0E" w:rsidRDefault="00592E0E" w:rsidP="00592E0E">
      <w:pPr>
        <w:bidi/>
        <w:spacing w:line="360" w:lineRule="auto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</w:pPr>
      <w:r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>-</w:t>
      </w:r>
      <w:r w:rsidR="000D3EC7" w:rsidRPr="00592E0E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المادة 37 من دستور 2020:</w:t>
      </w:r>
      <w:r w:rsidR="000D3EC7" w:rsidRPr="000D3EC7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تضمن حرية الاستثمار والمبادرة الاقتصادي</w:t>
      </w:r>
      <w:r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>ة.</w:t>
      </w:r>
    </w:p>
    <w:p w14:paraId="5D55CC9A" w14:textId="77777777" w:rsidR="00592E0E" w:rsidRDefault="00592E0E" w:rsidP="00592E0E">
      <w:pPr>
        <w:bidi/>
        <w:spacing w:line="360" w:lineRule="auto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>-</w:t>
      </w:r>
      <w:r w:rsidR="000D3EC7" w:rsidRPr="000D3EC7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</w:t>
      </w:r>
      <w:r w:rsidR="000D3EC7" w:rsidRPr="00592E0E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المادة 179:</w:t>
      </w:r>
      <w:r w:rsidR="000D3EC7" w:rsidRPr="000D3EC7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تنص على استقلالية بنك الجزائر في إعداد وتنفيذ السياسة النقدية</w:t>
      </w:r>
      <w:r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>.</w:t>
      </w:r>
    </w:p>
    <w:p w14:paraId="71CAF977" w14:textId="77777777" w:rsidR="00592E0E" w:rsidRDefault="00592E0E" w:rsidP="00592E0E">
      <w:pPr>
        <w:bidi/>
        <w:spacing w:line="360" w:lineRule="auto"/>
        <w:jc w:val="both"/>
        <w:rPr>
          <w:rFonts w:ascii="Segoe UI Historic" w:hAnsi="Segoe UI Historic" w:cs="Segoe UI Historic"/>
          <w:noProof/>
          <w:sz w:val="32"/>
          <w:szCs w:val="32"/>
          <w:shd w:val="clear" w:color="auto" w:fill="FFFFFF"/>
          <w:rtl/>
        </w:rPr>
      </w:pPr>
      <w:r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>-</w:t>
      </w:r>
      <w:r w:rsidR="000D3EC7" w:rsidRPr="00592E0E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المادة 180:</w:t>
      </w:r>
      <w:r w:rsidR="000D3EC7" w:rsidRPr="000D3EC7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تنظم مجلس النقد والقرض كهيئة استشارية وتنظيمية عليا</w:t>
      </w:r>
      <w:r w:rsidR="000D3EC7" w:rsidRPr="000D3EC7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</w:p>
    <w:p w14:paraId="78DDC70A" w14:textId="179D7B65" w:rsidR="00592E0E" w:rsidRPr="00C84CB6" w:rsidRDefault="000D3EC7" w:rsidP="00C84CB6">
      <w:pPr>
        <w:bidi/>
        <w:spacing w:line="360" w:lineRule="auto"/>
        <w:jc w:val="center"/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  <w:rtl/>
        </w:rPr>
      </w:pPr>
      <w:r w:rsidRPr="00C84CB6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الدستور يضع المبادئ العامة التي تضمن استقلالية السلطة النقدية وتوجيه السياسة البنكية نحو خدمة الاقتصاد الوطني</w:t>
      </w:r>
      <w:r w:rsidRPr="00C84CB6"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</w:rPr>
        <w:t>.</w:t>
      </w:r>
    </w:p>
    <w:p w14:paraId="7B0C7E0F" w14:textId="77777777" w:rsidR="00592E0E" w:rsidRDefault="000D3EC7" w:rsidP="00592E0E">
      <w:pPr>
        <w:bidi/>
        <w:spacing w:line="360" w:lineRule="auto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</w:pPr>
      <w:r w:rsidRPr="000D3EC7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</w:t>
      </w:r>
      <w:r w:rsidRPr="00592E0E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ثانيًا: المصادر التشريعية (القوانين)</w:t>
      </w:r>
      <w:r w:rsidR="00592E0E" w:rsidRPr="00592E0E">
        <w:rPr>
          <w:rFonts w:ascii="Segoe UI Historic" w:hAnsi="Segoe UI Historic" w:cs="Times New Roman" w:hint="cs"/>
          <w:b/>
          <w:bCs/>
          <w:sz w:val="32"/>
          <w:szCs w:val="32"/>
          <w:shd w:val="clear" w:color="auto" w:fill="FFFFFF"/>
          <w:rtl/>
        </w:rPr>
        <w:t>:</w:t>
      </w:r>
      <w:r w:rsidRPr="000D3EC7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وهي أهم المصادر العملية التي تنظم القطاع البنكي، وتصدر عن البرلمان</w:t>
      </w:r>
      <w:r w:rsidRPr="000D3EC7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0D3EC7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أبرزه</w:t>
      </w:r>
      <w:r w:rsidR="00592E0E"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>ا:</w:t>
      </w:r>
    </w:p>
    <w:p w14:paraId="1DE068AF" w14:textId="451CD5F2" w:rsidR="00592E0E" w:rsidRPr="00592E0E" w:rsidRDefault="000D3EC7" w:rsidP="00592E0E">
      <w:pPr>
        <w:pStyle w:val="a3"/>
        <w:numPr>
          <w:ilvl w:val="0"/>
          <w:numId w:val="1"/>
        </w:numPr>
        <w:bidi/>
        <w:spacing w:line="360" w:lineRule="auto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</w:pPr>
      <w:r w:rsidRPr="00592E0E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القانون رقم 90-10 المؤرخ في 14 أفريل 1990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، المتعلق بالنقد والقرض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يعتبر الإطار القانوني الأساسي للنظام البنكي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يحدد طبيعة البنوك، شروط الاعتماد، والرقابة المصرفية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يؤسس لمبدأ استقلالية بنك الجزائر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ينظم العلاقة بين البنوك والعملاء</w:t>
      </w:r>
    </w:p>
    <w:p w14:paraId="41341F53" w14:textId="77777777" w:rsidR="00592E0E" w:rsidRDefault="000D3EC7" w:rsidP="00592E0E">
      <w:pPr>
        <w:bidi/>
        <w:spacing w:line="360" w:lineRule="auto"/>
        <w:ind w:left="360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</w:pP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lastRenderedPageBreak/>
        <w:t xml:space="preserve">. 2. </w:t>
      </w:r>
      <w:r w:rsidRPr="00592E0E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القانون 03-11 المعدل والمتمم للقانون 90-10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عزز من مهام بنك الجزائر في مجال الرقابة والحوكمة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نظم فتح فروع لبنوك أجنبية في الجزائر</w:t>
      </w:r>
    </w:p>
    <w:p w14:paraId="01FBAB8B" w14:textId="77777777" w:rsidR="00592E0E" w:rsidRDefault="000D3EC7" w:rsidP="00592E0E">
      <w:pPr>
        <w:bidi/>
        <w:spacing w:line="360" w:lineRule="auto"/>
        <w:ind w:left="360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3. </w:t>
      </w:r>
      <w:r w:rsidRPr="00592E0E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القانون رقم 23-09 لسنة 2023 المتعلق بالنشاط البنكي والمؤسسات المالية (القانون البنكي الجديد)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: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جاء ليعصرن الإطار البنكي ويتماشى مع التحول الرقمي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سمح بظهور البنوك الرقمية والإسلامية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عزز قواعد الامتثال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(Compliance)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ومكافحة تبييض الأموال وتمويل الإرهاب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</w:p>
    <w:p w14:paraId="1F4522CB" w14:textId="55D81016" w:rsidR="00592E0E" w:rsidRDefault="000D3EC7" w:rsidP="00592E0E">
      <w:pPr>
        <w:bidi/>
        <w:spacing w:line="360" w:lineRule="auto"/>
        <w:ind w:left="360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</w:pPr>
      <w:r w:rsidRPr="00592E0E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ثالثًا: المصادر التنظيمية</w:t>
      </w:r>
      <w:r w:rsidR="00592E0E" w:rsidRPr="00592E0E">
        <w:rPr>
          <w:rFonts w:ascii="Segoe UI Historic" w:hAnsi="Segoe UI Historic" w:cs="Times New Roman" w:hint="cs"/>
          <w:b/>
          <w:bCs/>
          <w:sz w:val="32"/>
          <w:szCs w:val="32"/>
          <w:shd w:val="clear" w:color="auto" w:fill="FFFFFF"/>
          <w:rtl/>
        </w:rPr>
        <w:t>: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وهي النصوص الصادرة عن السلطة التنفيذية لتطبيق القوانين، وتشمل</w:t>
      </w:r>
      <w:r w:rsidR="00592E0E"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>:</w:t>
      </w:r>
    </w:p>
    <w:p w14:paraId="2F7E43BE" w14:textId="3EDBACD1" w:rsidR="00592E0E" w:rsidRPr="00592E0E" w:rsidRDefault="000D3EC7" w:rsidP="00592E0E">
      <w:pPr>
        <w:pStyle w:val="a3"/>
        <w:numPr>
          <w:ilvl w:val="0"/>
          <w:numId w:val="2"/>
        </w:numPr>
        <w:bidi/>
        <w:spacing w:line="360" w:lineRule="auto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 w:rsidRPr="00592E0E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اللوائح</w:t>
      </w:r>
      <w:r w:rsidRPr="00592E0E"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</w:rPr>
        <w:t xml:space="preserve"> (Décrets):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مثل المراسيم التنفيذية التي تحدد كيفيات منح الاعتماد للبنوك، وتنظيم عمل الفروع الأجنبية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</w:p>
    <w:p w14:paraId="51D73753" w14:textId="230DD8FF" w:rsidR="008E6FE8" w:rsidRPr="008E6FE8" w:rsidRDefault="000D3EC7" w:rsidP="008E6FE8">
      <w:pPr>
        <w:pStyle w:val="a3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</w:rPr>
      </w:pPr>
      <w:r w:rsidRPr="008E6FE8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التعليمات والمناشير الصادرة عن بنك الجزائر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: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مثل التعليمة رقم 05-2017 الخاصة بالاحتراز المالي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التعليمة رقم 01-2020 حول النظام البنكي الإلكتروني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8E6FE8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التعليمة رقم 03-2022 حول الصيرفة الإسلامية</w:t>
      </w:r>
      <w:r w:rsidR="008E6FE8"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 xml:space="preserve">، </w:t>
      </w:r>
      <w:r w:rsidR="008E6FE8" w:rsidRPr="008E6FE8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التعليمة رقم 05-2025 المؤرخة في 17 جويلية 2025 والمتعلقة بحق الصرف من أجل السفر إلى الخارج</w:t>
      </w:r>
      <w:r w:rsidR="008E6FE8"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>.</w:t>
      </w:r>
    </w:p>
    <w:p w14:paraId="3404EC9B" w14:textId="1E2F76E0" w:rsidR="008E6FE8" w:rsidRDefault="008E6FE8" w:rsidP="008E6FE8">
      <w:pPr>
        <w:pStyle w:val="a3"/>
        <w:bidi/>
        <w:spacing w:line="360" w:lineRule="auto"/>
        <w:ind w:left="1035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 xml:space="preserve">                </w:t>
      </w:r>
      <w:r w:rsidR="000D3EC7"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هذه التعليمات تُعتبر أدوات تنفيذية مباشرة لتنظيم النشاط البنكي اليومي وضمان استقراره</w:t>
      </w:r>
      <w:r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>.</w:t>
      </w:r>
    </w:p>
    <w:p w14:paraId="0CC85A7C" w14:textId="0F9380C0" w:rsidR="00C84CB6" w:rsidRPr="00C84CB6" w:rsidRDefault="000D3EC7" w:rsidP="00C84CB6">
      <w:pPr>
        <w:bidi/>
        <w:spacing w:line="360" w:lineRule="auto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</w:pPr>
      <w:r w:rsidRPr="00C84CB6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رابعًا: المصادر المهنية والعرفية العرف البنكي</w:t>
      </w:r>
      <w:r w:rsidRPr="00C84CB6"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</w:rPr>
        <w:t xml:space="preserve"> (Usage bancaire):</w:t>
      </w:r>
      <w:r w:rsidRPr="00C84CB6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</w:t>
      </w:r>
      <w:r w:rsidRPr="00C84CB6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يتكون من الممارسات المستقرة بين البنوك في تعاملاتها، مثل كيفية تنفيذ التحويلات أو تسوية الشيكات</w:t>
      </w:r>
      <w:r w:rsidRPr="00C84CB6">
        <w:rPr>
          <w:rFonts w:ascii="Segoe UI Historic" w:hAnsi="Segoe UI Historic" w:cs="Segoe UI Historic"/>
          <w:sz w:val="32"/>
          <w:szCs w:val="32"/>
          <w:shd w:val="clear" w:color="auto" w:fill="FFFFFF"/>
        </w:rPr>
        <w:t>.</w:t>
      </w:r>
      <w:r w:rsidR="00C84CB6" w:rsidRPr="00C84CB6"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 xml:space="preserve">. </w:t>
      </w:r>
      <w:r w:rsidRPr="00C84CB6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وله قوة إلزامية في حال عدم وجود نص قانوني صريح</w:t>
      </w:r>
      <w:r w:rsidRPr="00C84CB6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C84CB6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الاتفاقيات بين البنوك</w:t>
      </w:r>
      <w:r w:rsidRPr="00C84CB6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(Conventions interbancaires): </w:t>
      </w:r>
      <w:r w:rsidRPr="00C84CB6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مثل اتفاقيات المقاصة الإلكترونية أو تبادل المعلومات الائتمانية</w:t>
      </w:r>
      <w:r w:rsidR="00C84CB6" w:rsidRPr="00C84CB6"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>.</w:t>
      </w:r>
    </w:p>
    <w:p w14:paraId="10058223" w14:textId="4BF512D3" w:rsidR="00C84CB6" w:rsidRPr="00C84CB6" w:rsidRDefault="000D3EC7" w:rsidP="00C84CB6">
      <w:pPr>
        <w:pStyle w:val="a3"/>
        <w:bidi/>
        <w:spacing w:line="360" w:lineRule="auto"/>
        <w:ind w:left="1035"/>
        <w:jc w:val="center"/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  <w:rtl/>
        </w:rPr>
      </w:pPr>
      <w:r w:rsidRPr="00C84CB6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lastRenderedPageBreak/>
        <w:t>هذه الأعراف والاتفاقيات تُعتبر مكملة للنصوص القانونية، وتُستعمل في القضاء لتفسير الالتزامات البنكية</w:t>
      </w:r>
      <w:r w:rsidRPr="00C84CB6"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</w:rPr>
        <w:t>.</w:t>
      </w:r>
    </w:p>
    <w:p w14:paraId="4FA7E161" w14:textId="77777777" w:rsidR="00C84CB6" w:rsidRDefault="000D3EC7" w:rsidP="00C84CB6">
      <w:pPr>
        <w:pStyle w:val="a3"/>
        <w:bidi/>
        <w:spacing w:line="360" w:lineRule="auto"/>
        <w:ind w:left="1035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 w:rsidRPr="00C84CB6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خامسًا: المصادر الدولية</w:t>
      </w:r>
      <w:r w:rsidR="00C84CB6"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>:</w:t>
      </w:r>
      <w:r w:rsidRPr="00592E0E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النظام البنكي الجزائري لا يعمل في عزلة، بل يخضع أيضًا للتأثيرات والمعايير الدولية، مثل</w:t>
      </w:r>
      <w:r w:rsidRPr="00592E0E">
        <w:rPr>
          <w:rFonts w:ascii="Segoe UI Historic" w:hAnsi="Segoe UI Historic" w:cs="Segoe UI Historic"/>
          <w:sz w:val="32"/>
          <w:szCs w:val="32"/>
          <w:shd w:val="clear" w:color="auto" w:fill="FFFFFF"/>
        </w:rPr>
        <w:t>:</w:t>
      </w:r>
    </w:p>
    <w:p w14:paraId="5EE0B1BE" w14:textId="77777777" w:rsidR="00C84CB6" w:rsidRPr="00C84CB6" w:rsidRDefault="000D3EC7" w:rsidP="00C84CB6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</w:rPr>
      </w:pPr>
      <w:r w:rsidRPr="00C84CB6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اتفاقيات بازل</w:t>
      </w:r>
      <w:r w:rsidRPr="00C84CB6"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</w:rPr>
        <w:t xml:space="preserve"> (Bâle I – II – III):</w:t>
      </w:r>
      <w:r w:rsidRPr="00C84CB6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</w:t>
      </w:r>
      <w:r w:rsidRPr="00C84CB6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تضع المعايير الدولية للرقابة المصرفية وكفاية رأس المال</w:t>
      </w:r>
      <w:r w:rsidR="00C84CB6"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 xml:space="preserve"> </w:t>
      </w:r>
    </w:p>
    <w:p w14:paraId="038150A3" w14:textId="77777777" w:rsidR="00C84CB6" w:rsidRDefault="000D3EC7" w:rsidP="00C84CB6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</w:rPr>
      </w:pPr>
      <w:r w:rsidRPr="00C84CB6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توصيات مجموعة العمل المالي</w:t>
      </w:r>
      <w:r w:rsidRPr="00C84CB6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(GAFI): </w:t>
      </w:r>
      <w:r w:rsidRPr="00C84CB6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تخص مكافحة تبييض الأموال وتمويل الإرها</w:t>
      </w:r>
      <w:r w:rsidR="00C84CB6"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>ب</w:t>
      </w:r>
    </w:p>
    <w:p w14:paraId="6E316076" w14:textId="77777777" w:rsidR="00C84CB6" w:rsidRPr="00C84CB6" w:rsidRDefault="000D3EC7" w:rsidP="00C84CB6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</w:rPr>
      </w:pPr>
      <w:r w:rsidRPr="00C84CB6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C84CB6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الاتفاقيات الثنائية والدولية</w:t>
      </w:r>
      <w:r w:rsidRPr="00C84CB6"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</w:rPr>
        <w:t>:</w:t>
      </w:r>
      <w:r w:rsidRPr="00C84CB6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</w:t>
      </w:r>
      <w:r w:rsidRPr="00C84CB6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مثل اتفاقيات التعاون بين بنك الجزائر وصناديق النقد الإقليمية والدولية</w:t>
      </w:r>
      <w:r w:rsidR="00C84CB6"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 xml:space="preserve"> </w:t>
      </w:r>
    </w:p>
    <w:p w14:paraId="4E9778BA" w14:textId="77777777" w:rsidR="00C84CB6" w:rsidRPr="00C84CB6" w:rsidRDefault="000D3EC7" w:rsidP="00C84CB6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</w:rPr>
      </w:pPr>
      <w:r w:rsidRPr="00C84CB6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القواعد المحاسبية الدولية</w:t>
      </w:r>
      <w:r w:rsidRPr="00C84CB6"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</w:rPr>
        <w:t xml:space="preserve"> (IFRS):</w:t>
      </w:r>
      <w:r w:rsidRPr="00C84CB6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</w:t>
      </w:r>
      <w:r w:rsidRPr="00C84CB6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بدأ تطبيقها تدريجيًا في القطاع البنكي لتحسين الشفافية والحوكمة</w:t>
      </w:r>
      <w:r w:rsidRPr="00C84CB6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</w:p>
    <w:p w14:paraId="3C0A3554" w14:textId="77777777" w:rsidR="0091410B" w:rsidRDefault="0091410B" w:rsidP="0091410B">
      <w:pPr>
        <w:bidi/>
        <w:spacing w:line="360" w:lineRule="auto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 w:rsidRPr="0091410B">
        <w:rPr>
          <w:rFonts w:ascii="Segoe UI Historic" w:hAnsi="Segoe UI Historic" w:cs="Times New Roman" w:hint="cs"/>
          <w:b/>
          <w:bCs/>
          <w:sz w:val="32"/>
          <w:szCs w:val="32"/>
          <w:shd w:val="clear" w:color="auto" w:fill="FFFFFF"/>
          <w:rtl/>
        </w:rPr>
        <w:t>خامسا:</w:t>
      </w:r>
      <w:r w:rsidR="000D3EC7" w:rsidRPr="0091410B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 xml:space="preserve"> التفاعل بين هذه المصادر</w:t>
      </w:r>
      <w:r w:rsidR="000D3EC7"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يُلاحظ في التشريع البنكي الجزائري</w:t>
      </w:r>
      <w:r w:rsidR="000D3EC7"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: </w:t>
      </w:r>
    </w:p>
    <w:p w14:paraId="7AE4D55A" w14:textId="6EACBD0A" w:rsidR="0091410B" w:rsidRDefault="0091410B" w:rsidP="0091410B">
      <w:pPr>
        <w:bidi/>
        <w:spacing w:line="360" w:lineRule="auto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>-</w:t>
      </w:r>
      <w:r w:rsidR="000D3EC7"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تكامل بين القانون والتنظيم في ضبط الممارسة اليومية</w:t>
      </w:r>
    </w:p>
    <w:p w14:paraId="2F606978" w14:textId="73DD2D8E" w:rsidR="0091410B" w:rsidRDefault="000D3EC7" w:rsidP="0091410B">
      <w:pPr>
        <w:bidi/>
        <w:spacing w:line="360" w:lineRule="auto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</w:t>
      </w:r>
      <w:r w:rsidR="0091410B"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>-</w:t>
      </w:r>
      <w:r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تزايد تأثير المعايير الدولية على الإطار المحلي</w:t>
      </w:r>
    </w:p>
    <w:p w14:paraId="5F84C9F3" w14:textId="77777777" w:rsidR="0091410B" w:rsidRDefault="0091410B" w:rsidP="0091410B">
      <w:pPr>
        <w:bidi/>
        <w:spacing w:line="360" w:lineRule="auto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>
        <w:rPr>
          <w:rFonts w:ascii="Segoe UI Historic" w:hAnsi="Segoe UI Historic" w:cs="Times New Roman" w:hint="cs"/>
          <w:sz w:val="32"/>
          <w:szCs w:val="32"/>
          <w:shd w:val="clear" w:color="auto" w:fill="FFFFFF"/>
          <w:rtl/>
        </w:rPr>
        <w:t>-</w:t>
      </w:r>
      <w:r w:rsidR="000D3EC7"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ظهور أحكام فقهية وقانونية جديدة لتأطير الصيرفة الإسلامية والرقمية</w:t>
      </w:r>
      <w:r w:rsidR="000D3EC7"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</w:p>
    <w:p w14:paraId="61278336" w14:textId="07259FCD" w:rsidR="0091410B" w:rsidRDefault="000D3EC7" w:rsidP="0091410B">
      <w:pPr>
        <w:bidi/>
        <w:spacing w:line="360" w:lineRule="auto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 w:rsidRPr="0091410B"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</w:rPr>
        <w:t xml:space="preserve"> </w:t>
      </w:r>
      <w:r w:rsidR="0091410B" w:rsidRPr="0091410B">
        <w:rPr>
          <w:rFonts w:ascii="Segoe UI Historic" w:hAnsi="Segoe UI Historic" w:cs="Times New Roman" w:hint="cs"/>
          <w:b/>
          <w:bCs/>
          <w:sz w:val="32"/>
          <w:szCs w:val="32"/>
          <w:shd w:val="clear" w:color="auto" w:fill="FFFFFF"/>
          <w:rtl/>
        </w:rPr>
        <w:t>سادسا</w:t>
      </w:r>
      <w:r w:rsidRPr="0091410B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: التحديات والآفاق المستقبلية</w:t>
      </w:r>
      <w:r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 xml:space="preserve"> </w:t>
      </w:r>
    </w:p>
    <w:p w14:paraId="24632C3D" w14:textId="0BA4D3DE" w:rsidR="0091410B" w:rsidRPr="0091410B" w:rsidRDefault="000D3EC7" w:rsidP="0091410B">
      <w:pPr>
        <w:pStyle w:val="a3"/>
        <w:numPr>
          <w:ilvl w:val="0"/>
          <w:numId w:val="4"/>
        </w:numPr>
        <w:bidi/>
        <w:spacing w:line="360" w:lineRule="auto"/>
        <w:jc w:val="both"/>
        <w:rPr>
          <w:rFonts w:ascii="Segoe UI Historic" w:hAnsi="Segoe UI Historic" w:cs="Segoe UI Historic"/>
          <w:sz w:val="32"/>
          <w:szCs w:val="32"/>
          <w:shd w:val="clear" w:color="auto" w:fill="FFFFFF"/>
          <w:rtl/>
        </w:rPr>
      </w:pPr>
      <w:r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التحديات</w:t>
      </w: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: </w:t>
      </w:r>
      <w:r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ضرورة مواكبة التحول الرقمي والذكاء الاصطناعي البنكي</w:t>
      </w: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ضعف التنسيق بين النصوص القانونية والممارسات التقنية الحديثة</w:t>
      </w: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الحاجة إلى تعزيز الاستقلالية والشفافية داخل البنوك</w:t>
      </w: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>. 2.</w:t>
      </w:r>
    </w:p>
    <w:p w14:paraId="0BDAE6C1" w14:textId="624AC01B" w:rsidR="0091410B" w:rsidRPr="0091410B" w:rsidRDefault="000D3EC7" w:rsidP="0091410B">
      <w:pPr>
        <w:pStyle w:val="a3"/>
        <w:numPr>
          <w:ilvl w:val="0"/>
          <w:numId w:val="4"/>
        </w:numPr>
        <w:bidi/>
        <w:spacing w:line="360" w:lineRule="auto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</w:rPr>
      </w:pP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lastRenderedPageBreak/>
        <w:t xml:space="preserve"> </w:t>
      </w:r>
      <w:r w:rsidRPr="0091410B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الآفاق</w:t>
      </w:r>
      <w:r w:rsidRPr="0091410B">
        <w:rPr>
          <w:rFonts w:ascii="Segoe UI Historic" w:hAnsi="Segoe UI Historic" w:cs="Segoe UI Historic"/>
          <w:b/>
          <w:bCs/>
          <w:sz w:val="32"/>
          <w:szCs w:val="32"/>
          <w:shd w:val="clear" w:color="auto" w:fill="FFFFFF"/>
        </w:rPr>
        <w:t>:</w:t>
      </w: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</w:t>
      </w:r>
      <w:r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مراجعة القوانين لتشجيع التمويل الأخضر والرقمي</w:t>
      </w: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="0091410B">
        <w:rPr>
          <w:rFonts w:ascii="Segoe UI Historic" w:hAnsi="Segoe UI Historic" w:cs="Segoe UI Historic" w:hint="cs"/>
          <w:sz w:val="32"/>
          <w:szCs w:val="32"/>
          <w:shd w:val="clear" w:color="auto" w:fill="FFFFFF"/>
          <w:rtl/>
        </w:rPr>
        <w:t xml:space="preserve"> </w:t>
      </w:r>
      <w:r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دعم إدماج الصيرفة الإسلامية ضمن النظام البنكي الوطني</w:t>
      </w: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التوجه نحو مواءمة كاملة مع المعايير الدولية للمخاطر والسيولة</w:t>
      </w:r>
    </w:p>
    <w:p w14:paraId="2A3512A8" w14:textId="70FF43DA" w:rsidR="00185B86" w:rsidRPr="0091410B" w:rsidRDefault="000D3EC7" w:rsidP="0091410B">
      <w:pPr>
        <w:bidi/>
        <w:spacing w:line="360" w:lineRule="auto"/>
        <w:ind w:left="360"/>
        <w:jc w:val="both"/>
        <w:rPr>
          <w:rFonts w:ascii="Segoe UI Historic" w:hAnsi="Segoe UI Historic" w:cs="Times New Roman"/>
          <w:sz w:val="32"/>
          <w:szCs w:val="32"/>
          <w:shd w:val="clear" w:color="auto" w:fill="FFFFFF"/>
        </w:rPr>
      </w:pP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 </w:t>
      </w:r>
      <w:r w:rsidRPr="0091410B">
        <w:rPr>
          <w:rFonts w:ascii="Segoe UI Historic" w:hAnsi="Segoe UI Historic" w:cs="Times New Roman"/>
          <w:b/>
          <w:bCs/>
          <w:sz w:val="32"/>
          <w:szCs w:val="32"/>
          <w:shd w:val="clear" w:color="auto" w:fill="FFFFFF"/>
          <w:rtl/>
        </w:rPr>
        <w:t>خاتمة</w:t>
      </w: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: </w:t>
      </w:r>
      <w:r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مصادر التشريع البنكي في الجزائر تشكل منظومة متكاملة تتطور باستمرار، تجمع بين المرجعية الوطنية والسيادة القانونية من جهة، والانفتاح على القواعد الدولية من جهة أخرى</w:t>
      </w: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 xml:space="preserve">. </w:t>
      </w:r>
      <w:r w:rsidRPr="0091410B">
        <w:rPr>
          <w:rFonts w:ascii="Segoe UI Historic" w:hAnsi="Segoe UI Historic" w:cs="Times New Roman"/>
          <w:sz w:val="32"/>
          <w:szCs w:val="32"/>
          <w:shd w:val="clear" w:color="auto" w:fill="FFFFFF"/>
          <w:rtl/>
        </w:rPr>
        <w:t>وإلمام الطلبة بهذه المصادر هو أساس فهم ديناميكية النظام المالي الجزائري وتطوره نحو الحداثة والاستقرار</w:t>
      </w:r>
      <w:r w:rsidRPr="0091410B">
        <w:rPr>
          <w:rFonts w:ascii="Segoe UI Historic" w:hAnsi="Segoe UI Historic" w:cs="Segoe UI Historic"/>
          <w:sz w:val="32"/>
          <w:szCs w:val="32"/>
          <w:shd w:val="clear" w:color="auto" w:fill="FFFFFF"/>
        </w:rPr>
        <w:t>.</w:t>
      </w:r>
    </w:p>
    <w:sectPr w:rsidR="00185B86" w:rsidRPr="00914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235FD"/>
    <w:multiLevelType w:val="hybridMultilevel"/>
    <w:tmpl w:val="16CAAE74"/>
    <w:lvl w:ilvl="0" w:tplc="12407266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755" w:hanging="360"/>
      </w:pPr>
    </w:lvl>
    <w:lvl w:ilvl="2" w:tplc="0C00001B" w:tentative="1">
      <w:start w:val="1"/>
      <w:numFmt w:val="lowerRoman"/>
      <w:lvlText w:val="%3."/>
      <w:lvlJc w:val="right"/>
      <w:pPr>
        <w:ind w:left="2475" w:hanging="180"/>
      </w:pPr>
    </w:lvl>
    <w:lvl w:ilvl="3" w:tplc="0C00000F" w:tentative="1">
      <w:start w:val="1"/>
      <w:numFmt w:val="decimal"/>
      <w:lvlText w:val="%4."/>
      <w:lvlJc w:val="left"/>
      <w:pPr>
        <w:ind w:left="3195" w:hanging="360"/>
      </w:pPr>
    </w:lvl>
    <w:lvl w:ilvl="4" w:tplc="0C000019" w:tentative="1">
      <w:start w:val="1"/>
      <w:numFmt w:val="lowerLetter"/>
      <w:lvlText w:val="%5."/>
      <w:lvlJc w:val="left"/>
      <w:pPr>
        <w:ind w:left="3915" w:hanging="360"/>
      </w:pPr>
    </w:lvl>
    <w:lvl w:ilvl="5" w:tplc="0C00001B" w:tentative="1">
      <w:start w:val="1"/>
      <w:numFmt w:val="lowerRoman"/>
      <w:lvlText w:val="%6."/>
      <w:lvlJc w:val="right"/>
      <w:pPr>
        <w:ind w:left="4635" w:hanging="180"/>
      </w:pPr>
    </w:lvl>
    <w:lvl w:ilvl="6" w:tplc="0C00000F" w:tentative="1">
      <w:start w:val="1"/>
      <w:numFmt w:val="decimal"/>
      <w:lvlText w:val="%7."/>
      <w:lvlJc w:val="left"/>
      <w:pPr>
        <w:ind w:left="5355" w:hanging="360"/>
      </w:pPr>
    </w:lvl>
    <w:lvl w:ilvl="7" w:tplc="0C000019" w:tentative="1">
      <w:start w:val="1"/>
      <w:numFmt w:val="lowerLetter"/>
      <w:lvlText w:val="%8."/>
      <w:lvlJc w:val="left"/>
      <w:pPr>
        <w:ind w:left="6075" w:hanging="360"/>
      </w:pPr>
    </w:lvl>
    <w:lvl w:ilvl="8" w:tplc="0C0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AC3578C"/>
    <w:multiLevelType w:val="hybridMultilevel"/>
    <w:tmpl w:val="D9B8F212"/>
    <w:lvl w:ilvl="0" w:tplc="691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0CA7"/>
    <w:multiLevelType w:val="hybridMultilevel"/>
    <w:tmpl w:val="0F5456F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15A20"/>
    <w:multiLevelType w:val="hybridMultilevel"/>
    <w:tmpl w:val="0A12AAA6"/>
    <w:lvl w:ilvl="0" w:tplc="3BA22CEE">
      <w:start w:val="1"/>
      <w:numFmt w:val="decimal"/>
      <w:lvlText w:val="%1-"/>
      <w:lvlJc w:val="left"/>
      <w:pPr>
        <w:ind w:left="1395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2115" w:hanging="360"/>
      </w:pPr>
    </w:lvl>
    <w:lvl w:ilvl="2" w:tplc="0C00001B" w:tentative="1">
      <w:start w:val="1"/>
      <w:numFmt w:val="lowerRoman"/>
      <w:lvlText w:val="%3."/>
      <w:lvlJc w:val="right"/>
      <w:pPr>
        <w:ind w:left="2835" w:hanging="180"/>
      </w:pPr>
    </w:lvl>
    <w:lvl w:ilvl="3" w:tplc="0C00000F" w:tentative="1">
      <w:start w:val="1"/>
      <w:numFmt w:val="decimal"/>
      <w:lvlText w:val="%4."/>
      <w:lvlJc w:val="left"/>
      <w:pPr>
        <w:ind w:left="3555" w:hanging="360"/>
      </w:pPr>
    </w:lvl>
    <w:lvl w:ilvl="4" w:tplc="0C000019" w:tentative="1">
      <w:start w:val="1"/>
      <w:numFmt w:val="lowerLetter"/>
      <w:lvlText w:val="%5."/>
      <w:lvlJc w:val="left"/>
      <w:pPr>
        <w:ind w:left="4275" w:hanging="360"/>
      </w:pPr>
    </w:lvl>
    <w:lvl w:ilvl="5" w:tplc="0C00001B" w:tentative="1">
      <w:start w:val="1"/>
      <w:numFmt w:val="lowerRoman"/>
      <w:lvlText w:val="%6."/>
      <w:lvlJc w:val="right"/>
      <w:pPr>
        <w:ind w:left="4995" w:hanging="180"/>
      </w:pPr>
    </w:lvl>
    <w:lvl w:ilvl="6" w:tplc="0C00000F" w:tentative="1">
      <w:start w:val="1"/>
      <w:numFmt w:val="decimal"/>
      <w:lvlText w:val="%7."/>
      <w:lvlJc w:val="left"/>
      <w:pPr>
        <w:ind w:left="5715" w:hanging="360"/>
      </w:pPr>
    </w:lvl>
    <w:lvl w:ilvl="7" w:tplc="0C000019" w:tentative="1">
      <w:start w:val="1"/>
      <w:numFmt w:val="lowerLetter"/>
      <w:lvlText w:val="%8."/>
      <w:lvlJc w:val="left"/>
      <w:pPr>
        <w:ind w:left="6435" w:hanging="360"/>
      </w:pPr>
    </w:lvl>
    <w:lvl w:ilvl="8" w:tplc="0C00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86"/>
    <w:rsid w:val="000D3EC7"/>
    <w:rsid w:val="00185B86"/>
    <w:rsid w:val="00592E0E"/>
    <w:rsid w:val="008E6FE8"/>
    <w:rsid w:val="0091410B"/>
    <w:rsid w:val="00AA1B2A"/>
    <w:rsid w:val="00C8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6DDF"/>
  <w15:chartTrackingRefBased/>
  <w15:docId w15:val="{AEC64F14-0F8C-4E0F-B42A-23CA6614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2025-11-08T10:48:00Z</dcterms:created>
  <dcterms:modified xsi:type="dcterms:W3CDTF">2025-11-08T11:22:00Z</dcterms:modified>
</cp:coreProperties>
</file>