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3FF" w:rsidRPr="007C609E" w:rsidRDefault="00130CE2" w:rsidP="001D3C93">
      <w:pPr>
        <w:rPr>
          <w:b/>
          <w:sz w:val="24"/>
          <w:szCs w:val="24"/>
        </w:rPr>
      </w:pPr>
      <w:r w:rsidRPr="007C609E">
        <w:rPr>
          <w:b/>
          <w:spacing w:val="-2"/>
          <w:sz w:val="24"/>
          <w:szCs w:val="24"/>
        </w:rPr>
        <w:t>Introduction</w:t>
      </w:r>
    </w:p>
    <w:p w:rsidR="00D643FF" w:rsidRDefault="00130CE2" w:rsidP="004B5015">
      <w:pPr>
        <w:pStyle w:val="Corpsdetexte"/>
        <w:spacing w:before="316" w:line="360" w:lineRule="auto"/>
        <w:ind w:right="142" w:firstLine="579"/>
      </w:pPr>
      <w:r>
        <w:t>Le séquençage de l'ADN, consiste à déterminer l'ordre d'enchaînement des nucléotides d’un fragment d’ADN donné.</w:t>
      </w:r>
    </w:p>
    <w:p w:rsidR="00D643FF" w:rsidRDefault="00130CE2">
      <w:pPr>
        <w:pStyle w:val="Corpsdetexte"/>
        <w:spacing w:before="2" w:line="360" w:lineRule="auto"/>
        <w:ind w:right="130"/>
      </w:pPr>
      <w:r>
        <w:t>Les</w:t>
      </w:r>
      <w:r w:rsidR="007C609E">
        <w:t xml:space="preserve"> </w:t>
      </w:r>
      <w:r>
        <w:t>premières</w:t>
      </w:r>
      <w:r w:rsidR="007C609E">
        <w:t xml:space="preserve"> </w:t>
      </w:r>
      <w:r>
        <w:t>techniques</w:t>
      </w:r>
      <w:r w:rsidR="007C609E">
        <w:t xml:space="preserve"> </w:t>
      </w:r>
      <w:r>
        <w:t>de</w:t>
      </w:r>
      <w:r w:rsidR="007C609E">
        <w:t xml:space="preserve"> </w:t>
      </w:r>
      <w:r>
        <w:t>séquençage</w:t>
      </w:r>
      <w:r w:rsidR="007C609E">
        <w:t xml:space="preserve"> </w:t>
      </w:r>
      <w:r>
        <w:t>ont été</w:t>
      </w:r>
      <w:r w:rsidR="007C609E">
        <w:t xml:space="preserve"> </w:t>
      </w:r>
      <w:r>
        <w:t>développées</w:t>
      </w:r>
      <w:r w:rsidR="007C609E">
        <w:t xml:space="preserve"> </w:t>
      </w:r>
      <w:r>
        <w:t>en</w:t>
      </w:r>
      <w:r w:rsidR="007C609E">
        <w:t xml:space="preserve"> </w:t>
      </w:r>
      <w:r>
        <w:t>parallèle</w:t>
      </w:r>
      <w:r w:rsidR="007C609E">
        <w:t xml:space="preserve"> </w:t>
      </w:r>
      <w:r>
        <w:t>au milieu</w:t>
      </w:r>
      <w:r w:rsidR="007C609E">
        <w:t xml:space="preserve"> </w:t>
      </w:r>
      <w:r>
        <w:t>des années 1970. Les méthodes de Sanger (Grande-Bretagne) et Gilbert (Etats-Unis) ont toutes deux été récompensées d'un prix Nobel de chimie en 1980.</w:t>
      </w:r>
    </w:p>
    <w:p w:rsidR="00D643FF" w:rsidRDefault="00130CE2">
      <w:pPr>
        <w:pStyle w:val="Corpsdetexte"/>
        <w:spacing w:line="362" w:lineRule="auto"/>
        <w:ind w:right="137"/>
      </w:pPr>
      <w:r>
        <w:t>Le premier organisme a été séquencé en 1977. Il s'agissait du virus bactériophage X174, possédant un ADN s</w:t>
      </w:r>
      <w:r>
        <w:t>imple brin ne nécessitant donc pas l'étape de dénaturation</w:t>
      </w:r>
      <w:r w:rsidR="007C609E">
        <w:t xml:space="preserve"> </w:t>
      </w:r>
      <w:r>
        <w:t>utilisé dans les méthodes de Sanger et Maxam et Gilbert.</w:t>
      </w:r>
    </w:p>
    <w:p w:rsidR="00D643FF" w:rsidRDefault="00130CE2" w:rsidP="00BD6656">
      <w:pPr>
        <w:pStyle w:val="Corpsdetexte"/>
        <w:spacing w:after="240" w:line="360" w:lineRule="auto"/>
        <w:ind w:right="135"/>
      </w:pPr>
      <w:r>
        <w:t>Depuis une trentaine d'année, l'amélioration de la technique de production des amorces, de l'amplification des brins et la généralisation des</w:t>
      </w:r>
      <w:r>
        <w:t xml:space="preserve"> traceurs fluorescents ont permis d'améliorer considérablement les techniques de séquençage. L'apparition des séquenceurs automatiques a notamment permis l'automatisation de ces technologies et ont contribué à la finalisation du génotypage humain en 2003.</w:t>
      </w:r>
    </w:p>
    <w:p w:rsidR="00D643FF" w:rsidRDefault="00130CE2">
      <w:pPr>
        <w:pStyle w:val="Heading1"/>
        <w:numPr>
          <w:ilvl w:val="0"/>
          <w:numId w:val="3"/>
        </w:numPr>
        <w:tabs>
          <w:tab w:val="left" w:pos="860"/>
        </w:tabs>
        <w:ind w:left="860" w:hanging="359"/>
        <w:jc w:val="both"/>
      </w:pPr>
      <w:r>
        <w:t>Préparation</w:t>
      </w:r>
      <w:r w:rsidR="00BD6656">
        <w:t xml:space="preserve"> </w:t>
      </w:r>
      <w:r>
        <w:t>de</w:t>
      </w:r>
      <w:r w:rsidR="00BD6656">
        <w:t xml:space="preserve"> </w:t>
      </w:r>
      <w:r>
        <w:t>la</w:t>
      </w:r>
      <w:r w:rsidR="00BD6656">
        <w:t xml:space="preserve"> </w:t>
      </w:r>
      <w:r>
        <w:t>séquence</w:t>
      </w:r>
      <w:r w:rsidR="00BD6656">
        <w:t xml:space="preserve"> </w:t>
      </w:r>
      <w:r>
        <w:rPr>
          <w:spacing w:val="-4"/>
        </w:rPr>
        <w:t>cible</w:t>
      </w:r>
    </w:p>
    <w:p w:rsidR="00D643FF" w:rsidRDefault="00130CE2">
      <w:pPr>
        <w:pStyle w:val="Corpsdetexte"/>
        <w:spacing w:before="127"/>
      </w:pPr>
      <w:r>
        <w:t>Les</w:t>
      </w:r>
      <w:r w:rsidR="00BD6656">
        <w:t xml:space="preserve"> </w:t>
      </w:r>
      <w:r>
        <w:t>méthodes</w:t>
      </w:r>
      <w:r w:rsidR="00BD6656">
        <w:t xml:space="preserve"> </w:t>
      </w:r>
      <w:r>
        <w:t>de</w:t>
      </w:r>
      <w:r w:rsidR="00BD6656">
        <w:t xml:space="preserve"> </w:t>
      </w:r>
      <w:r>
        <w:t>séquençage</w:t>
      </w:r>
      <w:r w:rsidR="00BD6656">
        <w:t xml:space="preserve"> </w:t>
      </w:r>
      <w:r>
        <w:t>utilisent</w:t>
      </w:r>
      <w:r w:rsidR="00BD6656">
        <w:t xml:space="preserve"> </w:t>
      </w:r>
      <w:r>
        <w:t>des</w:t>
      </w:r>
      <w:r w:rsidR="00BD6656">
        <w:t xml:space="preserve"> </w:t>
      </w:r>
      <w:r>
        <w:t>bases</w:t>
      </w:r>
      <w:r w:rsidR="00BD6656">
        <w:t xml:space="preserve"> </w:t>
      </w:r>
      <w:r>
        <w:t>communes</w:t>
      </w:r>
      <w:r>
        <w:rPr>
          <w:spacing w:val="-10"/>
        </w:rPr>
        <w:t>:</w:t>
      </w:r>
    </w:p>
    <w:p w:rsidR="00D643FF" w:rsidRPr="00447432" w:rsidRDefault="00130CE2" w:rsidP="00447432">
      <w:pPr>
        <w:pStyle w:val="Paragraphedeliste"/>
        <w:numPr>
          <w:ilvl w:val="0"/>
          <w:numId w:val="2"/>
        </w:numPr>
        <w:tabs>
          <w:tab w:val="left" w:pos="859"/>
          <w:tab w:val="left" w:pos="861"/>
        </w:tabs>
        <w:spacing w:before="142" w:line="360" w:lineRule="auto"/>
        <w:ind w:left="861" w:right="139"/>
        <w:rPr>
          <w:sz w:val="24"/>
        </w:rPr>
      </w:pPr>
      <w:r w:rsidRPr="00447432">
        <w:rPr>
          <w:sz w:val="24"/>
        </w:rPr>
        <w:t>La molécule</w:t>
      </w:r>
      <w:r w:rsidR="00BD6656" w:rsidRPr="00447432">
        <w:rPr>
          <w:sz w:val="24"/>
        </w:rPr>
        <w:t xml:space="preserve"> </w:t>
      </w:r>
      <w:r w:rsidRPr="00447432">
        <w:rPr>
          <w:sz w:val="24"/>
        </w:rPr>
        <w:t>d’ADN à séquencer est extraite, amplifiée, puis dénaturée (on sépare</w:t>
      </w:r>
      <w:r w:rsidR="00447432">
        <w:rPr>
          <w:sz w:val="24"/>
        </w:rPr>
        <w:t xml:space="preserve"> le double brin d’ADN en deux)</w:t>
      </w:r>
    </w:p>
    <w:p w:rsidR="00D643FF" w:rsidRDefault="00130CE2">
      <w:pPr>
        <w:pStyle w:val="Paragraphedeliste"/>
        <w:numPr>
          <w:ilvl w:val="0"/>
          <w:numId w:val="2"/>
        </w:numPr>
        <w:tabs>
          <w:tab w:val="left" w:pos="859"/>
          <w:tab w:val="left" w:pos="861"/>
        </w:tabs>
        <w:spacing w:line="360" w:lineRule="auto"/>
        <w:ind w:left="861" w:right="139"/>
        <w:rPr>
          <w:sz w:val="24"/>
        </w:rPr>
      </w:pPr>
      <w:r w:rsidRPr="00447432">
        <w:rPr>
          <w:sz w:val="24"/>
        </w:rPr>
        <w:t>L'amplification, c'est à dire la réplication de la séquence, est réalisée à partir d'une technique appelée PCR ou "Polymerase chain reaction" (réaction</w:t>
      </w:r>
      <w:r w:rsidR="00221C22">
        <w:rPr>
          <w:sz w:val="24"/>
        </w:rPr>
        <w:t xml:space="preserve"> </w:t>
      </w:r>
      <w:r w:rsidRPr="00447432">
        <w:rPr>
          <w:sz w:val="24"/>
        </w:rPr>
        <w:t>de polymérisation</w:t>
      </w:r>
      <w:r w:rsidR="00221C22">
        <w:rPr>
          <w:sz w:val="24"/>
        </w:rPr>
        <w:t xml:space="preserve"> </w:t>
      </w:r>
      <w:r w:rsidRPr="00447432">
        <w:rPr>
          <w:sz w:val="24"/>
        </w:rPr>
        <w:t xml:space="preserve">en chaîne). Cela permet de dupliquer à plusieurs millions d'exemplaires </w:t>
      </w:r>
      <w:r w:rsidRPr="00447432">
        <w:rPr>
          <w:sz w:val="24"/>
        </w:rPr>
        <w:t>un fragment d'ADN grâce à l'ADN polymérase.</w:t>
      </w:r>
    </w:p>
    <w:p w:rsidR="00D643FF" w:rsidRDefault="00130CE2" w:rsidP="00210B69">
      <w:pPr>
        <w:pStyle w:val="Paragraphedeliste"/>
        <w:numPr>
          <w:ilvl w:val="0"/>
          <w:numId w:val="2"/>
        </w:numPr>
        <w:tabs>
          <w:tab w:val="left" w:pos="859"/>
          <w:tab w:val="left" w:pos="861"/>
        </w:tabs>
        <w:spacing w:after="240" w:line="362" w:lineRule="auto"/>
        <w:ind w:left="861" w:right="145"/>
        <w:rPr>
          <w:sz w:val="24"/>
        </w:rPr>
      </w:pPr>
      <w:r>
        <w:rPr>
          <w:sz w:val="24"/>
        </w:rPr>
        <w:t>La dénaturation (ou déshybridation), c'est à dire la séparation des deux brins composant la molécule d'ADN, est obtenue par élévation</w:t>
      </w:r>
      <w:r w:rsidR="00221C22">
        <w:rPr>
          <w:sz w:val="24"/>
        </w:rPr>
        <w:t xml:space="preserve"> </w:t>
      </w:r>
      <w:r>
        <w:rPr>
          <w:sz w:val="24"/>
        </w:rPr>
        <w:t>de température ce qui</w:t>
      </w:r>
      <w:r w:rsidR="00221C22">
        <w:rPr>
          <w:sz w:val="24"/>
        </w:rPr>
        <w:t xml:space="preserve"> </w:t>
      </w:r>
      <w:r>
        <w:rPr>
          <w:sz w:val="24"/>
        </w:rPr>
        <w:t>a pour effet de fragiliser les liaisons hydrogènes reliant</w:t>
      </w:r>
      <w:r>
        <w:rPr>
          <w:sz w:val="24"/>
        </w:rPr>
        <w:t xml:space="preserve"> les bases azotées</w:t>
      </w:r>
    </w:p>
    <w:p w:rsidR="00D643FF" w:rsidRDefault="00130CE2">
      <w:pPr>
        <w:pStyle w:val="Heading1"/>
        <w:numPr>
          <w:ilvl w:val="0"/>
          <w:numId w:val="3"/>
        </w:numPr>
        <w:tabs>
          <w:tab w:val="left" w:pos="860"/>
        </w:tabs>
        <w:spacing w:line="274" w:lineRule="exact"/>
        <w:ind w:left="860" w:hanging="359"/>
        <w:jc w:val="both"/>
      </w:pPr>
      <w:r>
        <w:t>Méthodes</w:t>
      </w:r>
      <w:r w:rsidR="00210B69">
        <w:t xml:space="preserve"> </w:t>
      </w:r>
      <w:r>
        <w:t>de</w:t>
      </w:r>
      <w:r w:rsidR="00210B69">
        <w:t xml:space="preserve"> </w:t>
      </w:r>
      <w:r>
        <w:rPr>
          <w:spacing w:val="-2"/>
        </w:rPr>
        <w:t>séquençage</w:t>
      </w:r>
    </w:p>
    <w:p w:rsidR="00D643FF" w:rsidRPr="00210B69" w:rsidRDefault="00130CE2" w:rsidP="00210B69">
      <w:pPr>
        <w:pStyle w:val="Paragraphedeliste"/>
        <w:numPr>
          <w:ilvl w:val="1"/>
          <w:numId w:val="4"/>
        </w:numPr>
        <w:tabs>
          <w:tab w:val="left" w:pos="1219"/>
        </w:tabs>
        <w:spacing w:before="134"/>
        <w:rPr>
          <w:b/>
          <w:sz w:val="24"/>
        </w:rPr>
      </w:pPr>
      <w:r w:rsidRPr="00210B69">
        <w:rPr>
          <w:b/>
          <w:sz w:val="24"/>
        </w:rPr>
        <w:t>Méthode</w:t>
      </w:r>
      <w:r w:rsidR="00210B69">
        <w:rPr>
          <w:b/>
          <w:sz w:val="24"/>
        </w:rPr>
        <w:t xml:space="preserve"> </w:t>
      </w:r>
      <w:r w:rsidRPr="00210B69">
        <w:rPr>
          <w:b/>
          <w:sz w:val="24"/>
        </w:rPr>
        <w:t>de</w:t>
      </w:r>
      <w:r w:rsidR="00210B69">
        <w:rPr>
          <w:b/>
          <w:sz w:val="24"/>
        </w:rPr>
        <w:t xml:space="preserve"> </w:t>
      </w:r>
      <w:r w:rsidRPr="00210B69">
        <w:rPr>
          <w:b/>
          <w:sz w:val="24"/>
        </w:rPr>
        <w:t>Maxam</w:t>
      </w:r>
      <w:r w:rsidR="00210B69">
        <w:rPr>
          <w:b/>
          <w:sz w:val="24"/>
        </w:rPr>
        <w:t xml:space="preserve"> </w:t>
      </w:r>
      <w:r w:rsidRPr="00210B69">
        <w:rPr>
          <w:b/>
          <w:sz w:val="24"/>
        </w:rPr>
        <w:t>et</w:t>
      </w:r>
      <w:r w:rsidR="00210B69">
        <w:rPr>
          <w:b/>
          <w:sz w:val="24"/>
        </w:rPr>
        <w:t xml:space="preserve"> </w:t>
      </w:r>
      <w:r w:rsidRPr="00210B69">
        <w:rPr>
          <w:b/>
          <w:spacing w:val="-2"/>
          <w:sz w:val="24"/>
        </w:rPr>
        <w:t>Gilbert</w:t>
      </w:r>
    </w:p>
    <w:p w:rsidR="00D643FF" w:rsidRDefault="00130CE2" w:rsidP="00210B69">
      <w:pPr>
        <w:pStyle w:val="Corpsdetexte"/>
        <w:spacing w:before="137" w:line="360" w:lineRule="auto"/>
        <w:ind w:right="136" w:firstLine="345"/>
        <w:sectPr w:rsidR="00D643FF">
          <w:headerReference w:type="default" r:id="rId7"/>
          <w:footerReference w:type="default" r:id="rId8"/>
          <w:type w:val="continuous"/>
          <w:pgSz w:w="11910" w:h="16840"/>
          <w:pgMar w:top="1320" w:right="1275" w:bottom="1180" w:left="1275" w:header="0" w:footer="998" w:gutter="0"/>
          <w:pgNumType w:start="1"/>
          <w:cols w:space="720"/>
        </w:sectPr>
      </w:pPr>
      <w:r>
        <w:t>La technique de Maxam et Gilbert repose sur un procédé chimique qui coupe une</w:t>
      </w:r>
      <w:r w:rsidR="00210B69">
        <w:t xml:space="preserve"> </w:t>
      </w:r>
      <w:r>
        <w:t>molécule d’ADN marquée radioactivement à son extrémité 5’ ou 3’ au niveau d’une base ou d’une</w:t>
      </w:r>
      <w:r w:rsidR="00210B69">
        <w:t xml:space="preserve"> </w:t>
      </w:r>
      <w:r>
        <w:t>famille</w:t>
      </w:r>
      <w:r w:rsidR="00210B69">
        <w:t xml:space="preserve"> </w:t>
      </w:r>
      <w:r>
        <w:t>de</w:t>
      </w:r>
      <w:r w:rsidR="00210B69">
        <w:t xml:space="preserve"> </w:t>
      </w:r>
      <w:r>
        <w:t>base</w:t>
      </w:r>
      <w:r w:rsidR="00210B69">
        <w:t xml:space="preserve"> </w:t>
      </w:r>
      <w:r>
        <w:t>spécifique.</w:t>
      </w:r>
      <w:r w:rsidR="00210B69">
        <w:t xml:space="preserve"> </w:t>
      </w:r>
      <w:r>
        <w:t>Les</w:t>
      </w:r>
      <w:r w:rsidR="00210B69">
        <w:t xml:space="preserve"> </w:t>
      </w:r>
      <w:r>
        <w:t>conditions</w:t>
      </w:r>
      <w:r w:rsidR="00210B69">
        <w:t xml:space="preserve"> </w:t>
      </w:r>
      <w:r>
        <w:t>utilisées</w:t>
      </w:r>
      <w:r w:rsidR="00210B69">
        <w:t xml:space="preserve"> </w:t>
      </w:r>
      <w:r>
        <w:t>sont</w:t>
      </w:r>
      <w:r w:rsidR="00210B69">
        <w:t xml:space="preserve"> </w:t>
      </w:r>
      <w:r>
        <w:t>adaptées</w:t>
      </w:r>
      <w:r w:rsidR="00210B69">
        <w:t xml:space="preserve"> </w:t>
      </w:r>
      <w:r>
        <w:t>pour</w:t>
      </w:r>
      <w:r w:rsidR="00210B69">
        <w:t xml:space="preserve"> </w:t>
      </w:r>
      <w:r>
        <w:t>conduire</w:t>
      </w:r>
      <w:r w:rsidR="00210B69">
        <w:t xml:space="preserve"> </w:t>
      </w:r>
      <w:r>
        <w:t>à</w:t>
      </w:r>
      <w:r w:rsidR="00210B69">
        <w:t xml:space="preserve"> </w:t>
      </w:r>
      <w:r>
        <w:t>une</w:t>
      </w:r>
    </w:p>
    <w:p w:rsidR="00D643FF" w:rsidRDefault="00210B69" w:rsidP="00210B69">
      <w:pPr>
        <w:pStyle w:val="Corpsdetexte"/>
        <w:spacing w:before="70" w:line="360" w:lineRule="auto"/>
        <w:ind w:left="0" w:right="135"/>
      </w:pPr>
      <w:r>
        <w:lastRenderedPageBreak/>
        <w:t>c</w:t>
      </w:r>
      <w:r w:rsidR="00130CE2">
        <w:t>oupure</w:t>
      </w:r>
      <w:r>
        <w:t xml:space="preserve"> </w:t>
      </w:r>
      <w:r w:rsidR="00130CE2">
        <w:t>partielle.</w:t>
      </w:r>
      <w:r>
        <w:t xml:space="preserve"> </w:t>
      </w:r>
      <w:r w:rsidR="00130CE2">
        <w:t>Par</w:t>
      </w:r>
      <w:r>
        <w:t xml:space="preserve"> </w:t>
      </w:r>
      <w:r w:rsidR="00130CE2">
        <w:t>conséquent la longueur</w:t>
      </w:r>
      <w:r>
        <w:t xml:space="preserve"> </w:t>
      </w:r>
      <w:r w:rsidR="00130CE2">
        <w:t>des</w:t>
      </w:r>
      <w:r>
        <w:t xml:space="preserve"> </w:t>
      </w:r>
      <w:r w:rsidR="00130CE2">
        <w:t>fragments</w:t>
      </w:r>
      <w:r>
        <w:t xml:space="preserve"> </w:t>
      </w:r>
      <w:r w:rsidR="00130CE2">
        <w:t>marqués</w:t>
      </w:r>
      <w:r>
        <w:t xml:space="preserve"> </w:t>
      </w:r>
      <w:r w:rsidR="00130CE2">
        <w:t>identifie la</w:t>
      </w:r>
      <w:r>
        <w:t xml:space="preserve"> </w:t>
      </w:r>
      <w:r w:rsidR="00130CE2">
        <w:t>position</w:t>
      </w:r>
      <w:r>
        <w:t xml:space="preserve"> </w:t>
      </w:r>
      <w:r w:rsidR="00130CE2">
        <w:t>de la</w:t>
      </w:r>
      <w:r w:rsidR="00130CE2">
        <w:t xml:space="preserve"> base. Les réactions chimiques effectuées clivent préférentiellement l’ADN aux guanines, aux adénines, aux cytosines et thymines et aux cytosines. Les produits des quatre réactions sont résolus</w:t>
      </w:r>
      <w:r w:rsidR="004609FB">
        <w:t xml:space="preserve"> </w:t>
      </w:r>
      <w:r w:rsidR="00130CE2">
        <w:t>par électrophorèse. La</w:t>
      </w:r>
      <w:r w:rsidR="004609FB">
        <w:t xml:space="preserve"> </w:t>
      </w:r>
      <w:r w:rsidR="00130CE2">
        <w:t>séquence</w:t>
      </w:r>
      <w:r w:rsidR="004609FB">
        <w:t xml:space="preserve"> </w:t>
      </w:r>
      <w:r w:rsidR="00130CE2">
        <w:t>d’ADN</w:t>
      </w:r>
      <w:r w:rsidR="004609FB">
        <w:t xml:space="preserve"> </w:t>
      </w:r>
      <w:r w:rsidR="00130CE2">
        <w:t>peut être</w:t>
      </w:r>
      <w:r w:rsidR="004609FB">
        <w:t xml:space="preserve"> </w:t>
      </w:r>
      <w:r w:rsidR="00130CE2">
        <w:t>lue</w:t>
      </w:r>
      <w:r w:rsidR="004609FB">
        <w:t xml:space="preserve"> </w:t>
      </w:r>
      <w:r w:rsidR="00130CE2">
        <w:t>directement à</w:t>
      </w:r>
      <w:r w:rsidR="004609FB">
        <w:t xml:space="preserve"> </w:t>
      </w:r>
      <w:r w:rsidR="00130CE2">
        <w:t>par</w:t>
      </w:r>
      <w:r w:rsidR="00130CE2">
        <w:t>tir du</w:t>
      </w:r>
      <w:r w:rsidR="004609FB">
        <w:t xml:space="preserve"> </w:t>
      </w:r>
      <w:r w:rsidR="00130CE2">
        <w:t>profil</w:t>
      </w:r>
      <w:r w:rsidR="004609FB">
        <w:t xml:space="preserve"> </w:t>
      </w:r>
      <w:r w:rsidR="00130CE2">
        <w:t>des bandes radioactives. Cette technique s’est peu développée car elle nécessite des réactifs chimiques toxique, n’est pas facile à automatiser et reste limitée quant à la taille des</w:t>
      </w:r>
      <w:r w:rsidR="00BA2728">
        <w:t xml:space="preserve"> </w:t>
      </w:r>
      <w:r w:rsidR="00130CE2">
        <w:t>fragments d’ADN qu’elle permet d’analyser (≤ 250 nucléotides)</w:t>
      </w:r>
    </w:p>
    <w:p w:rsidR="00D643FF" w:rsidRDefault="00130CE2" w:rsidP="00BA2728">
      <w:pPr>
        <w:pStyle w:val="Heading1"/>
        <w:numPr>
          <w:ilvl w:val="1"/>
          <w:numId w:val="4"/>
        </w:numPr>
        <w:tabs>
          <w:tab w:val="left" w:pos="581"/>
        </w:tabs>
        <w:spacing w:before="240"/>
      </w:pPr>
      <w:r>
        <w:t>Méthode</w:t>
      </w:r>
      <w:r w:rsidR="00BA2728">
        <w:t xml:space="preserve"> </w:t>
      </w:r>
      <w:r>
        <w:t>de</w:t>
      </w:r>
      <w:r w:rsidR="00BA2728">
        <w:t xml:space="preserve"> </w:t>
      </w:r>
      <w:r>
        <w:rPr>
          <w:spacing w:val="-2"/>
        </w:rPr>
        <w:t>Sanger</w:t>
      </w:r>
    </w:p>
    <w:p w:rsidR="00D643FF" w:rsidRDefault="00130CE2">
      <w:pPr>
        <w:pStyle w:val="Corpsdetexte"/>
        <w:spacing w:line="360" w:lineRule="auto"/>
        <w:ind w:right="138" w:firstLine="360"/>
      </w:pPr>
      <w:r>
        <w:t>La technique de Sanger utilise le principe de la synthèse enzymatique de l’ADN à séquencer en présence d’inhibiteurs d’élongation de l’ADN polymérase les 2’,3’ di- déoxynucléotides (ddNTP). La réaction de séquençage s’effectue grâce à quatre réactions enzy</w:t>
      </w:r>
      <w:r>
        <w:t>matiques menées parallèlement. Dans quatre tubes à essais distincts, on introduit en parallèle :</w:t>
      </w:r>
    </w:p>
    <w:p w:rsidR="00D643FF" w:rsidRPr="00425790" w:rsidRDefault="00425790" w:rsidP="00425790">
      <w:pPr>
        <w:pStyle w:val="Paragraphedeliste"/>
        <w:numPr>
          <w:ilvl w:val="0"/>
          <w:numId w:val="5"/>
        </w:numPr>
        <w:tabs>
          <w:tab w:val="left" w:pos="860"/>
        </w:tabs>
        <w:spacing w:line="276" w:lineRule="exact"/>
        <w:rPr>
          <w:sz w:val="24"/>
        </w:rPr>
      </w:pPr>
      <w:r w:rsidRPr="00425790">
        <w:rPr>
          <w:sz w:val="24"/>
        </w:rPr>
        <w:t>D</w:t>
      </w:r>
      <w:r w:rsidR="00130CE2" w:rsidRPr="00425790">
        <w:rPr>
          <w:sz w:val="24"/>
        </w:rPr>
        <w:t>es</w:t>
      </w:r>
      <w:r>
        <w:rPr>
          <w:sz w:val="24"/>
        </w:rPr>
        <w:t xml:space="preserve"> </w:t>
      </w:r>
      <w:r w:rsidR="00130CE2" w:rsidRPr="00425790">
        <w:rPr>
          <w:sz w:val="24"/>
        </w:rPr>
        <w:t>brins</w:t>
      </w:r>
      <w:r>
        <w:rPr>
          <w:sz w:val="24"/>
        </w:rPr>
        <w:t xml:space="preserve"> </w:t>
      </w:r>
      <w:r w:rsidR="00130CE2" w:rsidRPr="00425790">
        <w:rPr>
          <w:sz w:val="24"/>
        </w:rPr>
        <w:t>d’ADN</w:t>
      </w:r>
      <w:r>
        <w:rPr>
          <w:sz w:val="24"/>
        </w:rPr>
        <w:t xml:space="preserve"> </w:t>
      </w:r>
      <w:r w:rsidR="00130CE2" w:rsidRPr="00425790">
        <w:rPr>
          <w:sz w:val="24"/>
        </w:rPr>
        <w:t>cibles dénaturé</w:t>
      </w:r>
      <w:r>
        <w:rPr>
          <w:sz w:val="24"/>
        </w:rPr>
        <w:t>s</w:t>
      </w:r>
      <w:r w:rsidR="00130CE2" w:rsidRPr="00425790">
        <w:rPr>
          <w:sz w:val="24"/>
        </w:rPr>
        <w:t xml:space="preserve"> en</w:t>
      </w:r>
      <w:r>
        <w:rPr>
          <w:sz w:val="24"/>
        </w:rPr>
        <w:t xml:space="preserve"> </w:t>
      </w:r>
      <w:r w:rsidR="00130CE2" w:rsidRPr="00425790">
        <w:rPr>
          <w:sz w:val="24"/>
        </w:rPr>
        <w:t>grand</w:t>
      </w:r>
      <w:r>
        <w:rPr>
          <w:sz w:val="24"/>
        </w:rPr>
        <w:t xml:space="preserve"> </w:t>
      </w:r>
      <w:r w:rsidR="00130CE2" w:rsidRPr="00425790">
        <w:rPr>
          <w:spacing w:val="-2"/>
          <w:sz w:val="24"/>
        </w:rPr>
        <w:t>nombre,</w:t>
      </w:r>
    </w:p>
    <w:p w:rsidR="00D643FF" w:rsidRPr="00425790" w:rsidRDefault="00425790" w:rsidP="00425790">
      <w:pPr>
        <w:pStyle w:val="Paragraphedeliste"/>
        <w:numPr>
          <w:ilvl w:val="0"/>
          <w:numId w:val="5"/>
        </w:numPr>
        <w:tabs>
          <w:tab w:val="left" w:pos="860"/>
        </w:tabs>
        <w:spacing w:before="137"/>
        <w:rPr>
          <w:sz w:val="24"/>
        </w:rPr>
      </w:pPr>
      <w:r w:rsidRPr="00425790">
        <w:rPr>
          <w:sz w:val="24"/>
        </w:rPr>
        <w:t>D</w:t>
      </w:r>
      <w:r w:rsidR="00130CE2" w:rsidRPr="00425790">
        <w:rPr>
          <w:sz w:val="24"/>
        </w:rPr>
        <w:t>es</w:t>
      </w:r>
      <w:r>
        <w:rPr>
          <w:sz w:val="24"/>
        </w:rPr>
        <w:t xml:space="preserve"> </w:t>
      </w:r>
      <w:r w:rsidR="00130CE2" w:rsidRPr="00425790">
        <w:rPr>
          <w:sz w:val="24"/>
        </w:rPr>
        <w:t>amorces</w:t>
      </w:r>
      <w:r>
        <w:rPr>
          <w:sz w:val="24"/>
        </w:rPr>
        <w:t xml:space="preserve"> </w:t>
      </w:r>
      <w:r w:rsidR="00130CE2" w:rsidRPr="00425790">
        <w:rPr>
          <w:sz w:val="24"/>
        </w:rPr>
        <w:t>(sur</w:t>
      </w:r>
      <w:r>
        <w:rPr>
          <w:sz w:val="24"/>
        </w:rPr>
        <w:t xml:space="preserve"> </w:t>
      </w:r>
      <w:r w:rsidR="00130CE2" w:rsidRPr="00425790">
        <w:rPr>
          <w:sz w:val="24"/>
        </w:rPr>
        <w:t>laquelle</w:t>
      </w:r>
      <w:r>
        <w:rPr>
          <w:sz w:val="24"/>
        </w:rPr>
        <w:t xml:space="preserve"> </w:t>
      </w:r>
      <w:r w:rsidR="00130CE2" w:rsidRPr="00425790">
        <w:rPr>
          <w:sz w:val="24"/>
        </w:rPr>
        <w:t>se fixe</w:t>
      </w:r>
      <w:r>
        <w:rPr>
          <w:sz w:val="24"/>
        </w:rPr>
        <w:t xml:space="preserve"> </w:t>
      </w:r>
      <w:r w:rsidR="00130CE2" w:rsidRPr="00425790">
        <w:rPr>
          <w:sz w:val="24"/>
        </w:rPr>
        <w:t xml:space="preserve">la </w:t>
      </w:r>
      <w:r w:rsidR="00130CE2" w:rsidRPr="00425790">
        <w:rPr>
          <w:spacing w:val="-2"/>
          <w:sz w:val="24"/>
        </w:rPr>
        <w:t>polymérase),</w:t>
      </w:r>
    </w:p>
    <w:p w:rsidR="00D643FF" w:rsidRPr="00425790" w:rsidRDefault="00425790" w:rsidP="00425790">
      <w:pPr>
        <w:pStyle w:val="Paragraphedeliste"/>
        <w:numPr>
          <w:ilvl w:val="0"/>
          <w:numId w:val="5"/>
        </w:numPr>
        <w:tabs>
          <w:tab w:val="left" w:pos="860"/>
        </w:tabs>
        <w:spacing w:before="137"/>
        <w:rPr>
          <w:sz w:val="24"/>
        </w:rPr>
      </w:pPr>
      <w:r w:rsidRPr="00425790">
        <w:rPr>
          <w:sz w:val="24"/>
        </w:rPr>
        <w:t>L</w:t>
      </w:r>
      <w:r w:rsidR="00130CE2" w:rsidRPr="00425790">
        <w:rPr>
          <w:sz w:val="24"/>
        </w:rPr>
        <w:t>a</w:t>
      </w:r>
      <w:r>
        <w:rPr>
          <w:sz w:val="24"/>
        </w:rPr>
        <w:t xml:space="preserve"> </w:t>
      </w:r>
      <w:r w:rsidR="00130CE2" w:rsidRPr="00425790">
        <w:rPr>
          <w:sz w:val="24"/>
        </w:rPr>
        <w:t>polymérase</w:t>
      </w:r>
      <w:r>
        <w:rPr>
          <w:sz w:val="24"/>
        </w:rPr>
        <w:t xml:space="preserve"> </w:t>
      </w:r>
      <w:r w:rsidR="00130CE2" w:rsidRPr="00425790">
        <w:rPr>
          <w:sz w:val="24"/>
        </w:rPr>
        <w:t>elle-</w:t>
      </w:r>
      <w:r w:rsidR="00130CE2" w:rsidRPr="00425790">
        <w:rPr>
          <w:spacing w:val="-4"/>
          <w:sz w:val="24"/>
        </w:rPr>
        <w:t>même</w:t>
      </w:r>
    </w:p>
    <w:p w:rsidR="00D643FF" w:rsidRPr="00425790" w:rsidRDefault="00425790" w:rsidP="00425790">
      <w:pPr>
        <w:pStyle w:val="Paragraphedeliste"/>
        <w:numPr>
          <w:ilvl w:val="0"/>
          <w:numId w:val="5"/>
        </w:numPr>
        <w:tabs>
          <w:tab w:val="left" w:pos="860"/>
        </w:tabs>
        <w:spacing w:before="141"/>
        <w:rPr>
          <w:sz w:val="24"/>
        </w:rPr>
      </w:pPr>
      <w:r w:rsidRPr="00425790">
        <w:rPr>
          <w:sz w:val="24"/>
        </w:rPr>
        <w:t>D</w:t>
      </w:r>
      <w:r w:rsidR="00130CE2" w:rsidRPr="00425790">
        <w:rPr>
          <w:sz w:val="24"/>
        </w:rPr>
        <w:t>es</w:t>
      </w:r>
      <w:r>
        <w:rPr>
          <w:sz w:val="24"/>
        </w:rPr>
        <w:t xml:space="preserve"> nucléotide</w:t>
      </w:r>
      <w:r w:rsidR="00130CE2" w:rsidRPr="00425790">
        <w:rPr>
          <w:sz w:val="24"/>
        </w:rPr>
        <w:t>s</w:t>
      </w:r>
      <w:r>
        <w:rPr>
          <w:sz w:val="24"/>
        </w:rPr>
        <w:t xml:space="preserve"> </w:t>
      </w:r>
      <w:r w:rsidR="00130CE2" w:rsidRPr="00425790">
        <w:rPr>
          <w:sz w:val="24"/>
        </w:rPr>
        <w:t>normaux</w:t>
      </w:r>
      <w:r>
        <w:rPr>
          <w:sz w:val="24"/>
        </w:rPr>
        <w:t xml:space="preserve"> </w:t>
      </w:r>
      <w:r w:rsidR="00130CE2" w:rsidRPr="00425790">
        <w:rPr>
          <w:sz w:val="24"/>
        </w:rPr>
        <w:t>(dATP,</w:t>
      </w:r>
      <w:r>
        <w:rPr>
          <w:sz w:val="24"/>
        </w:rPr>
        <w:t xml:space="preserve"> </w:t>
      </w:r>
      <w:r w:rsidR="00130CE2" w:rsidRPr="00425790">
        <w:rPr>
          <w:sz w:val="24"/>
        </w:rPr>
        <w:t>dTTP,</w:t>
      </w:r>
      <w:r>
        <w:rPr>
          <w:sz w:val="24"/>
        </w:rPr>
        <w:t xml:space="preserve"> </w:t>
      </w:r>
      <w:r w:rsidR="00130CE2" w:rsidRPr="00425790">
        <w:rPr>
          <w:sz w:val="24"/>
        </w:rPr>
        <w:t>dCTP,</w:t>
      </w:r>
      <w:r>
        <w:rPr>
          <w:sz w:val="24"/>
        </w:rPr>
        <w:t xml:space="preserve"> </w:t>
      </w:r>
      <w:r w:rsidR="00130CE2" w:rsidRPr="00425790">
        <w:rPr>
          <w:spacing w:val="-2"/>
          <w:sz w:val="24"/>
        </w:rPr>
        <w:t>dGTP).</w:t>
      </w:r>
    </w:p>
    <w:p w:rsidR="00D643FF" w:rsidRDefault="00130CE2" w:rsidP="00525BC2">
      <w:pPr>
        <w:tabs>
          <w:tab w:val="left" w:pos="859"/>
          <w:tab w:val="left" w:pos="861"/>
        </w:tabs>
        <w:spacing w:before="137" w:after="6" w:line="360" w:lineRule="auto"/>
        <w:ind w:right="136"/>
        <w:jc w:val="both"/>
        <w:rPr>
          <w:sz w:val="24"/>
        </w:rPr>
      </w:pPr>
      <w:r w:rsidRPr="00425790">
        <w:rPr>
          <w:sz w:val="24"/>
        </w:rPr>
        <w:t>On ajoute ensuite un nucléotide modifié ou didéshydro-nucléotide (ddATP, ddTTP, ddCTP, ddGTP) de</w:t>
      </w:r>
      <w:r w:rsidR="00525BC2">
        <w:rPr>
          <w:sz w:val="24"/>
        </w:rPr>
        <w:t xml:space="preserve"> </w:t>
      </w:r>
      <w:r w:rsidRPr="00425790">
        <w:rPr>
          <w:sz w:val="24"/>
        </w:rPr>
        <w:t>type différent dans chaque tube. Ceux-ci</w:t>
      </w:r>
      <w:r w:rsidR="00525BC2">
        <w:rPr>
          <w:sz w:val="24"/>
        </w:rPr>
        <w:t xml:space="preserve"> </w:t>
      </w:r>
      <w:r w:rsidRPr="00425790">
        <w:rPr>
          <w:sz w:val="24"/>
        </w:rPr>
        <w:t>sont identiques aux bases classiques à la différence qu'il leur manque un groupement-HO nécessaire à l'assimilation du n</w:t>
      </w:r>
      <w:r w:rsidRPr="00425790">
        <w:rPr>
          <w:sz w:val="24"/>
        </w:rPr>
        <w:t>ucléotide suivant par la polymérase (liaison phospho-diester)</w:t>
      </w:r>
      <w:r w:rsidR="00BF1F42">
        <w:rPr>
          <w:sz w:val="24"/>
        </w:rPr>
        <w:t xml:space="preserve"> (Figure 8)</w:t>
      </w:r>
      <w:r w:rsidRPr="00425790">
        <w:rPr>
          <w:sz w:val="24"/>
        </w:rPr>
        <w:t>.</w:t>
      </w:r>
    </w:p>
    <w:p w:rsidR="00BF1F42" w:rsidRPr="00425790" w:rsidRDefault="00BF1F42" w:rsidP="00525BC2">
      <w:pPr>
        <w:tabs>
          <w:tab w:val="left" w:pos="859"/>
          <w:tab w:val="left" w:pos="861"/>
        </w:tabs>
        <w:spacing w:before="137" w:after="6" w:line="360" w:lineRule="auto"/>
        <w:ind w:right="136"/>
        <w:jc w:val="both"/>
        <w:rPr>
          <w:sz w:val="24"/>
        </w:rPr>
      </w:pPr>
    </w:p>
    <w:p w:rsidR="00D643FF" w:rsidRDefault="00130CE2">
      <w:pPr>
        <w:pStyle w:val="Corpsdetexte"/>
        <w:ind w:left="892"/>
        <w:jc w:val="left"/>
        <w:rPr>
          <w:sz w:val="20"/>
        </w:rPr>
      </w:pPr>
      <w:r>
        <w:rPr>
          <w:noProof/>
          <w:sz w:val="20"/>
          <w:lang w:eastAsia="fr-FR"/>
        </w:rPr>
        <w:drawing>
          <wp:inline distT="0" distB="0" distL="0" distR="0">
            <wp:extent cx="4484632" cy="2425541"/>
            <wp:effectExtent l="19050" t="19050" r="11168" b="12859"/>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lum bright="10000" contrast="20000"/>
                    </a:blip>
                    <a:stretch>
                      <a:fillRect/>
                    </a:stretch>
                  </pic:blipFill>
                  <pic:spPr>
                    <a:xfrm>
                      <a:off x="0" y="0"/>
                      <a:ext cx="4484632" cy="2425541"/>
                    </a:xfrm>
                    <a:prstGeom prst="rect">
                      <a:avLst/>
                    </a:prstGeom>
                    <a:ln w="19050">
                      <a:solidFill>
                        <a:schemeClr val="tx1"/>
                      </a:solidFill>
                    </a:ln>
                  </pic:spPr>
                </pic:pic>
              </a:graphicData>
            </a:graphic>
          </wp:inline>
        </w:drawing>
      </w:r>
    </w:p>
    <w:p w:rsidR="00D643FF" w:rsidRPr="00BF1F42" w:rsidRDefault="00130CE2" w:rsidP="00BF1F42">
      <w:pPr>
        <w:pStyle w:val="Corpsdetexte"/>
        <w:spacing w:before="180"/>
        <w:ind w:left="847"/>
        <w:jc w:val="center"/>
        <w:rPr>
          <w:rFonts w:asciiTheme="majorBidi" w:hAnsiTheme="majorBidi" w:cstheme="majorBidi"/>
        </w:rPr>
      </w:pPr>
      <w:r w:rsidRPr="00BF1F42">
        <w:rPr>
          <w:rFonts w:asciiTheme="majorBidi" w:hAnsiTheme="majorBidi" w:cstheme="majorBidi"/>
          <w:b/>
        </w:rPr>
        <w:t>Figure</w:t>
      </w:r>
      <w:r w:rsidR="00BF1F42">
        <w:rPr>
          <w:rFonts w:asciiTheme="majorBidi" w:hAnsiTheme="majorBidi" w:cstheme="majorBidi"/>
          <w:b/>
        </w:rPr>
        <w:t xml:space="preserve"> 8</w:t>
      </w:r>
      <w:r w:rsidRPr="00BF1F42">
        <w:rPr>
          <w:rFonts w:asciiTheme="majorBidi" w:hAnsiTheme="majorBidi" w:cstheme="majorBidi"/>
          <w:b/>
        </w:rPr>
        <w:t>:</w:t>
      </w:r>
      <w:r w:rsidR="00BF1F42">
        <w:rPr>
          <w:rFonts w:asciiTheme="majorBidi" w:hAnsiTheme="majorBidi" w:cstheme="majorBidi"/>
          <w:b/>
        </w:rPr>
        <w:t xml:space="preserve"> </w:t>
      </w:r>
      <w:r w:rsidRPr="00BF1F42">
        <w:rPr>
          <w:rFonts w:asciiTheme="majorBidi" w:hAnsiTheme="majorBidi" w:cstheme="majorBidi"/>
        </w:rPr>
        <w:t>Les</w:t>
      </w:r>
      <w:r w:rsidR="00BF1F42">
        <w:rPr>
          <w:rFonts w:asciiTheme="majorBidi" w:hAnsiTheme="majorBidi" w:cstheme="majorBidi"/>
        </w:rPr>
        <w:t xml:space="preserve"> </w:t>
      </w:r>
      <w:r w:rsidRPr="00BF1F42">
        <w:rPr>
          <w:rFonts w:asciiTheme="majorBidi" w:hAnsiTheme="majorBidi" w:cstheme="majorBidi"/>
        </w:rPr>
        <w:t>déoxynucléotides</w:t>
      </w:r>
      <w:r w:rsidR="00BF1F42">
        <w:rPr>
          <w:rFonts w:asciiTheme="majorBidi" w:hAnsiTheme="majorBidi" w:cstheme="majorBidi"/>
        </w:rPr>
        <w:t xml:space="preserve"> </w:t>
      </w:r>
      <w:r w:rsidRPr="00BF1F42">
        <w:rPr>
          <w:rFonts w:asciiTheme="majorBidi" w:hAnsiTheme="majorBidi" w:cstheme="majorBidi"/>
        </w:rPr>
        <w:t>et</w:t>
      </w:r>
      <w:r w:rsidR="00BF1F42">
        <w:rPr>
          <w:rFonts w:asciiTheme="majorBidi" w:hAnsiTheme="majorBidi" w:cstheme="majorBidi"/>
        </w:rPr>
        <w:t xml:space="preserve"> </w:t>
      </w:r>
      <w:r w:rsidRPr="00BF1F42">
        <w:rPr>
          <w:rFonts w:asciiTheme="majorBidi" w:hAnsiTheme="majorBidi" w:cstheme="majorBidi"/>
        </w:rPr>
        <w:t>les</w:t>
      </w:r>
      <w:r w:rsidR="00BF1F42">
        <w:rPr>
          <w:rFonts w:asciiTheme="majorBidi" w:hAnsiTheme="majorBidi" w:cstheme="majorBidi"/>
        </w:rPr>
        <w:t xml:space="preserve"> </w:t>
      </w:r>
      <w:r w:rsidRPr="00BF1F42">
        <w:rPr>
          <w:rFonts w:asciiTheme="majorBidi" w:hAnsiTheme="majorBidi" w:cstheme="majorBidi"/>
        </w:rPr>
        <w:t>di-</w:t>
      </w:r>
      <w:r w:rsidRPr="00BF1F42">
        <w:rPr>
          <w:rFonts w:asciiTheme="majorBidi" w:hAnsiTheme="majorBidi" w:cstheme="majorBidi"/>
          <w:spacing w:val="-2"/>
        </w:rPr>
        <w:t>déoxynucléotides</w:t>
      </w:r>
    </w:p>
    <w:p w:rsidR="00D643FF" w:rsidRDefault="00D643FF">
      <w:pPr>
        <w:pStyle w:val="Corpsdetexte"/>
        <w:jc w:val="left"/>
        <w:rPr>
          <w:rFonts w:ascii="Calibri" w:hAnsi="Calibri"/>
        </w:rPr>
        <w:sectPr w:rsidR="00D643FF">
          <w:pgSz w:w="11910" w:h="16840"/>
          <w:pgMar w:top="1320" w:right="1275" w:bottom="1180" w:left="1275" w:header="0" w:footer="998" w:gutter="0"/>
          <w:cols w:space="720"/>
        </w:sectPr>
      </w:pPr>
    </w:p>
    <w:p w:rsidR="00D643FF" w:rsidRDefault="00130CE2" w:rsidP="00D85062">
      <w:pPr>
        <w:pStyle w:val="Corpsdetexte"/>
        <w:spacing w:line="360" w:lineRule="auto"/>
        <w:ind w:right="85"/>
      </w:pPr>
      <w:r>
        <w:lastRenderedPageBreak/>
        <w:t>La</w:t>
      </w:r>
      <w:r w:rsidR="00BF1F42">
        <w:t xml:space="preserve"> </w:t>
      </w:r>
      <w:r>
        <w:t>quantité</w:t>
      </w:r>
      <w:r w:rsidR="00BF1F42">
        <w:t xml:space="preserve"> </w:t>
      </w:r>
      <w:r>
        <w:t>de</w:t>
      </w:r>
      <w:r w:rsidR="00BF1F42">
        <w:t xml:space="preserve"> </w:t>
      </w:r>
      <w:r>
        <w:t>nucléotides</w:t>
      </w:r>
      <w:r w:rsidR="00BF1F42">
        <w:t xml:space="preserve"> </w:t>
      </w:r>
      <w:r>
        <w:t>modifiés</w:t>
      </w:r>
      <w:r w:rsidR="00BF1F42">
        <w:t xml:space="preserve"> </w:t>
      </w:r>
      <w:r>
        <w:t>incorporés</w:t>
      </w:r>
      <w:r w:rsidR="00BF1F42">
        <w:t xml:space="preserve"> </w:t>
      </w:r>
      <w:r>
        <w:t>dans</w:t>
      </w:r>
      <w:r w:rsidR="00BF1F42">
        <w:t xml:space="preserve"> </w:t>
      </w:r>
      <w:r>
        <w:t>chaque</w:t>
      </w:r>
      <w:r w:rsidR="00BF1F42">
        <w:t xml:space="preserve"> </w:t>
      </w:r>
      <w:r>
        <w:t>tube</w:t>
      </w:r>
      <w:r w:rsidR="00BF1F42">
        <w:t xml:space="preserve"> </w:t>
      </w:r>
      <w:r>
        <w:t>est</w:t>
      </w:r>
      <w:r w:rsidR="00BF1F42">
        <w:t xml:space="preserve"> </w:t>
      </w:r>
      <w:r>
        <w:t>bien</w:t>
      </w:r>
      <w:r w:rsidR="00BF1F42">
        <w:t xml:space="preserve"> </w:t>
      </w:r>
      <w:r>
        <w:t>inférieure</w:t>
      </w:r>
      <w:r w:rsidR="00BF1F42">
        <w:t xml:space="preserve"> </w:t>
      </w:r>
      <w:r>
        <w:t>au</w:t>
      </w:r>
      <w:r w:rsidR="00BF1F42">
        <w:t xml:space="preserve"> </w:t>
      </w:r>
      <w:r>
        <w:t>nombre de nucléotides classiques afin de ne pas</w:t>
      </w:r>
      <w:r>
        <w:t xml:space="preserve"> stopper l'assimilation trop tôt. Il faut qu’il y’ ait moins de ddNTP que</w:t>
      </w:r>
      <w:r w:rsidR="00D85062">
        <w:t xml:space="preserve"> </w:t>
      </w:r>
      <w:r>
        <w:t>de dNTP pour que dans le tube, on ait toutes les molécules possibles qui</w:t>
      </w:r>
      <w:r w:rsidR="00D85062">
        <w:t xml:space="preserve"> </w:t>
      </w:r>
      <w:r>
        <w:t>soient synthétisées. Ainsi, lors de l'assimilation</w:t>
      </w:r>
      <w:r w:rsidR="00D85062">
        <w:t xml:space="preserve"> </w:t>
      </w:r>
      <w:r>
        <w:t>d'un</w:t>
      </w:r>
      <w:r w:rsidR="00D85062">
        <w:t xml:space="preserve"> </w:t>
      </w:r>
      <w:r>
        <w:t>de ces nucléotides par la polymérase, la réplication</w:t>
      </w:r>
      <w:r w:rsidR="00D85062">
        <w:t xml:space="preserve"> </w:t>
      </w:r>
      <w:r>
        <w:t>du br</w:t>
      </w:r>
      <w:r>
        <w:t>in</w:t>
      </w:r>
      <w:r w:rsidR="00D85062">
        <w:t xml:space="preserve"> </w:t>
      </w:r>
      <w:r>
        <w:t>est stoppée</w:t>
      </w:r>
      <w:r>
        <w:rPr>
          <w:color w:val="9A3166"/>
        </w:rPr>
        <w:t xml:space="preserve">. </w:t>
      </w:r>
      <w:r>
        <w:t>Une fois les</w:t>
      </w:r>
      <w:r w:rsidR="00D85062">
        <w:t xml:space="preserve"> </w:t>
      </w:r>
      <w:r>
        <w:t>réactions terminées, on</w:t>
      </w:r>
      <w:r w:rsidR="00D85062">
        <w:t xml:space="preserve"> </w:t>
      </w:r>
      <w:r>
        <w:t>obtient dans chacun</w:t>
      </w:r>
      <w:r w:rsidR="00D85062">
        <w:t xml:space="preserve"> </w:t>
      </w:r>
      <w:r>
        <w:t>des quatre tubes</w:t>
      </w:r>
      <w:r w:rsidR="00D85062">
        <w:t xml:space="preserve"> </w:t>
      </w:r>
      <w:r>
        <w:t>des</w:t>
      </w:r>
      <w:r w:rsidR="00D85062">
        <w:t xml:space="preserve"> </w:t>
      </w:r>
      <w:r>
        <w:t>doubles</w:t>
      </w:r>
      <w:r w:rsidR="00D85062">
        <w:t xml:space="preserve"> </w:t>
      </w:r>
      <w:r>
        <w:t>brins</w:t>
      </w:r>
      <w:r w:rsidR="00D85062">
        <w:t xml:space="preserve"> </w:t>
      </w:r>
      <w:r>
        <w:t>d’ADN</w:t>
      </w:r>
      <w:r w:rsidR="00D85062">
        <w:t xml:space="preserve"> </w:t>
      </w:r>
      <w:r>
        <w:t>de</w:t>
      </w:r>
      <w:r w:rsidR="00D85062">
        <w:t xml:space="preserve"> </w:t>
      </w:r>
      <w:r>
        <w:t>tailles</w:t>
      </w:r>
      <w:r w:rsidR="00D85062">
        <w:t xml:space="preserve"> </w:t>
      </w:r>
      <w:r>
        <w:t>variables,</w:t>
      </w:r>
      <w:r w:rsidR="00D85062">
        <w:t xml:space="preserve"> </w:t>
      </w:r>
      <w:r>
        <w:t>en</w:t>
      </w:r>
      <w:r w:rsidR="00D85062">
        <w:t xml:space="preserve"> </w:t>
      </w:r>
      <w:r>
        <w:t>fonction</w:t>
      </w:r>
      <w:r w:rsidR="00D85062">
        <w:t xml:space="preserve"> </w:t>
      </w:r>
      <w:r>
        <w:t>de</w:t>
      </w:r>
      <w:r w:rsidR="00D85062">
        <w:t xml:space="preserve"> </w:t>
      </w:r>
      <w:r>
        <w:t>leur</w:t>
      </w:r>
      <w:r w:rsidR="00D85062">
        <w:t xml:space="preserve"> </w:t>
      </w:r>
      <w:r>
        <w:t>arrêt</w:t>
      </w:r>
      <w:r w:rsidR="00D85062">
        <w:t xml:space="preserve"> </w:t>
      </w:r>
      <w:r>
        <w:t>par</w:t>
      </w:r>
      <w:r w:rsidR="00D85062">
        <w:t xml:space="preserve"> </w:t>
      </w:r>
      <w:r>
        <w:t>les nucléotides</w:t>
      </w:r>
      <w:r w:rsidR="00D85062">
        <w:t xml:space="preserve"> </w:t>
      </w:r>
      <w:r>
        <w:t>modifiés.</w:t>
      </w:r>
      <w:r w:rsidR="00D85062">
        <w:t xml:space="preserve"> Les réactions de séquence</w:t>
      </w:r>
      <w:r>
        <w:t xml:space="preserve"> (avec ddNTP) sont rapides (moins de 15</w:t>
      </w:r>
      <w:r>
        <w:rPr>
          <w:spacing w:val="-2"/>
        </w:rPr>
        <w:t>minutes).</w:t>
      </w:r>
    </w:p>
    <w:p w:rsidR="00D643FF" w:rsidRDefault="00130CE2" w:rsidP="00D85062">
      <w:pPr>
        <w:pStyle w:val="Corpsdetexte"/>
        <w:spacing w:line="360" w:lineRule="auto"/>
        <w:ind w:right="134" w:firstLine="579"/>
      </w:pPr>
      <w:r>
        <w:t>On place</w:t>
      </w:r>
      <w:r>
        <w:t xml:space="preserve"> alors le contenu des tubes dans quatre puits distincts (correspondant aux quatre nucléotides possibles) de gel d’électrophorèse. L’ADN étant chargée négativement, plus la taille de la séquence est importante et plus la molécule migre vers le pole positif </w:t>
      </w:r>
      <w:r>
        <w:t>du gel d’électrophorèse. Après leurs migrations, dans ce gel on peut aisément retrouver l’ordre des nucléotides de la séquence concernée. Une simple lecture horizontale de ce gel (une fois révélé) permet de connaître l'ordre des bases de la séquence.</w:t>
      </w:r>
    </w:p>
    <w:p w:rsidR="00E629B7" w:rsidRDefault="00130CE2" w:rsidP="00E629B7">
      <w:pPr>
        <w:pStyle w:val="Corpsdetexte"/>
        <w:spacing w:line="360" w:lineRule="auto"/>
        <w:ind w:right="134"/>
      </w:pPr>
      <w:r>
        <w:t>Afin de voir les fragments d'ADN sur le gel d'électrophorèse, on utilise la plupart du temps</w:t>
      </w:r>
      <w:r w:rsidR="00B2543D">
        <w:t xml:space="preserve"> </w:t>
      </w:r>
      <w:r>
        <w:t>des marqueurs fluorescents. On peut aussi marquer radioactivement les nucléotides puis les exposer à un film photographique: des bandes sombres apparaissent là où s</w:t>
      </w:r>
      <w:r>
        <w:t>e trouvait</w:t>
      </w:r>
      <w:r w:rsidR="00B2543D">
        <w:t xml:space="preserve"> </w:t>
      </w:r>
      <w:r>
        <w:t>de l'ADN sur le chromatogramme ; c’est l’autoradiographie.</w:t>
      </w:r>
    </w:p>
    <w:p w:rsidR="00D643FF" w:rsidRDefault="00D643FF">
      <w:pPr>
        <w:pStyle w:val="Corpsdetexte"/>
        <w:spacing w:before="6"/>
        <w:ind w:left="0"/>
        <w:jc w:val="left"/>
      </w:pPr>
    </w:p>
    <w:p w:rsidR="00D643FF" w:rsidRDefault="00130CE2" w:rsidP="006C1D8C">
      <w:pPr>
        <w:pStyle w:val="Heading1"/>
        <w:numPr>
          <w:ilvl w:val="0"/>
          <w:numId w:val="3"/>
        </w:numPr>
        <w:tabs>
          <w:tab w:val="left" w:pos="860"/>
        </w:tabs>
        <w:jc w:val="both"/>
      </w:pPr>
      <w:r>
        <w:t>Automatisation</w:t>
      </w:r>
      <w:r w:rsidR="00B2543D">
        <w:t xml:space="preserve"> </w:t>
      </w:r>
      <w:r>
        <w:t>du</w:t>
      </w:r>
      <w:r w:rsidR="00B2543D">
        <w:t xml:space="preserve"> </w:t>
      </w:r>
      <w:r>
        <w:rPr>
          <w:spacing w:val="-2"/>
        </w:rPr>
        <w:t>séquençage</w:t>
      </w:r>
    </w:p>
    <w:p w:rsidR="00D643FF" w:rsidRDefault="00130CE2">
      <w:pPr>
        <w:pStyle w:val="Corpsdetexte"/>
        <w:spacing w:before="132" w:line="360" w:lineRule="auto"/>
        <w:ind w:right="138" w:firstLine="360"/>
      </w:pPr>
      <w:r>
        <w:t>Aujourd'hui, la plupart des séquençages sont réalisés par des séquenceurs industriels entièrement automatisés. Ceux-ci</w:t>
      </w:r>
      <w:r w:rsidR="00244B9A">
        <w:t xml:space="preserve"> </w:t>
      </w:r>
      <w:r>
        <w:t>utilisent la technique de Sanger mais ave</w:t>
      </w:r>
      <w:r>
        <w:t>c des méthodes de révélation différentes.</w:t>
      </w:r>
    </w:p>
    <w:p w:rsidR="00D643FF" w:rsidRDefault="00130CE2">
      <w:pPr>
        <w:pStyle w:val="Corpsdetexte"/>
        <w:spacing w:before="2" w:line="360" w:lineRule="auto"/>
        <w:ind w:right="139"/>
      </w:pPr>
      <w:r>
        <w:t>Les fragments d'ADN sont marqués par des marqueurs fluorescents; leur taille est ensuite déterminée par chromatographie ou électrophorèse assistée par ordinateur.</w:t>
      </w:r>
    </w:p>
    <w:p w:rsidR="00D643FF" w:rsidRDefault="00130CE2" w:rsidP="00E629B7">
      <w:pPr>
        <w:pStyle w:val="Corpsdetexte"/>
        <w:spacing w:after="240" w:line="360" w:lineRule="auto"/>
        <w:ind w:right="134"/>
      </w:pPr>
      <w:r>
        <w:t>Avec ces techniques, on peut séquencer jusqu'à 1000</w:t>
      </w:r>
      <w:r>
        <w:t xml:space="preserve"> bases avec les meilleurs séquenceurs contre 200 à 300 via une méthode manuelle comme celle</w:t>
      </w:r>
      <w:r>
        <w:rPr>
          <w:b/>
        </w:rPr>
        <w:t xml:space="preserve">s </w:t>
      </w:r>
      <w:r>
        <w:t>exposées ci-dessus. En effet, lors</w:t>
      </w:r>
      <w:r w:rsidR="00E629B7">
        <w:t xml:space="preserve"> </w:t>
      </w:r>
      <w:r>
        <w:t>de l’électrophorèse manuelle, le nombre de bases est limité afin de ne pas rendre le chromatogramme illisible par la surcharge de</w:t>
      </w:r>
      <w:r>
        <w:t xml:space="preserve">s bandes et ainsi ne plus permettre une lecture </w:t>
      </w:r>
      <w:r>
        <w:rPr>
          <w:spacing w:val="-2"/>
        </w:rPr>
        <w:t>horizontale.</w:t>
      </w:r>
    </w:p>
    <w:p w:rsidR="00D643FF" w:rsidRDefault="006C1D8C" w:rsidP="006C1D8C">
      <w:pPr>
        <w:pStyle w:val="Heading1"/>
        <w:numPr>
          <w:ilvl w:val="0"/>
          <w:numId w:val="3"/>
        </w:numPr>
        <w:tabs>
          <w:tab w:val="left" w:pos="845"/>
        </w:tabs>
        <w:spacing w:before="2"/>
        <w:jc w:val="both"/>
      </w:pPr>
      <w:r>
        <w:t xml:space="preserve"> </w:t>
      </w:r>
      <w:r w:rsidR="00130CE2">
        <w:t>Les</w:t>
      </w:r>
      <w:r w:rsidR="00E629B7">
        <w:t xml:space="preserve"> </w:t>
      </w:r>
      <w:r w:rsidR="00130CE2">
        <w:t>nouvelles</w:t>
      </w:r>
      <w:r w:rsidR="00E629B7">
        <w:t xml:space="preserve"> </w:t>
      </w:r>
      <w:r w:rsidR="00130CE2">
        <w:t>techniques</w:t>
      </w:r>
      <w:r w:rsidR="00E629B7">
        <w:t xml:space="preserve"> </w:t>
      </w:r>
      <w:r w:rsidR="00130CE2">
        <w:t xml:space="preserve">de </w:t>
      </w:r>
      <w:r w:rsidR="00130CE2">
        <w:rPr>
          <w:spacing w:val="-2"/>
        </w:rPr>
        <w:t>séquençage</w:t>
      </w:r>
    </w:p>
    <w:p w:rsidR="00D643FF" w:rsidRDefault="00130CE2" w:rsidP="006C1D8C">
      <w:pPr>
        <w:pStyle w:val="Corpsdetexte"/>
        <w:spacing w:before="137" w:line="360" w:lineRule="auto"/>
        <w:ind w:right="130" w:firstLine="360"/>
        <w:sectPr w:rsidR="00D643FF">
          <w:pgSz w:w="11910" w:h="16840"/>
          <w:pgMar w:top="1320" w:right="1275" w:bottom="1180" w:left="1275" w:header="0" w:footer="998" w:gutter="0"/>
          <w:cols w:space="720"/>
        </w:sectPr>
      </w:pPr>
      <w:r>
        <w:t>Depuis 2004, de nouvelles techniques de séquençage sont disponibles sur le marché. Par contraste avec les techniques traditionnelles, elles ont été</w:t>
      </w:r>
      <w:r w:rsidR="00E629B7">
        <w:t xml:space="preserve"> </w:t>
      </w:r>
      <w:r>
        <w:t xml:space="preserve">développées </w:t>
      </w:r>
      <w:r>
        <w:t>par des industriels qui commercialisent</w:t>
      </w:r>
      <w:r w:rsidR="006C1D8C">
        <w:t xml:space="preserve"> </w:t>
      </w:r>
      <w:r>
        <w:t>les</w:t>
      </w:r>
      <w:r w:rsidR="006C1D8C">
        <w:t xml:space="preserve"> </w:t>
      </w:r>
      <w:r>
        <w:t>plateformes</w:t>
      </w:r>
      <w:r w:rsidR="006C1D8C">
        <w:t xml:space="preserve"> </w:t>
      </w:r>
      <w:r>
        <w:t>automatisées</w:t>
      </w:r>
      <w:r w:rsidR="006C1D8C">
        <w:t xml:space="preserve"> </w:t>
      </w:r>
      <w:r>
        <w:t>permettant</w:t>
      </w:r>
      <w:r w:rsidR="006C1D8C">
        <w:t xml:space="preserve"> </w:t>
      </w:r>
      <w:r>
        <w:t>d’utiliser</w:t>
      </w:r>
      <w:r w:rsidR="006C1D8C">
        <w:t xml:space="preserve"> </w:t>
      </w:r>
      <w:r>
        <w:t>ces</w:t>
      </w:r>
      <w:r w:rsidR="006C1D8C">
        <w:t xml:space="preserve"> </w:t>
      </w:r>
      <w:r>
        <w:t>techniques.</w:t>
      </w:r>
      <w:r w:rsidR="006C1D8C">
        <w:t xml:space="preserve"> </w:t>
      </w:r>
      <w:r>
        <w:t>Un autre</w:t>
      </w:r>
    </w:p>
    <w:p w:rsidR="00D643FF" w:rsidRDefault="00130CE2" w:rsidP="006C1D8C">
      <w:pPr>
        <w:pStyle w:val="Corpsdetexte"/>
        <w:spacing w:before="70" w:line="360" w:lineRule="auto"/>
        <w:ind w:left="0" w:right="139"/>
      </w:pPr>
      <w:r>
        <w:lastRenderedPageBreak/>
        <w:t>point commun très important à toutes ces nouvelles technologies est que l’amplification des banques d’ADN matrice ne passe pas</w:t>
      </w:r>
      <w:r w:rsidR="006C1D8C">
        <w:t xml:space="preserve"> </w:t>
      </w:r>
      <w:r>
        <w:t>par</w:t>
      </w:r>
      <w:r w:rsidR="006C1D8C">
        <w:t xml:space="preserve"> </w:t>
      </w:r>
      <w:r>
        <w:t>m</w:t>
      </w:r>
      <w:r>
        <w:t>ultiplication</w:t>
      </w:r>
      <w:r w:rsidR="006C1D8C">
        <w:t xml:space="preserve"> </w:t>
      </w:r>
      <w:r>
        <w:t>clonale, mais par réactions de PCR. Les deux types de réaction PCR utilisées sont :</w:t>
      </w:r>
    </w:p>
    <w:p w:rsidR="00D643FF" w:rsidRDefault="00130CE2" w:rsidP="006C1D8C">
      <w:pPr>
        <w:pStyle w:val="Paragraphedeliste"/>
        <w:numPr>
          <w:ilvl w:val="2"/>
          <w:numId w:val="3"/>
        </w:numPr>
        <w:tabs>
          <w:tab w:val="left" w:pos="859"/>
          <w:tab w:val="left" w:pos="861"/>
        </w:tabs>
        <w:spacing w:before="2" w:line="360" w:lineRule="auto"/>
        <w:ind w:left="861" w:right="142"/>
        <w:rPr>
          <w:sz w:val="24"/>
        </w:rPr>
      </w:pPr>
      <w:r>
        <w:rPr>
          <w:b/>
          <w:sz w:val="24"/>
        </w:rPr>
        <w:t>La PCR en émulsion (emulsion PCR or</w:t>
      </w:r>
      <w:r w:rsidR="00343A45">
        <w:rPr>
          <w:b/>
          <w:sz w:val="24"/>
        </w:rPr>
        <w:t xml:space="preserve"> </w:t>
      </w:r>
      <w:r>
        <w:rPr>
          <w:b/>
          <w:sz w:val="24"/>
        </w:rPr>
        <w:t>Em</w:t>
      </w:r>
      <w:r w:rsidR="00343A45">
        <w:rPr>
          <w:b/>
          <w:sz w:val="24"/>
        </w:rPr>
        <w:t xml:space="preserve"> PCR)</w:t>
      </w:r>
      <w:r>
        <w:rPr>
          <w:b/>
          <w:sz w:val="24"/>
        </w:rPr>
        <w:t>;</w:t>
      </w:r>
      <w:r w:rsidR="00343A45">
        <w:rPr>
          <w:b/>
          <w:sz w:val="24"/>
        </w:rPr>
        <w:t xml:space="preserve"> </w:t>
      </w:r>
      <w:r>
        <w:rPr>
          <w:sz w:val="24"/>
        </w:rPr>
        <w:t>les fragments</w:t>
      </w:r>
      <w:r w:rsidR="00343A45">
        <w:rPr>
          <w:sz w:val="24"/>
        </w:rPr>
        <w:t xml:space="preserve"> </w:t>
      </w:r>
      <w:r>
        <w:rPr>
          <w:sz w:val="24"/>
        </w:rPr>
        <w:t>d’ADN sont liés</w:t>
      </w:r>
      <w:r w:rsidR="00343A45">
        <w:rPr>
          <w:sz w:val="24"/>
        </w:rPr>
        <w:t xml:space="preserve"> </w:t>
      </w:r>
      <w:r>
        <w:rPr>
          <w:sz w:val="24"/>
        </w:rPr>
        <w:t>à des billes d’agarose</w:t>
      </w:r>
    </w:p>
    <w:p w:rsidR="00D643FF" w:rsidRDefault="00130CE2" w:rsidP="006C1D8C">
      <w:pPr>
        <w:pStyle w:val="Paragraphedeliste"/>
        <w:numPr>
          <w:ilvl w:val="2"/>
          <w:numId w:val="3"/>
        </w:numPr>
        <w:tabs>
          <w:tab w:val="left" w:pos="859"/>
          <w:tab w:val="left" w:pos="861"/>
        </w:tabs>
        <w:spacing w:line="362" w:lineRule="auto"/>
        <w:ind w:left="861" w:right="146"/>
        <w:rPr>
          <w:sz w:val="24"/>
        </w:rPr>
      </w:pPr>
      <w:r>
        <w:rPr>
          <w:b/>
          <w:sz w:val="24"/>
        </w:rPr>
        <w:t>La PCR par pontage (bridge amplification</w:t>
      </w:r>
      <w:r>
        <w:rPr>
          <w:sz w:val="24"/>
        </w:rPr>
        <w:t>) ; les fragments d’ADN sont fixés sur une lame de verre appelée flow-cell.</w:t>
      </w:r>
    </w:p>
    <w:p w:rsidR="00D643FF" w:rsidRDefault="00130CE2">
      <w:pPr>
        <w:pStyle w:val="Corpsdetexte"/>
        <w:spacing w:line="360" w:lineRule="auto"/>
        <w:ind w:right="144"/>
      </w:pPr>
      <w:r>
        <w:t>Ces amplifications par PCR évitent tout biais de représentation des fragments. En effet, lors d’un clonage bactérien, certains fragments d’ADN peuvent présenter une toxicité pour l</w:t>
      </w:r>
      <w:r>
        <w:t>es cellules bactériennes. Ces nouvelles techniques reposent sur :</w:t>
      </w:r>
    </w:p>
    <w:p w:rsidR="00D643FF" w:rsidRDefault="00130CE2" w:rsidP="006C1D8C">
      <w:pPr>
        <w:pStyle w:val="Paragraphedeliste"/>
        <w:numPr>
          <w:ilvl w:val="2"/>
          <w:numId w:val="3"/>
        </w:numPr>
        <w:tabs>
          <w:tab w:val="left" w:pos="861"/>
        </w:tabs>
        <w:ind w:left="861" w:hanging="360"/>
        <w:jc w:val="left"/>
        <w:rPr>
          <w:sz w:val="24"/>
        </w:rPr>
      </w:pPr>
      <w:r>
        <w:rPr>
          <w:sz w:val="24"/>
        </w:rPr>
        <w:t>La</w:t>
      </w:r>
      <w:r w:rsidR="001D5A00">
        <w:rPr>
          <w:sz w:val="24"/>
        </w:rPr>
        <w:t xml:space="preserve"> </w:t>
      </w:r>
      <w:r>
        <w:rPr>
          <w:sz w:val="24"/>
        </w:rPr>
        <w:t>synthèse</w:t>
      </w:r>
      <w:r w:rsidR="001D5A00">
        <w:rPr>
          <w:sz w:val="24"/>
        </w:rPr>
        <w:t xml:space="preserve"> </w:t>
      </w:r>
      <w:r>
        <w:rPr>
          <w:sz w:val="24"/>
        </w:rPr>
        <w:t>d’ADN(pyroséquençage</w:t>
      </w:r>
      <w:r w:rsidR="001D5A00">
        <w:rPr>
          <w:sz w:val="24"/>
        </w:rPr>
        <w:t xml:space="preserve"> </w:t>
      </w:r>
      <w:r>
        <w:rPr>
          <w:sz w:val="24"/>
        </w:rPr>
        <w:t>et</w:t>
      </w:r>
      <w:r w:rsidR="001D5A00">
        <w:rPr>
          <w:sz w:val="24"/>
        </w:rPr>
        <w:t xml:space="preserve"> </w:t>
      </w:r>
      <w:r>
        <w:rPr>
          <w:spacing w:val="-2"/>
          <w:sz w:val="24"/>
        </w:rPr>
        <w:t>Solexa)</w:t>
      </w:r>
    </w:p>
    <w:p w:rsidR="00D643FF" w:rsidRDefault="00130CE2" w:rsidP="006C1D8C">
      <w:pPr>
        <w:pStyle w:val="Paragraphedeliste"/>
        <w:numPr>
          <w:ilvl w:val="2"/>
          <w:numId w:val="3"/>
        </w:numPr>
        <w:tabs>
          <w:tab w:val="left" w:pos="861"/>
        </w:tabs>
        <w:spacing w:before="133" w:line="360" w:lineRule="auto"/>
        <w:ind w:left="861" w:right="149"/>
        <w:jc w:val="left"/>
        <w:rPr>
          <w:sz w:val="24"/>
        </w:rPr>
      </w:pPr>
      <w:r>
        <w:rPr>
          <w:sz w:val="24"/>
        </w:rPr>
        <w:t>L’hybridation sur des puces à ADN (SOLiD pour Sequencing by Oligo Ligation and detection développé par Applied Biosystems)</w:t>
      </w:r>
    </w:p>
    <w:p w:rsidR="00961943" w:rsidRPr="00961943" w:rsidRDefault="00130CE2" w:rsidP="00961943">
      <w:pPr>
        <w:pStyle w:val="Paragraphedeliste"/>
        <w:numPr>
          <w:ilvl w:val="2"/>
          <w:numId w:val="3"/>
        </w:numPr>
        <w:tabs>
          <w:tab w:val="left" w:pos="861"/>
        </w:tabs>
        <w:spacing w:line="274" w:lineRule="exact"/>
        <w:ind w:left="861" w:hanging="360"/>
        <w:jc w:val="left"/>
        <w:rPr>
          <w:sz w:val="24"/>
        </w:rPr>
      </w:pPr>
      <w:r>
        <w:rPr>
          <w:sz w:val="24"/>
        </w:rPr>
        <w:t>La détection</w:t>
      </w:r>
      <w:r w:rsidR="001D5A00">
        <w:rPr>
          <w:sz w:val="24"/>
        </w:rPr>
        <w:t xml:space="preserve"> </w:t>
      </w:r>
      <w:r>
        <w:rPr>
          <w:sz w:val="24"/>
        </w:rPr>
        <w:t>en</w:t>
      </w:r>
      <w:r w:rsidR="001D5A00">
        <w:rPr>
          <w:sz w:val="24"/>
        </w:rPr>
        <w:t xml:space="preserve"> </w:t>
      </w:r>
      <w:r>
        <w:rPr>
          <w:sz w:val="24"/>
        </w:rPr>
        <w:t>temps</w:t>
      </w:r>
      <w:r w:rsidR="001D5A00">
        <w:rPr>
          <w:sz w:val="24"/>
        </w:rPr>
        <w:t xml:space="preserve"> </w:t>
      </w:r>
      <w:r>
        <w:rPr>
          <w:sz w:val="24"/>
        </w:rPr>
        <w:t>réel</w:t>
      </w:r>
      <w:r w:rsidR="001D5A00">
        <w:rPr>
          <w:sz w:val="24"/>
        </w:rPr>
        <w:t xml:space="preserve"> </w:t>
      </w:r>
      <w:r>
        <w:rPr>
          <w:sz w:val="24"/>
        </w:rPr>
        <w:t>de</w:t>
      </w:r>
      <w:r w:rsidR="001D5A00">
        <w:rPr>
          <w:sz w:val="24"/>
        </w:rPr>
        <w:t xml:space="preserve"> </w:t>
      </w:r>
      <w:r>
        <w:rPr>
          <w:spacing w:val="-2"/>
          <w:sz w:val="24"/>
        </w:rPr>
        <w:t>mo</w:t>
      </w:r>
      <w:r>
        <w:rPr>
          <w:spacing w:val="-2"/>
          <w:sz w:val="24"/>
        </w:rPr>
        <w:t>lécules</w:t>
      </w:r>
    </w:p>
    <w:p w:rsidR="00961943" w:rsidRPr="00961943" w:rsidRDefault="00961943" w:rsidP="00961943">
      <w:pPr>
        <w:pStyle w:val="Paragraphedeliste"/>
        <w:tabs>
          <w:tab w:val="left" w:pos="861"/>
        </w:tabs>
        <w:spacing w:line="274" w:lineRule="exact"/>
        <w:ind w:firstLine="0"/>
        <w:jc w:val="right"/>
        <w:rPr>
          <w:sz w:val="24"/>
        </w:rPr>
      </w:pPr>
    </w:p>
    <w:p w:rsidR="00D643FF" w:rsidRPr="00961943" w:rsidRDefault="00130CE2" w:rsidP="00961943">
      <w:pPr>
        <w:pStyle w:val="Paragraphedeliste"/>
        <w:numPr>
          <w:ilvl w:val="1"/>
          <w:numId w:val="6"/>
        </w:numPr>
        <w:tabs>
          <w:tab w:val="left" w:pos="861"/>
        </w:tabs>
        <w:spacing w:line="274" w:lineRule="exact"/>
        <w:rPr>
          <w:b/>
          <w:bCs/>
          <w:sz w:val="24"/>
          <w:szCs w:val="24"/>
        </w:rPr>
      </w:pPr>
      <w:r w:rsidRPr="00961943">
        <w:rPr>
          <w:b/>
          <w:bCs/>
          <w:sz w:val="24"/>
          <w:szCs w:val="24"/>
        </w:rPr>
        <w:t>Pyroséquençage</w:t>
      </w:r>
      <w:r w:rsidR="00961943">
        <w:rPr>
          <w:b/>
          <w:bCs/>
          <w:sz w:val="24"/>
          <w:szCs w:val="24"/>
        </w:rPr>
        <w:t xml:space="preserve"> </w:t>
      </w:r>
      <w:r w:rsidRPr="00961943">
        <w:rPr>
          <w:b/>
          <w:bCs/>
          <w:sz w:val="24"/>
          <w:szCs w:val="24"/>
        </w:rPr>
        <w:t>luminométrique</w:t>
      </w:r>
      <w:r w:rsidR="00961943">
        <w:rPr>
          <w:b/>
          <w:bCs/>
          <w:sz w:val="24"/>
          <w:szCs w:val="24"/>
        </w:rPr>
        <w:t xml:space="preserve"> </w:t>
      </w:r>
      <w:r w:rsidRPr="00961943">
        <w:rPr>
          <w:b/>
          <w:bCs/>
          <w:sz w:val="24"/>
          <w:szCs w:val="24"/>
        </w:rPr>
        <w:t>en</w:t>
      </w:r>
      <w:r w:rsidR="00961943">
        <w:rPr>
          <w:b/>
          <w:bCs/>
          <w:sz w:val="24"/>
          <w:szCs w:val="24"/>
        </w:rPr>
        <w:t xml:space="preserve"> </w:t>
      </w:r>
      <w:r w:rsidRPr="00961943">
        <w:rPr>
          <w:b/>
          <w:bCs/>
          <w:sz w:val="24"/>
          <w:szCs w:val="24"/>
        </w:rPr>
        <w:t>temps</w:t>
      </w:r>
      <w:r w:rsidR="00961943">
        <w:rPr>
          <w:b/>
          <w:bCs/>
          <w:sz w:val="24"/>
          <w:szCs w:val="24"/>
        </w:rPr>
        <w:t xml:space="preserve"> </w:t>
      </w:r>
      <w:r w:rsidRPr="00961943">
        <w:rPr>
          <w:b/>
          <w:bCs/>
          <w:spacing w:val="-4"/>
          <w:sz w:val="24"/>
          <w:szCs w:val="24"/>
        </w:rPr>
        <w:t>réel</w:t>
      </w:r>
    </w:p>
    <w:p w:rsidR="00D643FF" w:rsidRDefault="00130CE2">
      <w:pPr>
        <w:pStyle w:val="Corpsdetexte"/>
        <w:spacing w:before="132" w:line="360" w:lineRule="auto"/>
        <w:ind w:right="143" w:firstLine="706"/>
      </w:pPr>
      <w:r>
        <w:t>L’ADN a séquencé est amplifié par PCR en émulsion. Chaque bille d’agarose portant un exemplaire d’ADN de la banque est déposée dans le puits d’une lame à alvéole analysable par fibre optique. Dans chaque alvéole se déroule la réaction de séquence.</w:t>
      </w:r>
    </w:p>
    <w:p w:rsidR="00020129" w:rsidRDefault="00130CE2">
      <w:pPr>
        <w:pStyle w:val="Corpsdetexte"/>
        <w:spacing w:before="1" w:line="360" w:lineRule="auto"/>
        <w:ind w:right="137"/>
      </w:pPr>
      <w:r>
        <w:t>Encore u</w:t>
      </w:r>
      <w:r>
        <w:t>ne fois, on utilise un brin dénaturé, une amorce, les quatre types de nucléotide normaux. On</w:t>
      </w:r>
      <w:r w:rsidR="00020129">
        <w:t xml:space="preserve"> </w:t>
      </w:r>
      <w:r>
        <w:t>ajoute</w:t>
      </w:r>
      <w:r w:rsidR="00020129">
        <w:t xml:space="preserve"> </w:t>
      </w:r>
      <w:r>
        <w:t>également quatre</w:t>
      </w:r>
      <w:r w:rsidR="00020129">
        <w:t xml:space="preserve"> </w:t>
      </w:r>
      <w:r>
        <w:t>enzymes: la polymérase, la</w:t>
      </w:r>
      <w:r w:rsidR="00020129">
        <w:t xml:space="preserve"> </w:t>
      </w:r>
      <w:r>
        <w:t xml:space="preserve">sulfurylase, la luciférase, et l’apyrase. </w:t>
      </w:r>
    </w:p>
    <w:p w:rsidR="00D643FF" w:rsidRDefault="00130CE2">
      <w:pPr>
        <w:pStyle w:val="Corpsdetexte"/>
        <w:spacing w:before="1" w:line="360" w:lineRule="auto"/>
        <w:ind w:right="137"/>
      </w:pPr>
      <w:r>
        <w:t>Les nucléotides, les enzymes et leurs substrats sont introduits dans une c</w:t>
      </w:r>
      <w:r>
        <w:t>artouche adaptée, et le brin d’ADN dans une micro cuvette. Le tout est mis dans un pyroséquenceur, appareil entièrement informatisé.</w:t>
      </w:r>
    </w:p>
    <w:p w:rsidR="00D643FF" w:rsidRDefault="00130CE2">
      <w:pPr>
        <w:pStyle w:val="Corpsdetexte"/>
        <w:spacing w:line="360" w:lineRule="auto"/>
        <w:ind w:right="137"/>
      </w:pPr>
      <w:r>
        <w:t>Le pyroséquenceur propose alors tour à tour un type de base. Si la base correspond, elle est alors incorporée par la polymé</w:t>
      </w:r>
      <w:r>
        <w:t xml:space="preserve">rase au brin. Celui-ci rejette alors un phosphate inorganique (PPi) transformé en </w:t>
      </w:r>
      <w:r>
        <w:rPr>
          <w:b/>
        </w:rPr>
        <w:t xml:space="preserve">ATP </w:t>
      </w:r>
      <w:r>
        <w:t xml:space="preserve">par </w:t>
      </w:r>
      <w:r>
        <w:rPr>
          <w:b/>
        </w:rPr>
        <w:t xml:space="preserve">la sulfurylase </w:t>
      </w:r>
      <w:r>
        <w:t xml:space="preserve">puis en </w:t>
      </w:r>
      <w:r>
        <w:rPr>
          <w:b/>
        </w:rPr>
        <w:t xml:space="preserve">lumière </w:t>
      </w:r>
      <w:r>
        <w:t xml:space="preserve">par la </w:t>
      </w:r>
      <w:r>
        <w:rPr>
          <w:b/>
        </w:rPr>
        <w:t>luciférase</w:t>
      </w:r>
      <w:r>
        <w:t>. Cette émission lumineuse est alors captée par un détecteur photosensible qui transmet un signal à</w:t>
      </w:r>
      <w:r w:rsidR="00020129">
        <w:t xml:space="preserve"> </w:t>
      </w:r>
      <w:r>
        <w:t xml:space="preserve">l’ordinateur. Dans </w:t>
      </w:r>
      <w:r>
        <w:t>le cas ou deux bases identiques se suivent, celles-ci sont</w:t>
      </w:r>
      <w:r w:rsidR="00020129">
        <w:t xml:space="preserve"> </w:t>
      </w:r>
      <w:r>
        <w:t>incorporées dans le même temps ; l’énergie lumineuse à donc une intensité double se qui se traduit graphiquement sur l’écran. Dans le cas où la base n’est pas incorporée, celle-ci est alors dégradée</w:t>
      </w:r>
      <w:r>
        <w:t xml:space="preserve"> par </w:t>
      </w:r>
      <w:r>
        <w:rPr>
          <w:b/>
        </w:rPr>
        <w:t xml:space="preserve">l’apyrase. </w:t>
      </w:r>
      <w:r>
        <w:t>Un autre type de nucléotide est alors proposé</w:t>
      </w:r>
      <w:r w:rsidR="00A83D3F">
        <w:t xml:space="preserve"> (Figure 9)</w:t>
      </w:r>
      <w:r>
        <w:t>.</w:t>
      </w:r>
    </w:p>
    <w:p w:rsidR="00D643FF" w:rsidRDefault="00D643FF">
      <w:pPr>
        <w:pStyle w:val="Corpsdetexte"/>
        <w:spacing w:line="360" w:lineRule="auto"/>
        <w:sectPr w:rsidR="00D643FF">
          <w:pgSz w:w="11910" w:h="16840"/>
          <w:pgMar w:top="1320" w:right="1275" w:bottom="1180" w:left="1275" w:header="0" w:footer="998" w:gutter="0"/>
          <w:cols w:space="720"/>
        </w:sectPr>
      </w:pPr>
    </w:p>
    <w:p w:rsidR="00D643FF" w:rsidRDefault="00130CE2">
      <w:pPr>
        <w:pStyle w:val="Corpsdetexte"/>
        <w:ind w:left="172"/>
        <w:jc w:val="left"/>
        <w:rPr>
          <w:sz w:val="20"/>
        </w:rPr>
      </w:pPr>
      <w:r>
        <w:rPr>
          <w:noProof/>
          <w:sz w:val="20"/>
          <w:lang w:eastAsia="fr-FR"/>
        </w:rPr>
        <w:lastRenderedPageBreak/>
        <w:drawing>
          <wp:inline distT="0" distB="0" distL="0" distR="0">
            <wp:extent cx="5774359" cy="7666386"/>
            <wp:effectExtent l="19050" t="19050" r="16841" b="10764"/>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lum contrast="40000"/>
                    </a:blip>
                    <a:stretch>
                      <a:fillRect/>
                    </a:stretch>
                  </pic:blipFill>
                  <pic:spPr>
                    <a:xfrm>
                      <a:off x="0" y="0"/>
                      <a:ext cx="5774359" cy="7666386"/>
                    </a:xfrm>
                    <a:prstGeom prst="rect">
                      <a:avLst/>
                    </a:prstGeom>
                    <a:ln w="19050">
                      <a:solidFill>
                        <a:schemeClr val="tx1"/>
                      </a:solidFill>
                    </a:ln>
                  </pic:spPr>
                </pic:pic>
              </a:graphicData>
            </a:graphic>
          </wp:inline>
        </w:drawing>
      </w:r>
    </w:p>
    <w:p w:rsidR="00D643FF" w:rsidRDefault="00D643FF">
      <w:pPr>
        <w:pStyle w:val="Corpsdetexte"/>
        <w:spacing w:before="224"/>
        <w:ind w:left="0"/>
        <w:jc w:val="left"/>
      </w:pPr>
    </w:p>
    <w:p w:rsidR="00D643FF" w:rsidRDefault="00130CE2" w:rsidP="00A83D3F">
      <w:pPr>
        <w:ind w:left="141"/>
        <w:jc w:val="center"/>
        <w:rPr>
          <w:sz w:val="24"/>
        </w:rPr>
      </w:pPr>
      <w:r>
        <w:rPr>
          <w:b/>
          <w:sz w:val="24"/>
        </w:rPr>
        <w:t>Figure</w:t>
      </w:r>
      <w:r w:rsidR="00A83D3F">
        <w:rPr>
          <w:b/>
          <w:sz w:val="24"/>
        </w:rPr>
        <w:t xml:space="preserve"> 9</w:t>
      </w:r>
      <w:r>
        <w:rPr>
          <w:b/>
          <w:sz w:val="24"/>
        </w:rPr>
        <w:t>:</w:t>
      </w:r>
      <w:r w:rsidR="00A83D3F">
        <w:rPr>
          <w:b/>
          <w:sz w:val="24"/>
        </w:rPr>
        <w:t xml:space="preserve"> </w:t>
      </w:r>
      <w:r>
        <w:rPr>
          <w:sz w:val="24"/>
        </w:rPr>
        <w:t>Technique</w:t>
      </w:r>
      <w:r w:rsidR="00A83D3F">
        <w:rPr>
          <w:sz w:val="24"/>
        </w:rPr>
        <w:t xml:space="preserve"> </w:t>
      </w:r>
      <w:r>
        <w:rPr>
          <w:sz w:val="24"/>
        </w:rPr>
        <w:t xml:space="preserve">de </w:t>
      </w:r>
      <w:r>
        <w:rPr>
          <w:spacing w:val="-2"/>
          <w:sz w:val="24"/>
        </w:rPr>
        <w:t>pyroséquençage</w:t>
      </w:r>
    </w:p>
    <w:p w:rsidR="00D643FF" w:rsidRDefault="00D643FF">
      <w:pPr>
        <w:rPr>
          <w:sz w:val="24"/>
        </w:rPr>
        <w:sectPr w:rsidR="00D643FF">
          <w:pgSz w:w="11910" w:h="16840"/>
          <w:pgMar w:top="1400" w:right="1275" w:bottom="1180" w:left="1275" w:header="0" w:footer="998" w:gutter="0"/>
          <w:cols w:space="720"/>
        </w:sectPr>
      </w:pPr>
    </w:p>
    <w:p w:rsidR="00D643FF" w:rsidRDefault="00130CE2" w:rsidP="00A83D3F">
      <w:pPr>
        <w:pStyle w:val="Heading1"/>
        <w:numPr>
          <w:ilvl w:val="1"/>
          <w:numId w:val="6"/>
        </w:numPr>
        <w:spacing w:before="74"/>
      </w:pPr>
      <w:r>
        <w:lastRenderedPageBreak/>
        <w:t xml:space="preserve">Technique </w:t>
      </w:r>
      <w:r>
        <w:rPr>
          <w:spacing w:val="-2"/>
        </w:rPr>
        <w:t>Illumina</w:t>
      </w:r>
    </w:p>
    <w:p w:rsidR="00D643FF" w:rsidRDefault="00130CE2">
      <w:pPr>
        <w:pStyle w:val="Corpsdetexte"/>
        <w:spacing w:before="132" w:line="362" w:lineRule="auto"/>
        <w:ind w:right="149" w:firstLine="485"/>
      </w:pPr>
      <w:r>
        <w:t>Les</w:t>
      </w:r>
      <w:r w:rsidR="00A83D3F">
        <w:t xml:space="preserve"> </w:t>
      </w:r>
      <w:r>
        <w:t>fragments</w:t>
      </w:r>
      <w:r w:rsidR="00A83D3F">
        <w:t xml:space="preserve"> </w:t>
      </w:r>
      <w:r>
        <w:t>du brin</w:t>
      </w:r>
      <w:r w:rsidR="00A83D3F">
        <w:t xml:space="preserve"> </w:t>
      </w:r>
      <w:r>
        <w:t>d’ADN sont amplifiés</w:t>
      </w:r>
      <w:r w:rsidR="00A83D3F">
        <w:t xml:space="preserve"> </w:t>
      </w:r>
      <w:r>
        <w:t>par la PCR par pontage,</w:t>
      </w:r>
      <w:r w:rsidR="00A83D3F">
        <w:t xml:space="preserve">  </w:t>
      </w:r>
      <w:r>
        <w:t>c</w:t>
      </w:r>
      <w:r>
        <w:t>haque exemplaire d’ADN de la banque est représenté par un groupe de fragments clonaux appelé cluster.</w:t>
      </w:r>
    </w:p>
    <w:p w:rsidR="00D643FF" w:rsidRDefault="00130CE2">
      <w:pPr>
        <w:pStyle w:val="Corpsdetexte"/>
        <w:spacing w:line="360" w:lineRule="auto"/>
        <w:ind w:right="145" w:firstLine="542"/>
      </w:pPr>
      <w:r>
        <w:t>Les clusters sont attachés à la surface d’une lame constituée de 8 canaux analysable par fibre optique qu’on nom</w:t>
      </w:r>
      <w:r w:rsidR="00A83D3F">
        <w:t xml:space="preserve"> </w:t>
      </w:r>
      <w:r>
        <w:t>flow-celle. Lors d’un</w:t>
      </w:r>
      <w:r w:rsidR="00A83D3F">
        <w:t xml:space="preserve"> </w:t>
      </w:r>
      <w:r>
        <w:t>premier cycle de syn</w:t>
      </w:r>
      <w:r>
        <w:t>thèse, l’ADN polymérase, l’amorce d’initiation de la synthèse d’ADN et les 4 bases sont ajoutés.</w:t>
      </w:r>
    </w:p>
    <w:p w:rsidR="00D643FF" w:rsidRDefault="00130CE2">
      <w:pPr>
        <w:pStyle w:val="Corpsdetexte"/>
        <w:spacing w:line="360" w:lineRule="auto"/>
        <w:ind w:right="138" w:firstLine="422"/>
      </w:pPr>
      <w:r>
        <w:t>Ces bases sont marquées avec des fluorochromes différents et tous sont modifiés chimiquement de façon à bloquer l’extrémité 3</w:t>
      </w:r>
      <w:r>
        <w:rPr>
          <w:vertAlign w:val="superscript"/>
        </w:rPr>
        <w:t>’</w:t>
      </w:r>
      <w:r>
        <w:t xml:space="preserve"> OH et donc inhibé</w:t>
      </w:r>
      <w:r w:rsidR="00BC2853">
        <w:t xml:space="preserve"> </w:t>
      </w:r>
      <w:r>
        <w:t>l’élongation. L</w:t>
      </w:r>
      <w:r>
        <w:t>a fluorescence de la dernière base incorporée est mesurée avant qu’une réaction chimique n’enlève le fluorochrome et débloque l’extrémité 3</w:t>
      </w:r>
      <w:r>
        <w:rPr>
          <w:vertAlign w:val="superscript"/>
        </w:rPr>
        <w:t>’</w:t>
      </w:r>
      <w:r>
        <w:t>OH à fin de permettre la poursuite de la synthèse d’ADN.</w:t>
      </w:r>
    </w:p>
    <w:p w:rsidR="00D643FF" w:rsidRDefault="00130CE2" w:rsidP="00BC2853">
      <w:pPr>
        <w:pStyle w:val="Heading1"/>
        <w:numPr>
          <w:ilvl w:val="0"/>
          <w:numId w:val="3"/>
        </w:numPr>
        <w:spacing w:before="206"/>
        <w:jc w:val="left"/>
      </w:pPr>
      <w:r>
        <w:t>Séquençage</w:t>
      </w:r>
      <w:r w:rsidR="00BC2853">
        <w:t xml:space="preserve"> </w:t>
      </w:r>
      <w:r>
        <w:t>de</w:t>
      </w:r>
      <w:r w:rsidR="00BC2853">
        <w:t xml:space="preserve"> </w:t>
      </w:r>
      <w:r>
        <w:t>génome</w:t>
      </w:r>
      <w:r w:rsidR="00BC2853">
        <w:t xml:space="preserve"> </w:t>
      </w:r>
      <w:r>
        <w:rPr>
          <w:spacing w:val="-2"/>
        </w:rPr>
        <w:t>complet</w:t>
      </w:r>
    </w:p>
    <w:p w:rsidR="00D643FF" w:rsidRDefault="00130CE2">
      <w:pPr>
        <w:pStyle w:val="Corpsdetexte"/>
        <w:spacing w:before="132" w:line="360" w:lineRule="auto"/>
        <w:ind w:right="137" w:firstLine="624"/>
      </w:pPr>
      <w:r>
        <w:t>Deux</w:t>
      </w:r>
      <w:r w:rsidR="00BC2853">
        <w:t xml:space="preserve"> </w:t>
      </w:r>
      <w:r>
        <w:t>stratégies</w:t>
      </w:r>
      <w:r w:rsidR="00BC2853">
        <w:t xml:space="preserve"> </w:t>
      </w:r>
      <w:r>
        <w:t>de</w:t>
      </w:r>
      <w:r w:rsidR="00BC2853">
        <w:t xml:space="preserve"> </w:t>
      </w:r>
      <w:r>
        <w:t>séquençage sont u</w:t>
      </w:r>
      <w:r>
        <w:t>tilisées</w:t>
      </w:r>
      <w:r w:rsidR="00BC2853">
        <w:t xml:space="preserve"> </w:t>
      </w:r>
      <w:r>
        <w:t>pour le séquençage</w:t>
      </w:r>
      <w:r w:rsidR="00BC2853">
        <w:t xml:space="preserve"> </w:t>
      </w:r>
      <w:r>
        <w:t>des</w:t>
      </w:r>
      <w:r w:rsidR="00BC2853">
        <w:t xml:space="preserve"> </w:t>
      </w:r>
      <w:r>
        <w:t>génomes</w:t>
      </w:r>
      <w:r w:rsidR="00BC2853">
        <w:t xml:space="preserve"> </w:t>
      </w:r>
      <w:r>
        <w:t>complets. La stratégie aléatoire ou shot –gun</w:t>
      </w:r>
      <w:r w:rsidR="00BC2853">
        <w:t xml:space="preserve"> </w:t>
      </w:r>
      <w:r>
        <w:t>utilisée pour les génomes relativement simple et de petite taille, et la stratégie ordonnée ou clone par clone</w:t>
      </w:r>
      <w:r w:rsidR="00BC2853">
        <w:t xml:space="preserve"> </w:t>
      </w:r>
      <w:r>
        <w:t>utilisée pour les génomes complexes et de grande taille.</w:t>
      </w:r>
    </w:p>
    <w:p w:rsidR="00D643FF" w:rsidRDefault="00130CE2" w:rsidP="006B7228">
      <w:pPr>
        <w:pStyle w:val="Heading1"/>
        <w:numPr>
          <w:ilvl w:val="0"/>
          <w:numId w:val="8"/>
        </w:numPr>
        <w:spacing w:before="5"/>
      </w:pPr>
      <w:r>
        <w:t>La con</w:t>
      </w:r>
      <w:r>
        <w:t>struction</w:t>
      </w:r>
      <w:r w:rsidR="006B7228">
        <w:t xml:space="preserve"> </w:t>
      </w:r>
      <w:r>
        <w:t>des</w:t>
      </w:r>
      <w:r>
        <w:rPr>
          <w:spacing w:val="-2"/>
        </w:rPr>
        <w:t xml:space="preserve"> banques</w:t>
      </w:r>
    </w:p>
    <w:p w:rsidR="00D643FF" w:rsidRDefault="00130CE2" w:rsidP="004407D1">
      <w:pPr>
        <w:pStyle w:val="Corpsdetexte"/>
        <w:spacing w:before="132" w:after="240" w:line="360" w:lineRule="auto"/>
        <w:ind w:left="0" w:right="139" w:firstLine="562"/>
      </w:pPr>
      <w:r>
        <w:t>Plusieurs banques de fragments d’ADN génomique sont constituées: le plus souvent, une banque de larges fragments (50-100Kb) dans des</w:t>
      </w:r>
      <w:r w:rsidR="006B7228">
        <w:t xml:space="preserve"> BAC </w:t>
      </w:r>
      <w:r>
        <w:t xml:space="preserve"> </w:t>
      </w:r>
      <w:r w:rsidR="006B7228">
        <w:t>(</w:t>
      </w:r>
      <w:r>
        <w:t>bactériales artificiel</w:t>
      </w:r>
      <w:r w:rsidR="006B7228">
        <w:t xml:space="preserve"> </w:t>
      </w:r>
      <w:r>
        <w:t>chromosomes</w:t>
      </w:r>
      <w:r w:rsidR="006B7228">
        <w:t>)</w:t>
      </w:r>
      <w:r>
        <w:t xml:space="preserve"> </w:t>
      </w:r>
      <w:r>
        <w:t>et une banque de fragments de taille plus petite (1-10Kb) dans</w:t>
      </w:r>
      <w:r>
        <w:t xml:space="preserve"> des plasmides.</w:t>
      </w:r>
    </w:p>
    <w:p w:rsidR="00D643FF" w:rsidRDefault="00130CE2" w:rsidP="006B7228">
      <w:pPr>
        <w:pStyle w:val="Heading1"/>
        <w:numPr>
          <w:ilvl w:val="1"/>
          <w:numId w:val="9"/>
        </w:numPr>
        <w:tabs>
          <w:tab w:val="left" w:pos="341"/>
        </w:tabs>
        <w:spacing w:before="7"/>
      </w:pPr>
      <w:r>
        <w:t>Stratégie</w:t>
      </w:r>
      <w:r w:rsidR="006B7228">
        <w:t xml:space="preserve"> </w:t>
      </w:r>
      <w:r>
        <w:t>aléatoire</w:t>
      </w:r>
      <w:r w:rsidR="006B7228">
        <w:t xml:space="preserve"> </w:t>
      </w:r>
      <w:r>
        <w:t>ou Shot-</w:t>
      </w:r>
      <w:r>
        <w:rPr>
          <w:spacing w:val="-5"/>
        </w:rPr>
        <w:t>gun</w:t>
      </w:r>
    </w:p>
    <w:p w:rsidR="00D643FF" w:rsidRDefault="00130CE2" w:rsidP="00585F98">
      <w:pPr>
        <w:pStyle w:val="Corpsdetexte"/>
        <w:spacing w:before="132" w:line="360" w:lineRule="auto"/>
        <w:ind w:left="0" w:right="142" w:firstLine="374"/>
      </w:pPr>
      <w:r>
        <w:t>Après fragmentation de l’ADN bactérien et la construction de banques de fragments dans des vecteurs de clonage (plasmides pour les fragments de petites tailles et des BAC pour de larges inserts) une amplification des banques par clonage bactérien est effec</w:t>
      </w:r>
      <w:r>
        <w:t>tuée.</w:t>
      </w:r>
    </w:p>
    <w:p w:rsidR="00D643FF" w:rsidRDefault="00130CE2" w:rsidP="004407D1">
      <w:pPr>
        <w:pStyle w:val="Corpsdetexte"/>
        <w:spacing w:before="2" w:line="360" w:lineRule="auto"/>
        <w:ind w:left="0" w:right="144"/>
      </w:pPr>
      <w:r>
        <w:t>La méthode de Sanger est appliquée pour séquencer les inserts de petite taille et les extrémités des larges inserts.</w:t>
      </w:r>
      <w:r w:rsidR="004407D1">
        <w:t xml:space="preserve"> </w:t>
      </w:r>
      <w:r>
        <w:t>Les extrémités des séquences de larges inserts et les séquences des petites fragments sont ensuite assemblées : par chevauchement</w:t>
      </w:r>
      <w:r w:rsidR="004407D1">
        <w:t xml:space="preserve"> </w:t>
      </w:r>
      <w:r>
        <w:t xml:space="preserve">des </w:t>
      </w:r>
      <w:r>
        <w:t>séquences contiguës.</w:t>
      </w:r>
    </w:p>
    <w:p w:rsidR="00D643FF" w:rsidRDefault="00130CE2" w:rsidP="004407D1">
      <w:pPr>
        <w:pStyle w:val="Corpsdetexte"/>
        <w:spacing w:after="240"/>
        <w:ind w:left="0"/>
      </w:pPr>
      <w:r>
        <w:t>Cette</w:t>
      </w:r>
      <w:r w:rsidR="00585F98">
        <w:t xml:space="preserve"> </w:t>
      </w:r>
      <w:r>
        <w:t>opération</w:t>
      </w:r>
      <w:r w:rsidR="004407D1">
        <w:t xml:space="preserve"> </w:t>
      </w:r>
      <w:r>
        <w:t>d’assemblage</w:t>
      </w:r>
      <w:r w:rsidR="004407D1">
        <w:t xml:space="preserve"> </w:t>
      </w:r>
      <w:r>
        <w:t>est</w:t>
      </w:r>
      <w:r w:rsidR="004407D1">
        <w:t xml:space="preserve"> </w:t>
      </w:r>
      <w:r>
        <w:t>effectuée</w:t>
      </w:r>
      <w:r w:rsidR="004407D1">
        <w:t xml:space="preserve"> </w:t>
      </w:r>
      <w:r>
        <w:t>par</w:t>
      </w:r>
      <w:r w:rsidR="004407D1">
        <w:t xml:space="preserve"> </w:t>
      </w:r>
      <w:r>
        <w:t>des</w:t>
      </w:r>
      <w:r w:rsidR="004407D1">
        <w:t xml:space="preserve"> </w:t>
      </w:r>
      <w:r>
        <w:t>programmes</w:t>
      </w:r>
      <w:r w:rsidR="004407D1">
        <w:t xml:space="preserve"> </w:t>
      </w:r>
      <w:r>
        <w:rPr>
          <w:spacing w:val="-2"/>
        </w:rPr>
        <w:t>informatiques.</w:t>
      </w:r>
    </w:p>
    <w:p w:rsidR="00D643FF" w:rsidRDefault="00130CE2" w:rsidP="006B7228">
      <w:pPr>
        <w:pStyle w:val="Heading1"/>
        <w:numPr>
          <w:ilvl w:val="1"/>
          <w:numId w:val="9"/>
        </w:numPr>
        <w:tabs>
          <w:tab w:val="left" w:pos="341"/>
        </w:tabs>
        <w:spacing w:before="142"/>
      </w:pPr>
      <w:r>
        <w:t>Stratégie</w:t>
      </w:r>
      <w:r w:rsidR="006B7228">
        <w:t xml:space="preserve"> </w:t>
      </w:r>
      <w:r>
        <w:t>ordonnée</w:t>
      </w:r>
      <w:r w:rsidR="006B7228">
        <w:t xml:space="preserve"> </w:t>
      </w:r>
      <w:r>
        <w:t>ou</w:t>
      </w:r>
      <w:r w:rsidR="006B7228">
        <w:t xml:space="preserve"> </w:t>
      </w:r>
      <w:r>
        <w:t>clone</w:t>
      </w:r>
      <w:r w:rsidR="006B7228">
        <w:t xml:space="preserve"> </w:t>
      </w:r>
      <w:r>
        <w:t>par</w:t>
      </w:r>
      <w:r w:rsidR="006B7228">
        <w:t xml:space="preserve"> </w:t>
      </w:r>
      <w:r>
        <w:rPr>
          <w:spacing w:val="-2"/>
        </w:rPr>
        <w:t>clone</w:t>
      </w:r>
    </w:p>
    <w:p w:rsidR="001E29D9" w:rsidRDefault="00130CE2" w:rsidP="001E29D9">
      <w:pPr>
        <w:pStyle w:val="Corpsdetexte"/>
        <w:spacing w:before="70" w:line="360" w:lineRule="auto"/>
        <w:ind w:left="0" w:right="133"/>
      </w:pPr>
      <w:r>
        <w:t>Pour cela on construit des banques de fragments d'en moyenne 100 à 200 Kb dans des BAC. Ces clones sont ensuite ordonnée, c’est-à-dir</w:t>
      </w:r>
      <w:r>
        <w:t>e positionnés les uns par rapport aux</w:t>
      </w:r>
      <w:r w:rsidR="001E29D9">
        <w:t xml:space="preserve"> </w:t>
      </w:r>
      <w:r>
        <w:rPr>
          <w:spacing w:val="-2"/>
        </w:rPr>
        <w:t>autres.</w:t>
      </w:r>
      <w:r w:rsidR="001E29D9" w:rsidRPr="001E29D9">
        <w:t xml:space="preserve"> </w:t>
      </w:r>
      <w:r w:rsidR="001E29D9">
        <w:t xml:space="preserve">Ceci est effectué par analyse de restriction, hybridation des clones entre eux ou des séquences </w:t>
      </w:r>
      <w:r w:rsidR="001E29D9">
        <w:lastRenderedPageBreak/>
        <w:t>uniques préalablement identifiées. Les groupes de grands clones chevauchants ainsi constitués sont en suite positionnés le long des chromosomes grâce aux cartes de liaison qui disposent des marqueurs ordonnés le long des chromosomes par la mesure de leur liaison</w:t>
      </w:r>
      <w:r w:rsidR="00C86FEE">
        <w:t xml:space="preserve"> </w:t>
      </w:r>
      <w:r w:rsidR="001E29D9">
        <w:t>deux à deux.</w:t>
      </w:r>
    </w:p>
    <w:p w:rsidR="001E29D9" w:rsidRDefault="001E29D9" w:rsidP="00C86FEE">
      <w:pPr>
        <w:pStyle w:val="Corpsdetexte"/>
        <w:spacing w:line="362" w:lineRule="auto"/>
        <w:ind w:left="0" w:right="145"/>
      </w:pPr>
      <w:r>
        <w:t xml:space="preserve">Par la suite un ensemble de grands clones chevauchants est sélectionné en vue de les </w:t>
      </w:r>
      <w:r>
        <w:rPr>
          <w:spacing w:val="-2"/>
        </w:rPr>
        <w:t>séquences.</w:t>
      </w:r>
    </w:p>
    <w:p w:rsidR="00D643FF" w:rsidRDefault="001E29D9" w:rsidP="00D2644B">
      <w:pPr>
        <w:pStyle w:val="Corpsdetexte"/>
        <w:spacing w:line="360" w:lineRule="auto"/>
        <w:ind w:left="0" w:right="149"/>
      </w:pPr>
      <w:r>
        <w:t>Cette sélection permet de minimiser les régions de chevauchement enter les grands</w:t>
      </w:r>
      <w:r w:rsidR="00C86FEE">
        <w:t xml:space="preserve"> </w:t>
      </w:r>
      <w:r>
        <w:t>clones;</w:t>
      </w:r>
      <w:r w:rsidR="00C86FEE">
        <w:t xml:space="preserve"> </w:t>
      </w:r>
      <w:r>
        <w:t>puis pour chaque grand clone, une banque de fragments de quelques Kb</w:t>
      </w:r>
      <w:r w:rsidR="00B13688">
        <w:t xml:space="preserve">  </w:t>
      </w:r>
      <w:r>
        <w:t>est produites dans</w:t>
      </w:r>
      <w:r w:rsidR="00B13688">
        <w:t xml:space="preserve"> </w:t>
      </w:r>
      <w:r>
        <w:t>les plasmides. La méthodologie est alors la même que pour la stratégie aléatoire précédemment</w:t>
      </w:r>
      <w:r w:rsidR="00B13688">
        <w:t xml:space="preserve"> </w:t>
      </w:r>
      <w:r>
        <w:t>décrite.</w:t>
      </w:r>
      <w:r w:rsidR="00D2644B">
        <w:t xml:space="preserve"> </w:t>
      </w:r>
    </w:p>
    <w:sectPr w:rsidR="00D643FF" w:rsidSect="00D643FF">
      <w:pgSz w:w="11910" w:h="16840"/>
      <w:pgMar w:top="1320" w:right="1275" w:bottom="1180" w:left="1275" w:header="0" w:footer="99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CE2" w:rsidRDefault="00130CE2" w:rsidP="00D643FF">
      <w:r>
        <w:separator/>
      </w:r>
    </w:p>
  </w:endnote>
  <w:endnote w:type="continuationSeparator" w:id="1">
    <w:p w:rsidR="00130CE2" w:rsidRDefault="00130CE2" w:rsidP="00D643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3FF" w:rsidRDefault="00D643FF">
    <w:pPr>
      <w:pStyle w:val="Corpsdetexte"/>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516.05pt;margin-top:781pt;width:12.6pt;height:13.05pt;z-index:-251658752;mso-position-horizontal-relative:page;mso-position-vertical-relative:page" filled="f" stroked="f">
          <v:textbox inset="0,0,0,0">
            <w:txbxContent>
              <w:p w:rsidR="00D643FF" w:rsidRDefault="00D643FF">
                <w:pPr>
                  <w:spacing w:line="245" w:lineRule="exact"/>
                  <w:ind w:left="60"/>
                  <w:rPr>
                    <w:rFonts w:ascii="Calibri"/>
                  </w:rPr>
                </w:pPr>
                <w:r>
                  <w:rPr>
                    <w:rFonts w:ascii="Calibri"/>
                    <w:spacing w:val="-10"/>
                  </w:rPr>
                  <w:fldChar w:fldCharType="begin"/>
                </w:r>
                <w:r w:rsidR="00130CE2">
                  <w:rPr>
                    <w:rFonts w:ascii="Calibri"/>
                    <w:spacing w:val="-10"/>
                  </w:rPr>
                  <w:instrText xml:space="preserve"> PAGE </w:instrText>
                </w:r>
                <w:r>
                  <w:rPr>
                    <w:rFonts w:ascii="Calibri"/>
                    <w:spacing w:val="-10"/>
                  </w:rPr>
                  <w:fldChar w:fldCharType="separate"/>
                </w:r>
                <w:r w:rsidR="00D2644B">
                  <w:rPr>
                    <w:rFonts w:ascii="Calibri"/>
                    <w:noProof/>
                    <w:spacing w:val="-10"/>
                  </w:rPr>
                  <w:t>7</w:t>
                </w:r>
                <w:r>
                  <w:rPr>
                    <w:rFonts w:ascii="Calibri"/>
                    <w:spacing w:val="-1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CE2" w:rsidRDefault="00130CE2" w:rsidP="00D643FF">
      <w:r>
        <w:separator/>
      </w:r>
    </w:p>
  </w:footnote>
  <w:footnote w:type="continuationSeparator" w:id="1">
    <w:p w:rsidR="00130CE2" w:rsidRDefault="00130CE2" w:rsidP="00D643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93" w:rsidRDefault="001D3C93">
    <w:pPr>
      <w:pStyle w:val="En-tte"/>
      <w:pBdr>
        <w:bottom w:val="thickThinSmallGap" w:sz="24" w:space="1" w:color="622423" w:themeColor="accent2" w:themeShade="7F"/>
      </w:pBdr>
      <w:jc w:val="center"/>
      <w:rPr>
        <w:rFonts w:asciiTheme="majorHAnsi" w:eastAsiaTheme="majorEastAsia" w:hAnsiTheme="majorHAnsi" w:cstheme="majorBidi"/>
        <w:sz w:val="32"/>
        <w:szCs w:val="32"/>
      </w:rPr>
    </w:pPr>
  </w:p>
  <w:p w:rsidR="001D3C93" w:rsidRDefault="001D3C93">
    <w:pPr>
      <w:pStyle w:val="En-tte"/>
      <w:pBdr>
        <w:bottom w:val="thickThinSmallGap" w:sz="24" w:space="1" w:color="622423" w:themeColor="accent2" w:themeShade="7F"/>
      </w:pBdr>
      <w:jc w:val="center"/>
      <w:rPr>
        <w:rFonts w:asciiTheme="majorHAnsi" w:eastAsiaTheme="majorEastAsia" w:hAnsiTheme="majorHAnsi" w:cstheme="majorBidi"/>
        <w:sz w:val="32"/>
        <w:szCs w:val="32"/>
      </w:rPr>
    </w:pPr>
  </w:p>
  <w:sdt>
    <w:sdtPr>
      <w:rPr>
        <w:rFonts w:asciiTheme="majorBidi" w:eastAsiaTheme="majorEastAsia" w:hAnsiTheme="majorBidi" w:cstheme="majorBidi"/>
        <w:sz w:val="28"/>
        <w:szCs w:val="28"/>
      </w:rPr>
      <w:alias w:val="Titre"/>
      <w:id w:val="77738743"/>
      <w:placeholder>
        <w:docPart w:val="7977B1ECD3C04D3BAFE6F2390E03772C"/>
      </w:placeholder>
      <w:dataBinding w:prefixMappings="xmlns:ns0='http://schemas.openxmlformats.org/package/2006/metadata/core-properties' xmlns:ns1='http://purl.org/dc/elements/1.1/'" w:xpath="/ns0:coreProperties[1]/ns1:title[1]" w:storeItemID="{6C3C8BC8-F283-45AE-878A-BAB7291924A1}"/>
      <w:text/>
    </w:sdtPr>
    <w:sdtContent>
      <w:p w:rsidR="001D3C93" w:rsidRDefault="001D3C93" w:rsidP="001D3C93">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sidRPr="001D3C93">
          <w:rPr>
            <w:rFonts w:asciiTheme="majorBidi" w:eastAsiaTheme="majorEastAsia" w:hAnsiTheme="majorBidi" w:cstheme="majorBidi"/>
            <w:sz w:val="28"/>
            <w:szCs w:val="28"/>
          </w:rPr>
          <w:t xml:space="preserve">Génomique structurelle      </w:t>
        </w:r>
        <w:r w:rsidR="00B45F47">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 xml:space="preserve"> </w:t>
        </w:r>
        <w:r w:rsidRPr="001D3C93">
          <w:rPr>
            <w:rFonts w:asciiTheme="majorBidi" w:eastAsiaTheme="majorEastAsia" w:hAnsiTheme="majorBidi" w:cstheme="majorBidi"/>
            <w:sz w:val="28"/>
            <w:szCs w:val="28"/>
          </w:rPr>
          <w:t xml:space="preserve">Chapitre 5 : Séquençage </w:t>
        </w:r>
        <w:r w:rsidR="00B45F47">
          <w:rPr>
            <w:rFonts w:asciiTheme="majorBidi" w:eastAsiaTheme="majorEastAsia" w:hAnsiTheme="majorBidi" w:cstheme="majorBidi"/>
            <w:sz w:val="28"/>
            <w:szCs w:val="28"/>
          </w:rPr>
          <w:t>d</w:t>
        </w:r>
        <w:r w:rsidRPr="001D3C93">
          <w:rPr>
            <w:rFonts w:asciiTheme="majorBidi" w:eastAsiaTheme="majorEastAsia" w:hAnsiTheme="majorBidi" w:cstheme="majorBidi"/>
            <w:sz w:val="28"/>
            <w:szCs w:val="28"/>
          </w:rPr>
          <w:t xml:space="preserve">es acides nucléiques </w:t>
        </w:r>
      </w:p>
    </w:sdtContent>
  </w:sdt>
  <w:p w:rsidR="001D3C93" w:rsidRDefault="001D3C9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94DC2"/>
    <w:multiLevelType w:val="multilevel"/>
    <w:tmpl w:val="8BA81A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6527A7C"/>
    <w:multiLevelType w:val="multilevel"/>
    <w:tmpl w:val="8EDADA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7C12A6"/>
    <w:multiLevelType w:val="hybridMultilevel"/>
    <w:tmpl w:val="3AA4F1C2"/>
    <w:lvl w:ilvl="0" w:tplc="040C0001">
      <w:start w:val="1"/>
      <w:numFmt w:val="bullet"/>
      <w:lvlText w:val=""/>
      <w:lvlJc w:val="left"/>
      <w:pPr>
        <w:ind w:left="1580" w:hanging="360"/>
      </w:pPr>
      <w:rPr>
        <w:rFonts w:ascii="Symbol" w:hAnsi="Symbol" w:hint="default"/>
      </w:rPr>
    </w:lvl>
    <w:lvl w:ilvl="1" w:tplc="040C0003" w:tentative="1">
      <w:start w:val="1"/>
      <w:numFmt w:val="bullet"/>
      <w:lvlText w:val="o"/>
      <w:lvlJc w:val="left"/>
      <w:pPr>
        <w:ind w:left="2300" w:hanging="360"/>
      </w:pPr>
      <w:rPr>
        <w:rFonts w:ascii="Courier New" w:hAnsi="Courier New" w:cs="Courier New" w:hint="default"/>
      </w:rPr>
    </w:lvl>
    <w:lvl w:ilvl="2" w:tplc="040C0005" w:tentative="1">
      <w:start w:val="1"/>
      <w:numFmt w:val="bullet"/>
      <w:lvlText w:val=""/>
      <w:lvlJc w:val="left"/>
      <w:pPr>
        <w:ind w:left="3020" w:hanging="360"/>
      </w:pPr>
      <w:rPr>
        <w:rFonts w:ascii="Wingdings" w:hAnsi="Wingdings" w:hint="default"/>
      </w:rPr>
    </w:lvl>
    <w:lvl w:ilvl="3" w:tplc="040C0001" w:tentative="1">
      <w:start w:val="1"/>
      <w:numFmt w:val="bullet"/>
      <w:lvlText w:val=""/>
      <w:lvlJc w:val="left"/>
      <w:pPr>
        <w:ind w:left="3740" w:hanging="360"/>
      </w:pPr>
      <w:rPr>
        <w:rFonts w:ascii="Symbol" w:hAnsi="Symbol" w:hint="default"/>
      </w:rPr>
    </w:lvl>
    <w:lvl w:ilvl="4" w:tplc="040C0003" w:tentative="1">
      <w:start w:val="1"/>
      <w:numFmt w:val="bullet"/>
      <w:lvlText w:val="o"/>
      <w:lvlJc w:val="left"/>
      <w:pPr>
        <w:ind w:left="4460" w:hanging="360"/>
      </w:pPr>
      <w:rPr>
        <w:rFonts w:ascii="Courier New" w:hAnsi="Courier New" w:cs="Courier New" w:hint="default"/>
      </w:rPr>
    </w:lvl>
    <w:lvl w:ilvl="5" w:tplc="040C0005" w:tentative="1">
      <w:start w:val="1"/>
      <w:numFmt w:val="bullet"/>
      <w:lvlText w:val=""/>
      <w:lvlJc w:val="left"/>
      <w:pPr>
        <w:ind w:left="5180" w:hanging="360"/>
      </w:pPr>
      <w:rPr>
        <w:rFonts w:ascii="Wingdings" w:hAnsi="Wingdings" w:hint="default"/>
      </w:rPr>
    </w:lvl>
    <w:lvl w:ilvl="6" w:tplc="040C0001" w:tentative="1">
      <w:start w:val="1"/>
      <w:numFmt w:val="bullet"/>
      <w:lvlText w:val=""/>
      <w:lvlJc w:val="left"/>
      <w:pPr>
        <w:ind w:left="5900" w:hanging="360"/>
      </w:pPr>
      <w:rPr>
        <w:rFonts w:ascii="Symbol" w:hAnsi="Symbol" w:hint="default"/>
      </w:rPr>
    </w:lvl>
    <w:lvl w:ilvl="7" w:tplc="040C0003" w:tentative="1">
      <w:start w:val="1"/>
      <w:numFmt w:val="bullet"/>
      <w:lvlText w:val="o"/>
      <w:lvlJc w:val="left"/>
      <w:pPr>
        <w:ind w:left="6620" w:hanging="360"/>
      </w:pPr>
      <w:rPr>
        <w:rFonts w:ascii="Courier New" w:hAnsi="Courier New" w:cs="Courier New" w:hint="default"/>
      </w:rPr>
    </w:lvl>
    <w:lvl w:ilvl="8" w:tplc="040C0005" w:tentative="1">
      <w:start w:val="1"/>
      <w:numFmt w:val="bullet"/>
      <w:lvlText w:val=""/>
      <w:lvlJc w:val="left"/>
      <w:pPr>
        <w:ind w:left="7340" w:hanging="360"/>
      </w:pPr>
      <w:rPr>
        <w:rFonts w:ascii="Wingdings" w:hAnsi="Wingdings" w:hint="default"/>
      </w:rPr>
    </w:lvl>
  </w:abstractNum>
  <w:abstractNum w:abstractNumId="3">
    <w:nsid w:val="26CC0ADC"/>
    <w:multiLevelType w:val="hybridMultilevel"/>
    <w:tmpl w:val="77D81600"/>
    <w:lvl w:ilvl="0" w:tplc="77660328">
      <w:start w:val="1"/>
      <w:numFmt w:val="lowerLetter"/>
      <w:lvlText w:val="%1-"/>
      <w:lvlJc w:val="left"/>
      <w:pPr>
        <w:ind w:left="861" w:hanging="360"/>
      </w:pPr>
      <w:rPr>
        <w:rFonts w:hint="default"/>
      </w:rPr>
    </w:lvl>
    <w:lvl w:ilvl="1" w:tplc="040C0019" w:tentative="1">
      <w:start w:val="1"/>
      <w:numFmt w:val="lowerLetter"/>
      <w:lvlText w:val="%2."/>
      <w:lvlJc w:val="left"/>
      <w:pPr>
        <w:ind w:left="1581" w:hanging="360"/>
      </w:pPr>
    </w:lvl>
    <w:lvl w:ilvl="2" w:tplc="040C001B" w:tentative="1">
      <w:start w:val="1"/>
      <w:numFmt w:val="lowerRoman"/>
      <w:lvlText w:val="%3."/>
      <w:lvlJc w:val="right"/>
      <w:pPr>
        <w:ind w:left="2301" w:hanging="180"/>
      </w:pPr>
    </w:lvl>
    <w:lvl w:ilvl="3" w:tplc="040C000F" w:tentative="1">
      <w:start w:val="1"/>
      <w:numFmt w:val="decimal"/>
      <w:lvlText w:val="%4."/>
      <w:lvlJc w:val="left"/>
      <w:pPr>
        <w:ind w:left="3021" w:hanging="360"/>
      </w:pPr>
    </w:lvl>
    <w:lvl w:ilvl="4" w:tplc="040C0019" w:tentative="1">
      <w:start w:val="1"/>
      <w:numFmt w:val="lowerLetter"/>
      <w:lvlText w:val="%5."/>
      <w:lvlJc w:val="left"/>
      <w:pPr>
        <w:ind w:left="3741" w:hanging="360"/>
      </w:pPr>
    </w:lvl>
    <w:lvl w:ilvl="5" w:tplc="040C001B" w:tentative="1">
      <w:start w:val="1"/>
      <w:numFmt w:val="lowerRoman"/>
      <w:lvlText w:val="%6."/>
      <w:lvlJc w:val="right"/>
      <w:pPr>
        <w:ind w:left="4461" w:hanging="180"/>
      </w:pPr>
    </w:lvl>
    <w:lvl w:ilvl="6" w:tplc="040C000F" w:tentative="1">
      <w:start w:val="1"/>
      <w:numFmt w:val="decimal"/>
      <w:lvlText w:val="%7."/>
      <w:lvlJc w:val="left"/>
      <w:pPr>
        <w:ind w:left="5181" w:hanging="360"/>
      </w:pPr>
    </w:lvl>
    <w:lvl w:ilvl="7" w:tplc="040C0019" w:tentative="1">
      <w:start w:val="1"/>
      <w:numFmt w:val="lowerLetter"/>
      <w:lvlText w:val="%8."/>
      <w:lvlJc w:val="left"/>
      <w:pPr>
        <w:ind w:left="5901" w:hanging="360"/>
      </w:pPr>
    </w:lvl>
    <w:lvl w:ilvl="8" w:tplc="040C001B" w:tentative="1">
      <w:start w:val="1"/>
      <w:numFmt w:val="lowerRoman"/>
      <w:lvlText w:val="%9."/>
      <w:lvlJc w:val="right"/>
      <w:pPr>
        <w:ind w:left="6621" w:hanging="180"/>
      </w:pPr>
    </w:lvl>
  </w:abstractNum>
  <w:abstractNum w:abstractNumId="4">
    <w:nsid w:val="4F6E0799"/>
    <w:multiLevelType w:val="multilevel"/>
    <w:tmpl w:val="3EC43B4C"/>
    <w:lvl w:ilvl="0">
      <w:start w:val="4"/>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5">
    <w:nsid w:val="5B977111"/>
    <w:multiLevelType w:val="hybridMultilevel"/>
    <w:tmpl w:val="C47A0DE2"/>
    <w:lvl w:ilvl="0" w:tplc="D4369CBE">
      <w:start w:val="1"/>
      <w:numFmt w:val="decimal"/>
      <w:lvlText w:val="%1-"/>
      <w:lvlJc w:val="left"/>
      <w:pPr>
        <w:ind w:left="862" w:hanging="361"/>
        <w:jc w:val="right"/>
      </w:pPr>
      <w:rPr>
        <w:rFonts w:ascii="Times New Roman" w:eastAsia="Times New Roman" w:hAnsi="Times New Roman" w:cs="Times New Roman" w:hint="default"/>
        <w:b/>
        <w:bCs/>
        <w:i w:val="0"/>
        <w:iCs w:val="0"/>
        <w:spacing w:val="0"/>
        <w:w w:val="100"/>
        <w:sz w:val="24"/>
        <w:szCs w:val="24"/>
        <w:lang w:val="fr-FR" w:eastAsia="en-US" w:bidi="ar-SA"/>
      </w:rPr>
    </w:lvl>
    <w:lvl w:ilvl="1" w:tplc="AE2691E8">
      <w:numFmt w:val="none"/>
      <w:lvlText w:val=""/>
      <w:lvlJc w:val="left"/>
      <w:pPr>
        <w:tabs>
          <w:tab w:val="num" w:pos="360"/>
        </w:tabs>
      </w:pPr>
    </w:lvl>
    <w:lvl w:ilvl="2" w:tplc="F2427ED2">
      <w:numFmt w:val="bullet"/>
      <w:lvlText w:val="-"/>
      <w:lvlJc w:val="left"/>
      <w:pPr>
        <w:ind w:left="862" w:hanging="361"/>
      </w:pPr>
      <w:rPr>
        <w:rFonts w:ascii="Times New Roman" w:eastAsia="Times New Roman" w:hAnsi="Times New Roman" w:cs="Times New Roman" w:hint="default"/>
        <w:b w:val="0"/>
        <w:bCs w:val="0"/>
        <w:i w:val="0"/>
        <w:iCs w:val="0"/>
        <w:spacing w:val="0"/>
        <w:w w:val="100"/>
        <w:sz w:val="24"/>
        <w:szCs w:val="24"/>
        <w:lang w:val="fr-FR" w:eastAsia="en-US" w:bidi="ar-SA"/>
      </w:rPr>
    </w:lvl>
    <w:lvl w:ilvl="3" w:tplc="B0CE5C84">
      <w:numFmt w:val="bullet"/>
      <w:lvlText w:val="•"/>
      <w:lvlJc w:val="left"/>
      <w:pPr>
        <w:ind w:left="3027" w:hanging="361"/>
      </w:pPr>
      <w:rPr>
        <w:rFonts w:hint="default"/>
        <w:lang w:val="fr-FR" w:eastAsia="en-US" w:bidi="ar-SA"/>
      </w:rPr>
    </w:lvl>
    <w:lvl w:ilvl="4" w:tplc="B85E9C96">
      <w:numFmt w:val="bullet"/>
      <w:lvlText w:val="•"/>
      <w:lvlJc w:val="left"/>
      <w:pPr>
        <w:ind w:left="3931" w:hanging="361"/>
      </w:pPr>
      <w:rPr>
        <w:rFonts w:hint="default"/>
        <w:lang w:val="fr-FR" w:eastAsia="en-US" w:bidi="ar-SA"/>
      </w:rPr>
    </w:lvl>
    <w:lvl w:ilvl="5" w:tplc="9856824A">
      <w:numFmt w:val="bullet"/>
      <w:lvlText w:val="•"/>
      <w:lvlJc w:val="left"/>
      <w:pPr>
        <w:ind w:left="4835" w:hanging="361"/>
      </w:pPr>
      <w:rPr>
        <w:rFonts w:hint="default"/>
        <w:lang w:val="fr-FR" w:eastAsia="en-US" w:bidi="ar-SA"/>
      </w:rPr>
    </w:lvl>
    <w:lvl w:ilvl="6" w:tplc="C6509098">
      <w:numFmt w:val="bullet"/>
      <w:lvlText w:val="•"/>
      <w:lvlJc w:val="left"/>
      <w:pPr>
        <w:ind w:left="5738" w:hanging="361"/>
      </w:pPr>
      <w:rPr>
        <w:rFonts w:hint="default"/>
        <w:lang w:val="fr-FR" w:eastAsia="en-US" w:bidi="ar-SA"/>
      </w:rPr>
    </w:lvl>
    <w:lvl w:ilvl="7" w:tplc="95489428">
      <w:numFmt w:val="bullet"/>
      <w:lvlText w:val="•"/>
      <w:lvlJc w:val="left"/>
      <w:pPr>
        <w:ind w:left="6642" w:hanging="361"/>
      </w:pPr>
      <w:rPr>
        <w:rFonts w:hint="default"/>
        <w:lang w:val="fr-FR" w:eastAsia="en-US" w:bidi="ar-SA"/>
      </w:rPr>
    </w:lvl>
    <w:lvl w:ilvl="8" w:tplc="62E69EAA">
      <w:numFmt w:val="bullet"/>
      <w:lvlText w:val="•"/>
      <w:lvlJc w:val="left"/>
      <w:pPr>
        <w:ind w:left="7546" w:hanging="361"/>
      </w:pPr>
      <w:rPr>
        <w:rFonts w:hint="default"/>
        <w:lang w:val="fr-FR" w:eastAsia="en-US" w:bidi="ar-SA"/>
      </w:rPr>
    </w:lvl>
  </w:abstractNum>
  <w:abstractNum w:abstractNumId="6">
    <w:nsid w:val="657C2592"/>
    <w:multiLevelType w:val="hybridMultilevel"/>
    <w:tmpl w:val="0B0644E0"/>
    <w:lvl w:ilvl="0" w:tplc="98940FA2">
      <w:numFmt w:val="bullet"/>
      <w:lvlText w:val="-"/>
      <w:lvlJc w:val="left"/>
      <w:pPr>
        <w:ind w:left="862" w:hanging="361"/>
      </w:pPr>
      <w:rPr>
        <w:rFonts w:ascii="Times New Roman" w:eastAsia="Times New Roman" w:hAnsi="Times New Roman" w:cs="Times New Roman" w:hint="default"/>
        <w:b w:val="0"/>
        <w:bCs w:val="0"/>
        <w:i w:val="0"/>
        <w:iCs w:val="0"/>
        <w:spacing w:val="0"/>
        <w:w w:val="100"/>
        <w:sz w:val="24"/>
        <w:szCs w:val="24"/>
        <w:lang w:val="fr-FR" w:eastAsia="en-US" w:bidi="ar-SA"/>
      </w:rPr>
    </w:lvl>
    <w:lvl w:ilvl="1" w:tplc="409616FA">
      <w:numFmt w:val="bullet"/>
      <w:lvlText w:val="•"/>
      <w:lvlJc w:val="left"/>
      <w:pPr>
        <w:ind w:left="1709" w:hanging="361"/>
      </w:pPr>
      <w:rPr>
        <w:rFonts w:hint="default"/>
        <w:lang w:val="fr-FR" w:eastAsia="en-US" w:bidi="ar-SA"/>
      </w:rPr>
    </w:lvl>
    <w:lvl w:ilvl="2" w:tplc="EE2CB9D6">
      <w:numFmt w:val="bullet"/>
      <w:lvlText w:val="•"/>
      <w:lvlJc w:val="left"/>
      <w:pPr>
        <w:ind w:left="2558" w:hanging="361"/>
      </w:pPr>
      <w:rPr>
        <w:rFonts w:hint="default"/>
        <w:lang w:val="fr-FR" w:eastAsia="en-US" w:bidi="ar-SA"/>
      </w:rPr>
    </w:lvl>
    <w:lvl w:ilvl="3" w:tplc="EDB4D82A">
      <w:numFmt w:val="bullet"/>
      <w:lvlText w:val="•"/>
      <w:lvlJc w:val="left"/>
      <w:pPr>
        <w:ind w:left="3408" w:hanging="361"/>
      </w:pPr>
      <w:rPr>
        <w:rFonts w:hint="default"/>
        <w:lang w:val="fr-FR" w:eastAsia="en-US" w:bidi="ar-SA"/>
      </w:rPr>
    </w:lvl>
    <w:lvl w:ilvl="4" w:tplc="51C68464">
      <w:numFmt w:val="bullet"/>
      <w:lvlText w:val="•"/>
      <w:lvlJc w:val="left"/>
      <w:pPr>
        <w:ind w:left="4257" w:hanging="361"/>
      </w:pPr>
      <w:rPr>
        <w:rFonts w:hint="default"/>
        <w:lang w:val="fr-FR" w:eastAsia="en-US" w:bidi="ar-SA"/>
      </w:rPr>
    </w:lvl>
    <w:lvl w:ilvl="5" w:tplc="8BFA8E26">
      <w:numFmt w:val="bullet"/>
      <w:lvlText w:val="•"/>
      <w:lvlJc w:val="left"/>
      <w:pPr>
        <w:ind w:left="5107" w:hanging="361"/>
      </w:pPr>
      <w:rPr>
        <w:rFonts w:hint="default"/>
        <w:lang w:val="fr-FR" w:eastAsia="en-US" w:bidi="ar-SA"/>
      </w:rPr>
    </w:lvl>
    <w:lvl w:ilvl="6" w:tplc="CDC464C8">
      <w:numFmt w:val="bullet"/>
      <w:lvlText w:val="•"/>
      <w:lvlJc w:val="left"/>
      <w:pPr>
        <w:ind w:left="5956" w:hanging="361"/>
      </w:pPr>
      <w:rPr>
        <w:rFonts w:hint="default"/>
        <w:lang w:val="fr-FR" w:eastAsia="en-US" w:bidi="ar-SA"/>
      </w:rPr>
    </w:lvl>
    <w:lvl w:ilvl="7" w:tplc="A2DAFC66">
      <w:numFmt w:val="bullet"/>
      <w:lvlText w:val="•"/>
      <w:lvlJc w:val="left"/>
      <w:pPr>
        <w:ind w:left="6805" w:hanging="361"/>
      </w:pPr>
      <w:rPr>
        <w:rFonts w:hint="default"/>
        <w:lang w:val="fr-FR" w:eastAsia="en-US" w:bidi="ar-SA"/>
      </w:rPr>
    </w:lvl>
    <w:lvl w:ilvl="8" w:tplc="755E2D7E">
      <w:numFmt w:val="bullet"/>
      <w:lvlText w:val="•"/>
      <w:lvlJc w:val="left"/>
      <w:pPr>
        <w:ind w:left="7655" w:hanging="361"/>
      </w:pPr>
      <w:rPr>
        <w:rFonts w:hint="default"/>
        <w:lang w:val="fr-FR" w:eastAsia="en-US" w:bidi="ar-SA"/>
      </w:rPr>
    </w:lvl>
  </w:abstractNum>
  <w:abstractNum w:abstractNumId="7">
    <w:nsid w:val="6FA73B6A"/>
    <w:multiLevelType w:val="hybridMultilevel"/>
    <w:tmpl w:val="0832CB86"/>
    <w:lvl w:ilvl="0" w:tplc="8C587BFE">
      <w:start w:val="1"/>
      <w:numFmt w:val="decimal"/>
      <w:lvlText w:val="%1-"/>
      <w:lvlJc w:val="left"/>
      <w:pPr>
        <w:ind w:left="343" w:hanging="202"/>
        <w:jc w:val="left"/>
      </w:pPr>
      <w:rPr>
        <w:rFonts w:ascii="Times New Roman" w:eastAsia="Times New Roman" w:hAnsi="Times New Roman" w:cs="Times New Roman" w:hint="default"/>
        <w:b/>
        <w:bCs/>
        <w:i w:val="0"/>
        <w:iCs w:val="0"/>
        <w:spacing w:val="0"/>
        <w:w w:val="98"/>
        <w:sz w:val="22"/>
        <w:szCs w:val="22"/>
        <w:lang w:val="fr-FR" w:eastAsia="en-US" w:bidi="ar-SA"/>
      </w:rPr>
    </w:lvl>
    <w:lvl w:ilvl="1" w:tplc="53704012">
      <w:numFmt w:val="bullet"/>
      <w:lvlText w:val="•"/>
      <w:lvlJc w:val="left"/>
      <w:pPr>
        <w:ind w:left="1241" w:hanging="202"/>
      </w:pPr>
      <w:rPr>
        <w:rFonts w:hint="default"/>
        <w:lang w:val="fr-FR" w:eastAsia="en-US" w:bidi="ar-SA"/>
      </w:rPr>
    </w:lvl>
    <w:lvl w:ilvl="2" w:tplc="51EADF26">
      <w:numFmt w:val="bullet"/>
      <w:lvlText w:val="•"/>
      <w:lvlJc w:val="left"/>
      <w:pPr>
        <w:ind w:left="2142" w:hanging="202"/>
      </w:pPr>
      <w:rPr>
        <w:rFonts w:hint="default"/>
        <w:lang w:val="fr-FR" w:eastAsia="en-US" w:bidi="ar-SA"/>
      </w:rPr>
    </w:lvl>
    <w:lvl w:ilvl="3" w:tplc="5B0401AA">
      <w:numFmt w:val="bullet"/>
      <w:lvlText w:val="•"/>
      <w:lvlJc w:val="left"/>
      <w:pPr>
        <w:ind w:left="3044" w:hanging="202"/>
      </w:pPr>
      <w:rPr>
        <w:rFonts w:hint="default"/>
        <w:lang w:val="fr-FR" w:eastAsia="en-US" w:bidi="ar-SA"/>
      </w:rPr>
    </w:lvl>
    <w:lvl w:ilvl="4" w:tplc="49803FF6">
      <w:numFmt w:val="bullet"/>
      <w:lvlText w:val="•"/>
      <w:lvlJc w:val="left"/>
      <w:pPr>
        <w:ind w:left="3945" w:hanging="202"/>
      </w:pPr>
      <w:rPr>
        <w:rFonts w:hint="default"/>
        <w:lang w:val="fr-FR" w:eastAsia="en-US" w:bidi="ar-SA"/>
      </w:rPr>
    </w:lvl>
    <w:lvl w:ilvl="5" w:tplc="25FEEC08">
      <w:numFmt w:val="bullet"/>
      <w:lvlText w:val="•"/>
      <w:lvlJc w:val="left"/>
      <w:pPr>
        <w:ind w:left="4847" w:hanging="202"/>
      </w:pPr>
      <w:rPr>
        <w:rFonts w:hint="default"/>
        <w:lang w:val="fr-FR" w:eastAsia="en-US" w:bidi="ar-SA"/>
      </w:rPr>
    </w:lvl>
    <w:lvl w:ilvl="6" w:tplc="8F5AF83A">
      <w:numFmt w:val="bullet"/>
      <w:lvlText w:val="•"/>
      <w:lvlJc w:val="left"/>
      <w:pPr>
        <w:ind w:left="5748" w:hanging="202"/>
      </w:pPr>
      <w:rPr>
        <w:rFonts w:hint="default"/>
        <w:lang w:val="fr-FR" w:eastAsia="en-US" w:bidi="ar-SA"/>
      </w:rPr>
    </w:lvl>
    <w:lvl w:ilvl="7" w:tplc="949A5CA8">
      <w:numFmt w:val="bullet"/>
      <w:lvlText w:val="•"/>
      <w:lvlJc w:val="left"/>
      <w:pPr>
        <w:ind w:left="6649" w:hanging="202"/>
      </w:pPr>
      <w:rPr>
        <w:rFonts w:hint="default"/>
        <w:lang w:val="fr-FR" w:eastAsia="en-US" w:bidi="ar-SA"/>
      </w:rPr>
    </w:lvl>
    <w:lvl w:ilvl="8" w:tplc="2410C220">
      <w:numFmt w:val="bullet"/>
      <w:lvlText w:val="•"/>
      <w:lvlJc w:val="left"/>
      <w:pPr>
        <w:ind w:left="7551" w:hanging="202"/>
      </w:pPr>
      <w:rPr>
        <w:rFonts w:hint="default"/>
        <w:lang w:val="fr-FR" w:eastAsia="en-US" w:bidi="ar-SA"/>
      </w:rPr>
    </w:lvl>
  </w:abstractNum>
  <w:abstractNum w:abstractNumId="8">
    <w:nsid w:val="749D70CD"/>
    <w:multiLevelType w:val="hybridMultilevel"/>
    <w:tmpl w:val="3B4AD5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0"/>
  </w:num>
  <w:num w:numId="5">
    <w:abstractNumId w:val="8"/>
  </w:num>
  <w:num w:numId="6">
    <w:abstractNumId w:val="4"/>
  </w:num>
  <w:num w:numId="7">
    <w:abstractNumId w:val="3"/>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D643FF"/>
    <w:rsid w:val="00020129"/>
    <w:rsid w:val="00130CE2"/>
    <w:rsid w:val="001D3C93"/>
    <w:rsid w:val="001D5A00"/>
    <w:rsid w:val="001E29D9"/>
    <w:rsid w:val="00210B69"/>
    <w:rsid w:val="00221C22"/>
    <w:rsid w:val="00244B9A"/>
    <w:rsid w:val="00343A45"/>
    <w:rsid w:val="00425790"/>
    <w:rsid w:val="004407D1"/>
    <w:rsid w:val="00447432"/>
    <w:rsid w:val="004609FB"/>
    <w:rsid w:val="004B5015"/>
    <w:rsid w:val="00525BC2"/>
    <w:rsid w:val="00585F98"/>
    <w:rsid w:val="006B7228"/>
    <w:rsid w:val="006C1D8C"/>
    <w:rsid w:val="007C609E"/>
    <w:rsid w:val="00961943"/>
    <w:rsid w:val="00A83D3F"/>
    <w:rsid w:val="00B13688"/>
    <w:rsid w:val="00B2543D"/>
    <w:rsid w:val="00B45F47"/>
    <w:rsid w:val="00BA2728"/>
    <w:rsid w:val="00BC2853"/>
    <w:rsid w:val="00BD6656"/>
    <w:rsid w:val="00BF1F42"/>
    <w:rsid w:val="00C86FEE"/>
    <w:rsid w:val="00D2644B"/>
    <w:rsid w:val="00D643FF"/>
    <w:rsid w:val="00D85062"/>
    <w:rsid w:val="00D857D8"/>
    <w:rsid w:val="00E629B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643FF"/>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D643FF"/>
    <w:tblPr>
      <w:tblInd w:w="0" w:type="dxa"/>
      <w:tblCellMar>
        <w:top w:w="0" w:type="dxa"/>
        <w:left w:w="0" w:type="dxa"/>
        <w:bottom w:w="0" w:type="dxa"/>
        <w:right w:w="0" w:type="dxa"/>
      </w:tblCellMar>
    </w:tblPr>
  </w:style>
  <w:style w:type="paragraph" w:styleId="Corpsdetexte">
    <w:name w:val="Body Text"/>
    <w:basedOn w:val="Normal"/>
    <w:uiPriority w:val="1"/>
    <w:qFormat/>
    <w:rsid w:val="00D643FF"/>
    <w:pPr>
      <w:ind w:left="141"/>
      <w:jc w:val="both"/>
    </w:pPr>
    <w:rPr>
      <w:sz w:val="24"/>
      <w:szCs w:val="24"/>
    </w:rPr>
  </w:style>
  <w:style w:type="paragraph" w:customStyle="1" w:styleId="Heading1">
    <w:name w:val="Heading 1"/>
    <w:basedOn w:val="Normal"/>
    <w:uiPriority w:val="1"/>
    <w:qFormat/>
    <w:rsid w:val="00D643FF"/>
    <w:pPr>
      <w:ind w:left="860"/>
      <w:jc w:val="both"/>
      <w:outlineLvl w:val="1"/>
    </w:pPr>
    <w:rPr>
      <w:b/>
      <w:bCs/>
      <w:sz w:val="24"/>
      <w:szCs w:val="24"/>
    </w:rPr>
  </w:style>
  <w:style w:type="paragraph" w:styleId="Titre">
    <w:name w:val="Title"/>
    <w:basedOn w:val="Normal"/>
    <w:uiPriority w:val="1"/>
    <w:qFormat/>
    <w:rsid w:val="00D643FF"/>
    <w:pPr>
      <w:spacing w:before="77"/>
      <w:jc w:val="center"/>
    </w:pPr>
    <w:rPr>
      <w:b/>
      <w:bCs/>
      <w:sz w:val="32"/>
      <w:szCs w:val="32"/>
    </w:rPr>
  </w:style>
  <w:style w:type="paragraph" w:styleId="Paragraphedeliste">
    <w:name w:val="List Paragraph"/>
    <w:basedOn w:val="Normal"/>
    <w:uiPriority w:val="1"/>
    <w:qFormat/>
    <w:rsid w:val="00D643FF"/>
    <w:pPr>
      <w:ind w:left="861" w:hanging="361"/>
      <w:jc w:val="both"/>
    </w:pPr>
  </w:style>
  <w:style w:type="paragraph" w:customStyle="1" w:styleId="TableParagraph">
    <w:name w:val="Table Paragraph"/>
    <w:basedOn w:val="Normal"/>
    <w:uiPriority w:val="1"/>
    <w:qFormat/>
    <w:rsid w:val="00D643FF"/>
  </w:style>
  <w:style w:type="paragraph" w:styleId="En-tte">
    <w:name w:val="header"/>
    <w:basedOn w:val="Normal"/>
    <w:link w:val="En-tteCar"/>
    <w:uiPriority w:val="99"/>
    <w:unhideWhenUsed/>
    <w:rsid w:val="001D3C93"/>
    <w:pPr>
      <w:tabs>
        <w:tab w:val="center" w:pos="4536"/>
        <w:tab w:val="right" w:pos="9072"/>
      </w:tabs>
    </w:pPr>
  </w:style>
  <w:style w:type="character" w:customStyle="1" w:styleId="En-tteCar">
    <w:name w:val="En-tête Car"/>
    <w:basedOn w:val="Policepardfaut"/>
    <w:link w:val="En-tte"/>
    <w:uiPriority w:val="99"/>
    <w:rsid w:val="001D3C93"/>
    <w:rPr>
      <w:rFonts w:ascii="Times New Roman" w:eastAsia="Times New Roman" w:hAnsi="Times New Roman" w:cs="Times New Roman"/>
      <w:lang w:val="fr-FR"/>
    </w:rPr>
  </w:style>
  <w:style w:type="paragraph" w:styleId="Pieddepage">
    <w:name w:val="footer"/>
    <w:basedOn w:val="Normal"/>
    <w:link w:val="PieddepageCar"/>
    <w:uiPriority w:val="99"/>
    <w:semiHidden/>
    <w:unhideWhenUsed/>
    <w:rsid w:val="001D3C93"/>
    <w:pPr>
      <w:tabs>
        <w:tab w:val="center" w:pos="4536"/>
        <w:tab w:val="right" w:pos="9072"/>
      </w:tabs>
    </w:pPr>
  </w:style>
  <w:style w:type="character" w:customStyle="1" w:styleId="PieddepageCar">
    <w:name w:val="Pied de page Car"/>
    <w:basedOn w:val="Policepardfaut"/>
    <w:link w:val="Pieddepage"/>
    <w:uiPriority w:val="99"/>
    <w:semiHidden/>
    <w:rsid w:val="001D3C93"/>
    <w:rPr>
      <w:rFonts w:ascii="Times New Roman" w:eastAsia="Times New Roman" w:hAnsi="Times New Roman" w:cs="Times New Roman"/>
      <w:lang w:val="fr-FR"/>
    </w:rPr>
  </w:style>
  <w:style w:type="paragraph" w:styleId="Textedebulles">
    <w:name w:val="Balloon Text"/>
    <w:basedOn w:val="Normal"/>
    <w:link w:val="TextedebullesCar"/>
    <w:uiPriority w:val="99"/>
    <w:semiHidden/>
    <w:unhideWhenUsed/>
    <w:rsid w:val="001D3C93"/>
    <w:rPr>
      <w:rFonts w:ascii="Tahoma" w:hAnsi="Tahoma" w:cs="Tahoma"/>
      <w:sz w:val="16"/>
      <w:szCs w:val="16"/>
    </w:rPr>
  </w:style>
  <w:style w:type="character" w:customStyle="1" w:styleId="TextedebullesCar">
    <w:name w:val="Texte de bulles Car"/>
    <w:basedOn w:val="Policepardfaut"/>
    <w:link w:val="Textedebulles"/>
    <w:uiPriority w:val="99"/>
    <w:semiHidden/>
    <w:rsid w:val="001D3C93"/>
    <w:rPr>
      <w:rFonts w:ascii="Tahoma" w:eastAsia="Times New Roman"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977B1ECD3C04D3BAFE6F2390E03772C"/>
        <w:category>
          <w:name w:val="Général"/>
          <w:gallery w:val="placeholder"/>
        </w:category>
        <w:types>
          <w:type w:val="bbPlcHdr"/>
        </w:types>
        <w:behaviors>
          <w:behavior w:val="content"/>
        </w:behaviors>
        <w:guid w:val="{3C5CD8CC-D1EF-416C-9199-416527B554D3}"/>
      </w:docPartPr>
      <w:docPartBody>
        <w:p w:rsidR="00000000" w:rsidRDefault="00266289" w:rsidP="00266289">
          <w:pPr>
            <w:pStyle w:val="7977B1ECD3C04D3BAFE6F2390E03772C"/>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66289"/>
    <w:rsid w:val="00162695"/>
    <w:rsid w:val="0026628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855F75151D9460788342216CAC0AD5F">
    <w:name w:val="B855F75151D9460788342216CAC0AD5F"/>
    <w:rsid w:val="00266289"/>
  </w:style>
  <w:style w:type="paragraph" w:customStyle="1" w:styleId="7977B1ECD3C04D3BAFE6F2390E03772C">
    <w:name w:val="7977B1ECD3C04D3BAFE6F2390E03772C"/>
    <w:rsid w:val="0026628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1769</Words>
  <Characters>9732</Characters>
  <Application>Microsoft Office Word</Application>
  <DocSecurity>0</DocSecurity>
  <Lines>81</Lines>
  <Paragraphs>22</Paragraphs>
  <ScaleCrop>false</ScaleCrop>
  <Company/>
  <LinksUpToDate>false</LinksUpToDate>
  <CharactersWithSpaces>11479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Génomique structurelle                     Chapitre 5 : Séquençage des acides nucléiques </dc:title>
  <dc:creator>TSHIBA</dc:creator>
  <cp:lastModifiedBy>TSHIBA</cp:lastModifiedBy>
  <cp:revision>33</cp:revision>
  <dcterms:created xsi:type="dcterms:W3CDTF">2024-12-26T13:05:00Z</dcterms:created>
  <dcterms:modified xsi:type="dcterms:W3CDTF">2024-12-26T14:03:00Z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2022-11-02T00:00:00Z</vt:filetime>
  </property>
  <property fmtid="{D5CDD505-2E9C-101B-9397-08002B2CF9AE}" pid="3" name="Creator">
    <vt:lpwstr>Microsoft® Word 2016</vt:lpwstr>
  </property>
  <property fmtid="{D5CDD505-2E9C-101B-9397-08002B2CF9AE}" pid="4" name="LastSaved">
    <vt:filetime>2024-12-26T00:00:00Z</vt:filetime>
  </property>
  <property fmtid="{D5CDD505-2E9C-101B-9397-08002B2CF9AE}" pid="5" name="Producer">
    <vt:lpwstr>www.ilovepdf.com</vt:lpwstr>
  </property>
</Properties>
</file>