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89A2" w14:textId="424B2A72" w:rsidR="00F868FE" w:rsidRPr="005C4A0E" w:rsidRDefault="00F868FE" w:rsidP="00B72463">
      <w:pPr>
        <w:pStyle w:val="Titre1"/>
        <w:jc w:val="both"/>
        <w:rPr>
          <w:lang w:val="fr-FR"/>
        </w:rPr>
      </w:pPr>
    </w:p>
    <w:p w14:paraId="18CF97A6" w14:textId="77777777" w:rsidR="00F868FE" w:rsidRPr="005C4A0E" w:rsidRDefault="00000000" w:rsidP="005C4A0E">
      <w:pPr>
        <w:pStyle w:val="Titre1"/>
        <w:jc w:val="both"/>
        <w:rPr>
          <w:lang w:val="fr-FR"/>
        </w:rPr>
      </w:pPr>
      <w:bookmarkStart w:id="0" w:name="master-biodiversité-et-sécurité-alimenta"/>
      <w:bookmarkStart w:id="1" w:name="chapitre-2-notions-de-base-de-la-télédét"/>
      <w:bookmarkEnd w:id="0"/>
      <w:bookmarkEnd w:id="1"/>
      <w:r w:rsidRPr="005C4A0E">
        <w:rPr>
          <w:lang w:val="fr-FR"/>
        </w:rPr>
        <w:t>Chapitre 2 : Notions de Base de la Télédétection</w:t>
      </w:r>
    </w:p>
    <w:p w14:paraId="6EF97F43" w14:textId="77777777" w:rsidR="00F868FE" w:rsidRPr="005C4A0E" w:rsidRDefault="00000000" w:rsidP="005C4A0E">
      <w:pPr>
        <w:pStyle w:val="Titre2"/>
        <w:jc w:val="both"/>
        <w:rPr>
          <w:lang w:val="fr-FR"/>
        </w:rPr>
      </w:pPr>
      <w:bookmarkStart w:id="2" w:name="définitions-de-la-télédétection"/>
      <w:bookmarkEnd w:id="2"/>
      <w:r w:rsidRPr="005C4A0E">
        <w:rPr>
          <w:lang w:val="fr-FR"/>
        </w:rPr>
        <w:t>1. Définitions de la Télédétection</w:t>
      </w:r>
    </w:p>
    <w:p w14:paraId="749423E0" w14:textId="77777777" w:rsidR="00F868FE" w:rsidRPr="005C4A0E" w:rsidRDefault="00000000" w:rsidP="005C4A0E">
      <w:pPr>
        <w:pStyle w:val="Corpsdetexte"/>
        <w:jc w:val="both"/>
        <w:rPr>
          <w:lang w:val="fr-FR"/>
        </w:rPr>
      </w:pPr>
      <w:r w:rsidRPr="005C4A0E">
        <w:rPr>
          <w:lang w:val="fr-FR"/>
        </w:rPr>
        <w:t xml:space="preserve">La </w:t>
      </w:r>
      <w:r w:rsidRPr="005C4A0E">
        <w:rPr>
          <w:rStyle w:val="StrongEmphasis"/>
          <w:lang w:val="fr-FR"/>
        </w:rPr>
        <w:t>télédétection</w:t>
      </w:r>
      <w:r w:rsidRPr="005C4A0E">
        <w:rPr>
          <w:lang w:val="fr-FR"/>
        </w:rPr>
        <w:t xml:space="preserve"> est définie comme la science et l’art d’obtenir l’information sur un objet, une surface ou un phénomène à travers l’analyse des données acquises par un moyen qui n’est pas en contact direct avec l’objet, la surface ou le phénomène à étudier (Lillesand &amp; Kiefer, 1987).</w:t>
      </w:r>
    </w:p>
    <w:p w14:paraId="72313000" w14:textId="77777777" w:rsidR="00F868FE" w:rsidRPr="005C4A0E" w:rsidRDefault="00000000" w:rsidP="005C4A0E">
      <w:pPr>
        <w:pStyle w:val="Corpsdetexte"/>
        <w:jc w:val="both"/>
        <w:rPr>
          <w:lang w:val="fr-FR"/>
        </w:rPr>
      </w:pPr>
      <w:r w:rsidRPr="005C4A0E">
        <w:rPr>
          <w:lang w:val="fr-FR"/>
        </w:rPr>
        <w:t xml:space="preserve">Plus précisément, la télédétection est l’ensemble des connaissances et des techniques utilisées pour déterminer des caractéristiques physiques et biologiques d’objets par des mesures effectuées à distance, sans contact matériel avec ceux-ci. Le terme « </w:t>
      </w:r>
      <w:r w:rsidRPr="005C4A0E">
        <w:rPr>
          <w:rStyle w:val="Accentuation"/>
          <w:lang w:val="fr-FR"/>
        </w:rPr>
        <w:t>télé</w:t>
      </w:r>
      <w:r w:rsidRPr="005C4A0E">
        <w:rPr>
          <w:lang w:val="fr-FR"/>
        </w:rPr>
        <w:t xml:space="preserve"> » signifie « à distance » et « </w:t>
      </w:r>
      <w:r w:rsidRPr="005C4A0E">
        <w:rPr>
          <w:rStyle w:val="Accentuation"/>
          <w:lang w:val="fr-FR"/>
        </w:rPr>
        <w:t>détection</w:t>
      </w:r>
      <w:r w:rsidRPr="005C4A0E">
        <w:rPr>
          <w:lang w:val="fr-FR"/>
        </w:rPr>
        <w:t xml:space="preserve"> » signifie « découvrir » ou « déceler ». C’est une discipline qui cherche à obtenir des informations de la Terre en utilisant des images acquises par des satellites ou des plateformes aériennes, en se servant de la radiation électromagnétique émise ou réfléchie par la surface terrestre (Lillesand et Kiefer, 1994 ; Chuvieco, 1996).</w:t>
      </w:r>
    </w:p>
    <w:p w14:paraId="640B51EE" w14:textId="77777777" w:rsidR="00F868FE" w:rsidRPr="005C4A0E" w:rsidRDefault="00000000" w:rsidP="005C4A0E">
      <w:pPr>
        <w:pStyle w:val="Corpsdetexte"/>
        <w:jc w:val="both"/>
        <w:rPr>
          <w:lang w:val="fr-FR"/>
        </w:rPr>
      </w:pPr>
      <w:r w:rsidRPr="005C4A0E">
        <w:rPr>
          <w:lang w:val="fr-FR"/>
        </w:rPr>
        <w:t>En agriculture, la télédétection constitue un outil stratégique permettant de monitorer les cultures, d’évaluer l’état de la végétation, de détecter les maladies ou le stress hydrique, et d’optimiser l’allocation des ressources (eau, engrais) à l’échelle parcellaire.</w:t>
      </w:r>
    </w:p>
    <w:p w14:paraId="215300E3" w14:textId="77777777" w:rsidR="00F868FE" w:rsidRPr="005C4A0E" w:rsidRDefault="00000000" w:rsidP="005C4A0E">
      <w:pPr>
        <w:pStyle w:val="Titre2"/>
        <w:jc w:val="both"/>
        <w:rPr>
          <w:lang w:val="fr-FR"/>
        </w:rPr>
      </w:pPr>
      <w:bookmarkStart w:id="3" w:name="historique-de-la-télédétection"/>
      <w:bookmarkEnd w:id="3"/>
      <w:r w:rsidRPr="005C4A0E">
        <w:rPr>
          <w:lang w:val="fr-FR"/>
        </w:rPr>
        <w:t>2. Historique de la Télédétection</w:t>
      </w:r>
    </w:p>
    <w:p w14:paraId="0855CDC0" w14:textId="77777777" w:rsidR="00F868FE" w:rsidRPr="005C4A0E" w:rsidRDefault="00000000" w:rsidP="005C4A0E">
      <w:pPr>
        <w:pStyle w:val="Corpsdetexte"/>
        <w:jc w:val="both"/>
        <w:rPr>
          <w:lang w:val="fr-FR"/>
        </w:rPr>
      </w:pPr>
      <w:r w:rsidRPr="005C4A0E">
        <w:rPr>
          <w:lang w:val="fr-FR"/>
        </w:rPr>
        <w:t>L’histoire des techniques de télédétection peut être divisée en cinq grandes périodes :</w:t>
      </w:r>
    </w:p>
    <w:p w14:paraId="5EC2E496" w14:textId="77777777" w:rsidR="00F868FE" w:rsidRPr="005C4A0E" w:rsidRDefault="00000000" w:rsidP="005C4A0E">
      <w:pPr>
        <w:pStyle w:val="Corpsdetexte"/>
        <w:jc w:val="both"/>
        <w:rPr>
          <w:lang w:val="fr-FR"/>
        </w:rPr>
      </w:pPr>
      <w:r w:rsidRPr="005C4A0E">
        <w:rPr>
          <w:rStyle w:val="StrongEmphasis"/>
          <w:lang w:val="fr-FR"/>
        </w:rPr>
        <w:t>1. Époque des pionniers (1856 - Première Guerre Mondiale)</w:t>
      </w:r>
      <w:r w:rsidRPr="005C4A0E">
        <w:rPr>
          <w:lang w:val="fr-FR"/>
        </w:rPr>
        <w:t xml:space="preserve"> - La première photographie aérienne a été installée à bord d’un ballon en 1856 - La première photographie aérienne de Paris en 1858 marque le point de départ de la télédétection contemporaine - Exploration des possibilités de la photographie aérienne verticale pour la cartographie - Découverte des lois fondamentales de la stéréoscopie et de la photogrammétrie à la fin du XIXe siècle</w:t>
      </w:r>
    </w:p>
    <w:p w14:paraId="75C84447" w14:textId="77777777" w:rsidR="00F868FE" w:rsidRPr="005C4A0E" w:rsidRDefault="00000000" w:rsidP="005C4A0E">
      <w:pPr>
        <w:pStyle w:val="Corpsdetexte"/>
        <w:jc w:val="both"/>
        <w:rPr>
          <w:lang w:val="fr-FR"/>
        </w:rPr>
      </w:pPr>
      <w:r w:rsidRPr="005C4A0E">
        <w:rPr>
          <w:rStyle w:val="StrongEmphasis"/>
          <w:lang w:val="fr-FR"/>
        </w:rPr>
        <w:t>2. Période opérationnelle (1918 - années 1950)</w:t>
      </w:r>
      <w:r w:rsidRPr="005C4A0E">
        <w:rPr>
          <w:lang w:val="fr-FR"/>
        </w:rPr>
        <w:t xml:space="preserve"> - La photographie aérienne devient un outil opérationnel pour la cartographie et la recherche pétrolière - Surveillance de la végétation et détection des maladies des plantes - Progrès continu en aviation, appareils photographiques et émulsions (couleur, infrarouge) - Codification des méthodes de photo-interprétation</w:t>
      </w:r>
    </w:p>
    <w:p w14:paraId="1EF04651" w14:textId="77777777" w:rsidR="00F868FE" w:rsidRPr="005C4A0E" w:rsidRDefault="00000000" w:rsidP="005C4A0E">
      <w:pPr>
        <w:pStyle w:val="Corpsdetexte"/>
        <w:jc w:val="both"/>
        <w:rPr>
          <w:lang w:val="fr-FR"/>
        </w:rPr>
      </w:pPr>
      <w:r w:rsidRPr="005C4A0E">
        <w:rPr>
          <w:rStyle w:val="StrongEmphasis"/>
          <w:lang w:val="fr-FR"/>
        </w:rPr>
        <w:t>3. Exploration spatiale (1957 - 1972)</w:t>
      </w:r>
      <w:r w:rsidRPr="005C4A0E">
        <w:rPr>
          <w:lang w:val="fr-FR"/>
        </w:rPr>
        <w:t xml:space="preserve"> - Lancement des premiers satellites et vaisseaux spatiaux habités - Développement et perfectionnement des radiomètres-imageurs - Premiers radars embarqués à bord d’avions - Premières applications opérationnelles avec satellites météorologiques (série ESSA, années 1960)</w:t>
      </w:r>
    </w:p>
    <w:p w14:paraId="02C641E9" w14:textId="77777777" w:rsidR="00F868FE" w:rsidRPr="005C4A0E" w:rsidRDefault="00000000" w:rsidP="005C4A0E">
      <w:pPr>
        <w:pStyle w:val="Corpsdetexte"/>
        <w:jc w:val="both"/>
        <w:rPr>
          <w:lang w:val="fr-FR"/>
        </w:rPr>
      </w:pPr>
      <w:r w:rsidRPr="005C4A0E">
        <w:rPr>
          <w:rStyle w:val="StrongEmphasis"/>
          <w:lang w:val="fr-FR"/>
        </w:rPr>
        <w:t>4. Ère moderne de la télédétection (depuis 1972)</w:t>
      </w:r>
      <w:r w:rsidRPr="005C4A0E">
        <w:rPr>
          <w:lang w:val="fr-FR"/>
        </w:rPr>
        <w:t xml:space="preserve"> - Lancement du satellite ERTS (rebaptisé Landsat 1) - premier satellite opérationnel d’observation des ressources terrestres - Développement constant des capteurs et des méthodes de traitement numérique - Augmentation de la résolution spatiale des capteurs - Diversification des capteurs utilisant différents domaines du spectre électromagnétique</w:t>
      </w:r>
    </w:p>
    <w:p w14:paraId="0ADB28C4" w14:textId="77777777" w:rsidR="00F868FE" w:rsidRPr="005C4A0E" w:rsidRDefault="00000000" w:rsidP="005C4A0E">
      <w:pPr>
        <w:pStyle w:val="Corpsdetexte"/>
        <w:jc w:val="both"/>
        <w:rPr>
          <w:lang w:val="fr-FR"/>
        </w:rPr>
      </w:pPr>
      <w:r w:rsidRPr="005C4A0E">
        <w:rPr>
          <w:rStyle w:val="StrongEmphasis"/>
          <w:lang w:val="fr-FR"/>
        </w:rPr>
        <w:t>5. Période contemporaine (années 1980 à présent)</w:t>
      </w:r>
      <w:r w:rsidRPr="005C4A0E">
        <w:rPr>
          <w:lang w:val="fr-FR"/>
        </w:rPr>
        <w:t xml:space="preserve"> - Diffusion commerciale des données de télédétection (programme SPOT, 1986) - Lancement de satellites de télédétection par des sociétés privées - Données satellites devenant l’objet d’un marché concurrentiel - Intégration croissante aux </w:t>
      </w:r>
      <w:r w:rsidRPr="005C4A0E">
        <w:rPr>
          <w:lang w:val="fr-FR"/>
        </w:rPr>
        <w:lastRenderedPageBreak/>
        <w:t>Systèmes d’Information Géographique (SIG) - Développement de satellites haute résolution (Ikonos, QuickBird, Sentinel, Landsat 8/9) - Application massive en agriculture, environnement, urbanisme et gestion des risques</w:t>
      </w:r>
    </w:p>
    <w:p w14:paraId="14B7A5A0" w14:textId="77777777" w:rsidR="00F868FE" w:rsidRPr="005C4A0E" w:rsidRDefault="00000000" w:rsidP="005C4A0E">
      <w:pPr>
        <w:pStyle w:val="Titre2"/>
        <w:jc w:val="both"/>
        <w:rPr>
          <w:lang w:val="fr-FR"/>
        </w:rPr>
      </w:pPr>
      <w:bookmarkStart w:id="4" w:name="domaines-dapplication-de-la-télédétectio"/>
      <w:bookmarkEnd w:id="4"/>
      <w:r w:rsidRPr="005C4A0E">
        <w:rPr>
          <w:lang w:val="fr-FR"/>
        </w:rPr>
        <w:t>3. Domaines d’Application de la Télédétection</w:t>
      </w:r>
    </w:p>
    <w:p w14:paraId="64599AFE" w14:textId="77777777" w:rsidR="00F868FE" w:rsidRPr="005C4A0E" w:rsidRDefault="00000000" w:rsidP="005C4A0E">
      <w:pPr>
        <w:pStyle w:val="Corpsdetexte"/>
        <w:jc w:val="both"/>
        <w:rPr>
          <w:lang w:val="fr-FR"/>
        </w:rPr>
      </w:pPr>
      <w:r w:rsidRPr="005C4A0E">
        <w:rPr>
          <w:lang w:val="fr-FR"/>
        </w:rPr>
        <w:t>Les applications de la télédétection s’étendent à plusieurs secteurs clés :</w:t>
      </w:r>
    </w:p>
    <w:p w14:paraId="5C9BF5D9"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Agriculture</w:t>
      </w:r>
      <w:r w:rsidRPr="005C4A0E">
        <w:rPr>
          <w:lang w:val="fr-FR"/>
        </w:rPr>
        <w:t xml:space="preserve"> : Surveillance des cultures, estimation des rendements, détection des maladies, gestion de l’irrigation </w:t>
      </w:r>
    </w:p>
    <w:p w14:paraId="663379D2"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Foresterie</w:t>
      </w:r>
      <w:r w:rsidRPr="005C4A0E">
        <w:rPr>
          <w:lang w:val="fr-FR"/>
        </w:rPr>
        <w:t xml:space="preserve"> : Cartographie des forêts, suivi de la déforestation, évaluation de la biomasse </w:t>
      </w:r>
    </w:p>
    <w:p w14:paraId="5FD54E05"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Environnement</w:t>
      </w:r>
      <w:r w:rsidRPr="005C4A0E">
        <w:rPr>
          <w:lang w:val="fr-FR"/>
        </w:rPr>
        <w:t xml:space="preserve"> : Changements climatiques, qualité de l’eau, cartographie des zones humides </w:t>
      </w:r>
    </w:p>
    <w:p w14:paraId="151F02C4"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Urbanisme</w:t>
      </w:r>
      <w:r w:rsidRPr="005C4A0E">
        <w:rPr>
          <w:lang w:val="fr-FR"/>
        </w:rPr>
        <w:t xml:space="preserve"> : Expansion urbaine, planification territoriale, détection des changements </w:t>
      </w:r>
    </w:p>
    <w:p w14:paraId="61B9D0B9"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Géologie</w:t>
      </w:r>
      <w:r w:rsidRPr="005C4A0E">
        <w:rPr>
          <w:lang w:val="fr-FR"/>
        </w:rPr>
        <w:t xml:space="preserve"> : Prospection minière, cartographie géologique, études tectoniques </w:t>
      </w:r>
    </w:p>
    <w:p w14:paraId="308939E7" w14:textId="77777777" w:rsidR="00F868FE" w:rsidRPr="005C4A0E" w:rsidRDefault="00000000" w:rsidP="005C4A0E">
      <w:pPr>
        <w:pStyle w:val="Corpsdetexte"/>
        <w:numPr>
          <w:ilvl w:val="0"/>
          <w:numId w:val="1"/>
        </w:numPr>
        <w:tabs>
          <w:tab w:val="left" w:pos="709"/>
        </w:tabs>
        <w:spacing w:after="0"/>
        <w:jc w:val="both"/>
        <w:rPr>
          <w:lang w:val="fr-FR"/>
        </w:rPr>
      </w:pPr>
      <w:r w:rsidRPr="005C4A0E">
        <w:rPr>
          <w:rStyle w:val="StrongEmphasis"/>
          <w:lang w:val="fr-FR"/>
        </w:rPr>
        <w:t>Météorologie et climatologie</w:t>
      </w:r>
      <w:r w:rsidRPr="005C4A0E">
        <w:rPr>
          <w:lang w:val="fr-FR"/>
        </w:rPr>
        <w:t xml:space="preserve"> : Prévisions météorologiques, suivi des phénomènes climatiques </w:t>
      </w:r>
    </w:p>
    <w:p w14:paraId="1B7F0D97" w14:textId="77777777" w:rsidR="00F868FE" w:rsidRPr="005C4A0E" w:rsidRDefault="00000000" w:rsidP="005C4A0E">
      <w:pPr>
        <w:pStyle w:val="Corpsdetexte"/>
        <w:numPr>
          <w:ilvl w:val="0"/>
          <w:numId w:val="1"/>
        </w:numPr>
        <w:tabs>
          <w:tab w:val="left" w:pos="709"/>
        </w:tabs>
        <w:jc w:val="both"/>
        <w:rPr>
          <w:lang w:val="fr-FR"/>
        </w:rPr>
      </w:pPr>
      <w:r w:rsidRPr="005C4A0E">
        <w:rPr>
          <w:rStyle w:val="StrongEmphasis"/>
          <w:lang w:val="fr-FR"/>
        </w:rPr>
        <w:t>Océanographie</w:t>
      </w:r>
      <w:r w:rsidRPr="005C4A0E">
        <w:rPr>
          <w:lang w:val="fr-FR"/>
        </w:rPr>
        <w:t xml:space="preserve"> : Température de l’eau, productivité marine, surveillance côtière </w:t>
      </w:r>
    </w:p>
    <w:p w14:paraId="743915F2" w14:textId="77777777" w:rsidR="00F868FE" w:rsidRPr="005C4A0E" w:rsidRDefault="00000000" w:rsidP="005C4A0E">
      <w:pPr>
        <w:pStyle w:val="Titre2"/>
        <w:jc w:val="both"/>
        <w:rPr>
          <w:lang w:val="fr-FR"/>
        </w:rPr>
      </w:pPr>
      <w:bookmarkStart w:id="5" w:name="bases-physiques-de-la-télédétection"/>
      <w:bookmarkEnd w:id="5"/>
      <w:r w:rsidRPr="005C4A0E">
        <w:rPr>
          <w:lang w:val="fr-FR"/>
        </w:rPr>
        <w:t>4. Bases Physiques de la Télédétection</w:t>
      </w:r>
    </w:p>
    <w:p w14:paraId="4D0BD8AE" w14:textId="77777777" w:rsidR="00F868FE" w:rsidRPr="005C4A0E" w:rsidRDefault="00000000" w:rsidP="005C4A0E">
      <w:pPr>
        <w:pStyle w:val="Titre3"/>
        <w:jc w:val="both"/>
        <w:rPr>
          <w:lang w:val="fr-FR"/>
        </w:rPr>
      </w:pPr>
      <w:bookmarkStart w:id="6" w:name="le-spectre-électromagnétique"/>
      <w:bookmarkEnd w:id="6"/>
      <w:r w:rsidRPr="005C4A0E">
        <w:rPr>
          <w:lang w:val="fr-FR"/>
        </w:rPr>
        <w:t>4.1 Le Spectre Électromagnétique</w:t>
      </w:r>
    </w:p>
    <w:p w14:paraId="5A84571D" w14:textId="77777777" w:rsidR="00F868FE" w:rsidRPr="005C4A0E" w:rsidRDefault="00000000" w:rsidP="005C4A0E">
      <w:pPr>
        <w:pStyle w:val="Corpsdetexte"/>
        <w:jc w:val="both"/>
        <w:rPr>
          <w:lang w:val="fr-FR"/>
        </w:rPr>
      </w:pPr>
      <w:r w:rsidRPr="005C4A0E">
        <w:rPr>
          <w:lang w:val="fr-FR"/>
        </w:rPr>
        <w:t>Le spectre électromagnétique présente toutes les gammes d’ondes, depuis les plus petites longueurs d’onde (fréquence très élevée) jusqu’aux plus grandes (fréquence très basse).</w:t>
      </w:r>
    </w:p>
    <w:p w14:paraId="220ECD74" w14:textId="77777777" w:rsidR="00F868FE" w:rsidRPr="005C4A0E" w:rsidRDefault="00000000" w:rsidP="005C4A0E">
      <w:pPr>
        <w:pStyle w:val="Corpsdetexte"/>
        <w:jc w:val="both"/>
        <w:rPr>
          <w:lang w:val="fr-FR"/>
        </w:rPr>
      </w:pPr>
      <w:r w:rsidRPr="005C4A0E">
        <w:rPr>
          <w:rStyle w:val="StrongEmphasis"/>
          <w:lang w:val="fr-FR"/>
        </w:rPr>
        <w:t>Principales régions du spectre utilisées en télédétection :</w:t>
      </w:r>
    </w:p>
    <w:p w14:paraId="2CEC8D6B" w14:textId="77777777" w:rsidR="00F868FE" w:rsidRPr="005C4A0E" w:rsidRDefault="00000000" w:rsidP="005C4A0E">
      <w:pPr>
        <w:pStyle w:val="Corpsdetexte"/>
        <w:jc w:val="both"/>
        <w:rPr>
          <w:lang w:val="fr-FR"/>
        </w:rPr>
      </w:pPr>
      <w:r w:rsidRPr="005C4A0E">
        <w:rPr>
          <w:rStyle w:val="StrongEmphasis"/>
          <w:lang w:val="fr-FR"/>
        </w:rPr>
        <w:t>Domaine visible (0,38 µm à 0,78 µm)</w:t>
      </w:r>
      <w:r w:rsidRPr="005C4A0E">
        <w:rPr>
          <w:lang w:val="fr-FR"/>
        </w:rPr>
        <w:t xml:space="preserve"> - Correspond aux couleurs de l’arc-en-ciel - Violet (≈0,38 µm), Bleu (≈0,45 µm), Vert (≈0,55 µm), Rouge (≈0,65 µm) - La plupart des satellites d’observation terrestre ont des capteurs enregistrant dans cette bande - Utilisé pour les observations visuelles standard</w:t>
      </w:r>
    </w:p>
    <w:p w14:paraId="09FA1725" w14:textId="77777777" w:rsidR="00F868FE" w:rsidRPr="005C4A0E" w:rsidRDefault="00000000" w:rsidP="005C4A0E">
      <w:pPr>
        <w:pStyle w:val="Corpsdetexte"/>
        <w:jc w:val="both"/>
        <w:rPr>
          <w:lang w:val="fr-FR"/>
        </w:rPr>
      </w:pPr>
      <w:r w:rsidRPr="005C4A0E">
        <w:rPr>
          <w:rStyle w:val="StrongEmphasis"/>
          <w:lang w:val="fr-FR"/>
        </w:rPr>
        <w:t>Proche infrarouge (centré sur 0,9 µm)</w:t>
      </w:r>
      <w:r w:rsidRPr="005C4A0E">
        <w:rPr>
          <w:lang w:val="fr-FR"/>
        </w:rPr>
        <w:t xml:space="preserve"> - Rayonnement solaire réfléchi par les surfaces terrestres - Très utilisé pour l’étude de la végétation et la détection de l’eau - Essentiel pour le calcul des indices de végétation (NDVI)</w:t>
      </w:r>
    </w:p>
    <w:p w14:paraId="5A568EAD" w14:textId="77777777" w:rsidR="00F868FE" w:rsidRPr="005C4A0E" w:rsidRDefault="00000000" w:rsidP="005C4A0E">
      <w:pPr>
        <w:pStyle w:val="Corpsdetexte"/>
        <w:jc w:val="both"/>
        <w:rPr>
          <w:lang w:val="fr-FR"/>
        </w:rPr>
      </w:pPr>
      <w:r w:rsidRPr="005C4A0E">
        <w:rPr>
          <w:rStyle w:val="StrongEmphasis"/>
          <w:lang w:val="fr-FR"/>
        </w:rPr>
        <w:t>Moyen infrarouge (centré sur 3 µm)</w:t>
      </w:r>
      <w:r w:rsidRPr="005C4A0E">
        <w:rPr>
          <w:lang w:val="fr-FR"/>
        </w:rPr>
        <w:t xml:space="preserve"> - À la fois réflchi et émis par les surfaces terrestres - Détection de l’eau dans les plantes - Détection de la neige et de la glace - Évaluation de l’humidité du sol</w:t>
      </w:r>
    </w:p>
    <w:p w14:paraId="45AC7171" w14:textId="77777777" w:rsidR="00F868FE" w:rsidRPr="005C4A0E" w:rsidRDefault="00000000" w:rsidP="005C4A0E">
      <w:pPr>
        <w:pStyle w:val="Corpsdetexte"/>
        <w:jc w:val="both"/>
        <w:rPr>
          <w:lang w:val="fr-FR"/>
        </w:rPr>
      </w:pPr>
      <w:r w:rsidRPr="005C4A0E">
        <w:rPr>
          <w:rStyle w:val="StrongEmphasis"/>
          <w:lang w:val="fr-FR"/>
        </w:rPr>
        <w:t>Infrarouge thermique (8 à 12 µm)</w:t>
      </w:r>
      <w:r w:rsidRPr="005C4A0E">
        <w:rPr>
          <w:lang w:val="fr-FR"/>
        </w:rPr>
        <w:t xml:space="preserve"> - Rayonnement émis par les surfaces terrestres - Très utilisé en météorologie et climatologie - Permet d’estimer la température de surface - Important pour le suivi du stress thermique des cultures</w:t>
      </w:r>
    </w:p>
    <w:p w14:paraId="0388D9CA" w14:textId="77777777" w:rsidR="00F868FE" w:rsidRPr="005C4A0E" w:rsidRDefault="00000000" w:rsidP="005C4A0E">
      <w:pPr>
        <w:pStyle w:val="Corpsdetexte"/>
        <w:jc w:val="both"/>
        <w:rPr>
          <w:lang w:val="fr-FR"/>
        </w:rPr>
      </w:pPr>
      <w:r w:rsidRPr="005C4A0E">
        <w:rPr>
          <w:rStyle w:val="StrongEmphasis"/>
          <w:lang w:val="fr-FR"/>
        </w:rPr>
        <w:t>Domaine des hyperfréquences (2 à 30 cm)</w:t>
      </w:r>
      <w:r w:rsidRPr="005C4A0E">
        <w:rPr>
          <w:lang w:val="fr-FR"/>
        </w:rPr>
        <w:t xml:space="preserve"> - Émis par une antenne (actifs : RADAR) ou par les surfaces (passifs) - De plus en plus utilisés en océanographie et agriculture - Indépendants des conditions nuageuses (contrairement aux capteurs optiques)</w:t>
      </w:r>
    </w:p>
    <w:p w14:paraId="3417D6C7" w14:textId="77777777" w:rsidR="00F868FE" w:rsidRPr="005C4A0E" w:rsidRDefault="00000000" w:rsidP="005C4A0E">
      <w:pPr>
        <w:pStyle w:val="Titre3"/>
        <w:jc w:val="both"/>
        <w:rPr>
          <w:lang w:val="fr-FR"/>
        </w:rPr>
      </w:pPr>
      <w:bookmarkStart w:id="7" w:name="réponse-du-milieu-observé"/>
      <w:bookmarkEnd w:id="7"/>
      <w:r w:rsidRPr="005C4A0E">
        <w:rPr>
          <w:lang w:val="fr-FR"/>
        </w:rPr>
        <w:t>4.2 Réponse du Milieu Observé</w:t>
      </w:r>
    </w:p>
    <w:p w14:paraId="11975335" w14:textId="77777777" w:rsidR="00F868FE" w:rsidRPr="005C4A0E" w:rsidRDefault="00000000" w:rsidP="005C4A0E">
      <w:pPr>
        <w:pStyle w:val="Corpsdetexte"/>
        <w:jc w:val="both"/>
        <w:rPr>
          <w:lang w:val="fr-FR"/>
        </w:rPr>
      </w:pPr>
      <w:r w:rsidRPr="005C4A0E">
        <w:rPr>
          <w:lang w:val="fr-FR"/>
        </w:rPr>
        <w:t>Le milieu observé interagit avec le rayonnement incident selon quatre mécanismes principaux :</w:t>
      </w:r>
    </w:p>
    <w:p w14:paraId="755FD398" w14:textId="77777777" w:rsidR="00F868FE" w:rsidRPr="005C4A0E" w:rsidRDefault="00000000" w:rsidP="005C4A0E">
      <w:pPr>
        <w:pStyle w:val="Corpsdetexte"/>
        <w:jc w:val="both"/>
        <w:rPr>
          <w:lang w:val="fr-FR"/>
        </w:rPr>
      </w:pPr>
      <w:r w:rsidRPr="005C4A0E">
        <w:rPr>
          <w:rStyle w:val="StrongEmphasis"/>
          <w:lang w:val="fr-FR"/>
        </w:rPr>
        <w:t>1. Réflexion</w:t>
      </w:r>
      <w:r w:rsidRPr="005C4A0E">
        <w:rPr>
          <w:lang w:val="fr-FR"/>
        </w:rPr>
        <w:t xml:space="preserve"> - Les rayonnements sont renvoyés vers l’espace - Généralement diffuse (réflexion dans toutes les directions) - </w:t>
      </w:r>
      <w:r w:rsidRPr="005C4A0E">
        <w:rPr>
          <w:rStyle w:val="StrongEmphasis"/>
          <w:lang w:val="fr-FR"/>
        </w:rPr>
        <w:t>Réflectance</w:t>
      </w:r>
      <w:r w:rsidRPr="005C4A0E">
        <w:rPr>
          <w:lang w:val="fr-FR"/>
        </w:rPr>
        <w:t xml:space="preserve"> = rapport entre l’énergie réfléchie et l’énergie reçue - La réflectance varie selon la nature, la texture et la couleur des surfaces</w:t>
      </w:r>
    </w:p>
    <w:p w14:paraId="78456906" w14:textId="77777777" w:rsidR="00F868FE" w:rsidRPr="005C4A0E" w:rsidRDefault="00000000" w:rsidP="005C4A0E">
      <w:pPr>
        <w:pStyle w:val="Corpsdetexte"/>
        <w:jc w:val="both"/>
        <w:rPr>
          <w:lang w:val="fr-FR"/>
        </w:rPr>
      </w:pPr>
      <w:r w:rsidRPr="005C4A0E">
        <w:rPr>
          <w:rStyle w:val="StrongEmphasis"/>
          <w:lang w:val="fr-FR"/>
        </w:rPr>
        <w:t>2. Absorption</w:t>
      </w:r>
      <w:r w:rsidRPr="005C4A0E">
        <w:rPr>
          <w:lang w:val="fr-FR"/>
        </w:rPr>
        <w:t xml:space="preserve"> - Aptitude d’un corps à ne pas réfléchir les rayonnements reçus - L’énergie absorbée </w:t>
      </w:r>
      <w:r w:rsidRPr="005C4A0E">
        <w:rPr>
          <w:lang w:val="fr-FR"/>
        </w:rPr>
        <w:lastRenderedPageBreak/>
        <w:t xml:space="preserve">est transformée en chaleur - </w:t>
      </w:r>
      <w:r w:rsidRPr="005C4A0E">
        <w:rPr>
          <w:rStyle w:val="StrongEmphasis"/>
          <w:lang w:val="fr-FR"/>
        </w:rPr>
        <w:t>Absorptance</w:t>
      </w:r>
      <w:r w:rsidRPr="005C4A0E">
        <w:rPr>
          <w:lang w:val="fr-FR"/>
        </w:rPr>
        <w:t xml:space="preserve"> = rapport entre l’énergie absorbée et l’énergie reçue - Fondamentale pour la détection des propriétés des matériaux</w:t>
      </w:r>
    </w:p>
    <w:p w14:paraId="19DB004C" w14:textId="77777777" w:rsidR="00F868FE" w:rsidRPr="005C4A0E" w:rsidRDefault="00000000" w:rsidP="005C4A0E">
      <w:pPr>
        <w:pStyle w:val="Corpsdetexte"/>
        <w:jc w:val="both"/>
        <w:rPr>
          <w:lang w:val="fr-FR"/>
        </w:rPr>
      </w:pPr>
      <w:r w:rsidRPr="005C4A0E">
        <w:rPr>
          <w:rStyle w:val="StrongEmphasis"/>
          <w:lang w:val="fr-FR"/>
        </w:rPr>
        <w:t>3. Transmission</w:t>
      </w:r>
      <w:r w:rsidRPr="005C4A0E">
        <w:rPr>
          <w:lang w:val="fr-FR"/>
        </w:rPr>
        <w:t xml:space="preserve"> - Passage du rayonnement à travers un milieu - </w:t>
      </w:r>
      <w:r w:rsidRPr="005C4A0E">
        <w:rPr>
          <w:rStyle w:val="StrongEmphasis"/>
          <w:lang w:val="fr-FR"/>
        </w:rPr>
        <w:t>Transmittance</w:t>
      </w:r>
      <w:r w:rsidRPr="005C4A0E">
        <w:rPr>
          <w:lang w:val="fr-FR"/>
        </w:rPr>
        <w:t xml:space="preserve"> = rapport entre l’énergie transmise et l’énergie reçue - L’atmosphère affecte la transmission des rayonnements</w:t>
      </w:r>
    </w:p>
    <w:p w14:paraId="01A7137E" w14:textId="77777777" w:rsidR="00F868FE" w:rsidRPr="005C4A0E" w:rsidRDefault="00000000" w:rsidP="005C4A0E">
      <w:pPr>
        <w:pStyle w:val="Corpsdetexte"/>
        <w:jc w:val="both"/>
        <w:rPr>
          <w:lang w:val="fr-FR"/>
        </w:rPr>
      </w:pPr>
      <w:r w:rsidRPr="005C4A0E">
        <w:rPr>
          <w:rStyle w:val="StrongEmphasis"/>
          <w:lang w:val="fr-FR"/>
        </w:rPr>
        <w:t>4. Émission</w:t>
      </w:r>
      <w:r w:rsidRPr="005C4A0E">
        <w:rPr>
          <w:lang w:val="fr-FR"/>
        </w:rPr>
        <w:t xml:space="preserve"> - Rayonnement produit par l’objet lui-même - Proportional à sa température (loi de Planck) - Dominant dans l’infrarouge thermique</w:t>
      </w:r>
    </w:p>
    <w:p w14:paraId="01A37EE0" w14:textId="77777777" w:rsidR="00F868FE" w:rsidRPr="005C4A0E" w:rsidRDefault="00000000" w:rsidP="005C4A0E">
      <w:pPr>
        <w:pStyle w:val="Corpsdetexte"/>
        <w:jc w:val="both"/>
        <w:rPr>
          <w:lang w:val="fr-FR"/>
        </w:rPr>
      </w:pPr>
      <w:r w:rsidRPr="005C4A0E">
        <w:rPr>
          <w:rStyle w:val="StrongEmphasis"/>
          <w:lang w:val="fr-FR"/>
        </w:rPr>
        <w:t>Équation fondamentale :</w:t>
      </w:r>
      <w:r w:rsidRPr="005C4A0E">
        <w:rPr>
          <w:lang w:val="fr-FR"/>
        </w:rPr>
        <w:t xml:space="preserve"> </w:t>
      </w:r>
      <w:r w:rsidRPr="005C4A0E">
        <w:rPr>
          <w:lang w:val="fr-FR"/>
        </w:rPr>
        <w:br/>
      </w:r>
      <w:r w:rsidRPr="005C4A0E">
        <w:rPr>
          <w:rStyle w:val="Accentuation"/>
          <w:lang w:val="fr-FR"/>
        </w:rPr>
        <w:t>E</w:t>
      </w:r>
      <w:r w:rsidRPr="005C4A0E">
        <w:rPr>
          <w:rStyle w:val="Accentuation"/>
          <w:position w:val="-2"/>
          <w:sz w:val="19"/>
          <w:lang w:val="fr-FR"/>
        </w:rPr>
        <w:t>r</w:t>
      </w:r>
      <w:r w:rsidRPr="005C4A0E">
        <w:rPr>
          <w:lang w:val="fr-FR"/>
        </w:rPr>
        <w:t> = </w:t>
      </w:r>
      <w:r w:rsidRPr="005C4A0E">
        <w:rPr>
          <w:rStyle w:val="Accentuation"/>
          <w:lang w:val="fr-FR"/>
        </w:rPr>
        <w:t>r</w:t>
      </w:r>
      <w:r w:rsidRPr="005C4A0E">
        <w:rPr>
          <w:lang w:val="fr-FR"/>
        </w:rPr>
        <w:t> + </w:t>
      </w:r>
      <w:r w:rsidRPr="005C4A0E">
        <w:rPr>
          <w:rStyle w:val="Accentuation"/>
          <w:lang w:val="fr-FR"/>
        </w:rPr>
        <w:t>t</w:t>
      </w:r>
      <w:r w:rsidRPr="005C4A0E">
        <w:rPr>
          <w:lang w:val="fr-FR"/>
        </w:rPr>
        <w:t> + </w:t>
      </w:r>
      <w:r w:rsidRPr="005C4A0E">
        <w:rPr>
          <w:rStyle w:val="Accentuation"/>
          <w:lang w:val="fr-FR"/>
        </w:rPr>
        <w:t>a</w:t>
      </w:r>
    </w:p>
    <w:p w14:paraId="78471065" w14:textId="77777777" w:rsidR="00F868FE" w:rsidRPr="005C4A0E" w:rsidRDefault="00000000" w:rsidP="005C4A0E">
      <w:pPr>
        <w:pStyle w:val="Corpsdetexte"/>
        <w:jc w:val="both"/>
        <w:rPr>
          <w:lang w:val="fr-FR"/>
        </w:rPr>
      </w:pPr>
      <w:r w:rsidRPr="005C4A0E">
        <w:rPr>
          <w:lang w:val="fr-FR"/>
        </w:rPr>
        <w:t xml:space="preserve">où : - </w:t>
      </w:r>
      <w:r w:rsidRPr="005C4A0E">
        <w:rPr>
          <w:rStyle w:val="Accentuation"/>
          <w:lang w:val="fr-FR"/>
        </w:rPr>
        <w:t>E</w:t>
      </w:r>
      <w:r w:rsidRPr="005C4A0E">
        <w:rPr>
          <w:rStyle w:val="Accentuation"/>
          <w:position w:val="-2"/>
          <w:sz w:val="19"/>
          <w:lang w:val="fr-FR"/>
        </w:rPr>
        <w:t>r</w:t>
      </w:r>
      <w:r w:rsidRPr="005C4A0E">
        <w:rPr>
          <w:lang w:val="fr-FR"/>
        </w:rPr>
        <w:t xml:space="preserve"> = énergie reçue - </w:t>
      </w:r>
      <w:r w:rsidRPr="005C4A0E">
        <w:rPr>
          <w:rStyle w:val="Accentuation"/>
          <w:lang w:val="fr-FR"/>
        </w:rPr>
        <w:t>r</w:t>
      </w:r>
      <w:r w:rsidRPr="005C4A0E">
        <w:rPr>
          <w:lang w:val="fr-FR"/>
        </w:rPr>
        <w:t xml:space="preserve"> = énergie réfléchie - </w:t>
      </w:r>
      <w:r w:rsidRPr="005C4A0E">
        <w:rPr>
          <w:rStyle w:val="Accentuation"/>
          <w:lang w:val="fr-FR"/>
        </w:rPr>
        <w:t>t</w:t>
      </w:r>
      <w:r w:rsidRPr="005C4A0E">
        <w:rPr>
          <w:lang w:val="fr-FR"/>
        </w:rPr>
        <w:t xml:space="preserve"> = énergie transmise - </w:t>
      </w:r>
      <w:r w:rsidRPr="005C4A0E">
        <w:rPr>
          <w:rStyle w:val="Accentuation"/>
          <w:lang w:val="fr-FR"/>
        </w:rPr>
        <w:t>a</w:t>
      </w:r>
      <w:r w:rsidRPr="005C4A0E">
        <w:rPr>
          <w:lang w:val="fr-FR"/>
        </w:rPr>
        <w:t xml:space="preserve"> = énergie absorbée</w:t>
      </w:r>
    </w:p>
    <w:p w14:paraId="594CE0CC" w14:textId="77777777" w:rsidR="00F868FE" w:rsidRPr="005C4A0E" w:rsidRDefault="00000000" w:rsidP="005C4A0E">
      <w:pPr>
        <w:pStyle w:val="Titre2"/>
        <w:jc w:val="both"/>
        <w:rPr>
          <w:lang w:val="fr-FR"/>
        </w:rPr>
      </w:pPr>
      <w:bookmarkStart w:id="8" w:name="acquisition-des-données-en-télédétection"/>
      <w:bookmarkEnd w:id="8"/>
      <w:r w:rsidRPr="005C4A0E">
        <w:rPr>
          <w:lang w:val="fr-FR"/>
        </w:rPr>
        <w:t>5. Acquisition des Données en Télédétection</w:t>
      </w:r>
    </w:p>
    <w:p w14:paraId="7558C534" w14:textId="77777777" w:rsidR="00F868FE" w:rsidRPr="005C4A0E" w:rsidRDefault="00000000" w:rsidP="005C4A0E">
      <w:pPr>
        <w:pStyle w:val="Titre3"/>
        <w:jc w:val="both"/>
        <w:rPr>
          <w:lang w:val="fr-FR"/>
        </w:rPr>
      </w:pPr>
      <w:bookmarkStart w:id="9" w:name="types-de-capteurs"/>
      <w:bookmarkEnd w:id="9"/>
      <w:r w:rsidRPr="005C4A0E">
        <w:rPr>
          <w:lang w:val="fr-FR"/>
        </w:rPr>
        <w:t>5.1 Types de Capteurs</w:t>
      </w:r>
    </w:p>
    <w:p w14:paraId="69924696" w14:textId="77777777" w:rsidR="00F868FE" w:rsidRPr="005C4A0E" w:rsidRDefault="00000000" w:rsidP="005C4A0E">
      <w:pPr>
        <w:pStyle w:val="Corpsdetexte"/>
        <w:jc w:val="both"/>
        <w:rPr>
          <w:lang w:val="fr-FR"/>
        </w:rPr>
      </w:pPr>
      <w:r w:rsidRPr="005C4A0E">
        <w:rPr>
          <w:rStyle w:val="StrongEmphasis"/>
          <w:lang w:val="fr-FR"/>
        </w:rPr>
        <w:t>Capteurs Passifs</w:t>
      </w:r>
      <w:r w:rsidRPr="005C4A0E">
        <w:rPr>
          <w:lang w:val="fr-FR"/>
        </w:rPr>
        <w:t xml:space="preserve"> - Recueillent le rayonnement naturel en provenance de l’objet - L’émetteur principal est le soleil - Exemples : radiomètres, caméras, spectromètres - Limitès par les conditions d’illumination solaire et la couverture nuageuse</w:t>
      </w:r>
    </w:p>
    <w:p w14:paraId="2BAADB82" w14:textId="77777777" w:rsidR="00F868FE" w:rsidRPr="005C4A0E" w:rsidRDefault="00000000" w:rsidP="005C4A0E">
      <w:pPr>
        <w:pStyle w:val="Corpsdetexte"/>
        <w:jc w:val="both"/>
        <w:rPr>
          <w:lang w:val="fr-FR"/>
        </w:rPr>
      </w:pPr>
      <w:r w:rsidRPr="005C4A0E">
        <w:rPr>
          <w:rStyle w:val="StrongEmphasis"/>
          <w:lang w:val="fr-FR"/>
        </w:rPr>
        <w:t>Capteurs Actifs</w:t>
      </w:r>
      <w:r w:rsidRPr="005C4A0E">
        <w:rPr>
          <w:lang w:val="fr-FR"/>
        </w:rPr>
        <w:t xml:space="preserve"> - Comprennent à la fois un émetteur et un récepteur de rayonnement électromagnétique - Observent l’objet indépendamment d’une source naturelle - Exemples : RADAR, LIDAR (Light Detection And Ranging) - Fonctionnent jour et nuit, traversent les nuages</w:t>
      </w:r>
    </w:p>
    <w:p w14:paraId="54B3DD19" w14:textId="77777777" w:rsidR="00F868FE" w:rsidRPr="005C4A0E" w:rsidRDefault="00000000" w:rsidP="005C4A0E">
      <w:pPr>
        <w:pStyle w:val="Titre3"/>
        <w:jc w:val="both"/>
        <w:rPr>
          <w:lang w:val="fr-FR"/>
        </w:rPr>
      </w:pPr>
      <w:bookmarkStart w:id="10" w:name="caractéristiques-des-capteurs"/>
      <w:bookmarkEnd w:id="10"/>
      <w:r w:rsidRPr="005C4A0E">
        <w:rPr>
          <w:lang w:val="fr-FR"/>
        </w:rPr>
        <w:t>5.2 Caractéristiques des Capteurs</w:t>
      </w:r>
    </w:p>
    <w:p w14:paraId="1335DDE1" w14:textId="77777777" w:rsidR="00F868FE" w:rsidRPr="005C4A0E" w:rsidRDefault="00000000" w:rsidP="005C4A0E">
      <w:pPr>
        <w:pStyle w:val="Corpsdetexte"/>
        <w:jc w:val="both"/>
        <w:rPr>
          <w:lang w:val="fr-FR"/>
        </w:rPr>
      </w:pPr>
      <w:r w:rsidRPr="005C4A0E">
        <w:rPr>
          <w:lang w:val="fr-FR"/>
        </w:rPr>
        <w:t>Chaque capteur est caractérisé par trois résolutions principales :</w:t>
      </w:r>
    </w:p>
    <w:p w14:paraId="148DB365" w14:textId="77777777" w:rsidR="00F868FE" w:rsidRPr="005C4A0E" w:rsidRDefault="00000000" w:rsidP="005C4A0E">
      <w:pPr>
        <w:pStyle w:val="Corpsdetexte"/>
        <w:jc w:val="both"/>
        <w:rPr>
          <w:lang w:val="fr-FR"/>
        </w:rPr>
      </w:pPr>
      <w:r w:rsidRPr="005C4A0E">
        <w:rPr>
          <w:rStyle w:val="StrongEmphasis"/>
          <w:lang w:val="fr-FR"/>
        </w:rPr>
        <w:t>1. Résolution Spatiale</w:t>
      </w:r>
      <w:r w:rsidRPr="005C4A0E">
        <w:rPr>
          <w:lang w:val="fr-FR"/>
        </w:rPr>
        <w:t xml:space="preserve"> - Dimension du pixel au sol - Taille de la zone couverte par un pixel - Détermine le niveau de détail observable - Exemples : Landsat (30 m), Sentinel-2 (10 m), Ikonos (1 m)</w:t>
      </w:r>
    </w:p>
    <w:p w14:paraId="1B27D514" w14:textId="77777777" w:rsidR="00F868FE" w:rsidRPr="005C4A0E" w:rsidRDefault="00000000" w:rsidP="005C4A0E">
      <w:pPr>
        <w:pStyle w:val="Corpsdetexte"/>
        <w:jc w:val="both"/>
        <w:rPr>
          <w:lang w:val="fr-FR"/>
        </w:rPr>
      </w:pPr>
      <w:r w:rsidRPr="005C4A0E">
        <w:rPr>
          <w:rStyle w:val="StrongEmphasis"/>
          <w:lang w:val="fr-FR"/>
        </w:rPr>
        <w:t>2. Résolution Spectrale</w:t>
      </w:r>
      <w:r w:rsidRPr="005C4A0E">
        <w:rPr>
          <w:lang w:val="fr-FR"/>
        </w:rPr>
        <w:t xml:space="preserve"> - Aptitude du capteur à distinguer des rayonnements électromagnétiques de fréquences différentes - Nombre et largeur des bandes spectrales - Plus la résolution spectrale est fine, plus la finesse de séparation des longueurs d’onde proches est élevée - Capteurs multispect raux (quelques bandes), hyperspectral (centaines de bandes)</w:t>
      </w:r>
    </w:p>
    <w:p w14:paraId="62261A42" w14:textId="77777777" w:rsidR="00F868FE" w:rsidRPr="005C4A0E" w:rsidRDefault="00000000" w:rsidP="005C4A0E">
      <w:pPr>
        <w:pStyle w:val="Corpsdetexte"/>
        <w:jc w:val="both"/>
        <w:rPr>
          <w:lang w:val="fr-FR"/>
        </w:rPr>
      </w:pPr>
      <w:r w:rsidRPr="005C4A0E">
        <w:rPr>
          <w:rStyle w:val="StrongEmphasis"/>
          <w:lang w:val="fr-FR"/>
        </w:rPr>
        <w:t>3. Résolution Radiométrique</w:t>
      </w:r>
      <w:r w:rsidRPr="005C4A0E">
        <w:rPr>
          <w:lang w:val="fr-FR"/>
        </w:rPr>
        <w:t xml:space="preserve"> - Distinction de la quantité d’énergie captée - Exprimée en nombre de bits (8 bits = 256 niveaux, 12 bits = 4096 niveaux) - Limite : plus petite variation d’énergie décelable - Importante pour la détection des différences subtiles</w:t>
      </w:r>
    </w:p>
    <w:p w14:paraId="6ACA4671" w14:textId="77777777" w:rsidR="00F868FE" w:rsidRPr="005C4A0E" w:rsidRDefault="00000000" w:rsidP="005C4A0E">
      <w:pPr>
        <w:pStyle w:val="Corpsdetexte"/>
        <w:jc w:val="both"/>
        <w:rPr>
          <w:lang w:val="fr-FR"/>
        </w:rPr>
      </w:pPr>
      <w:r w:rsidRPr="005C4A0E">
        <w:rPr>
          <w:rStyle w:val="StrongEmphasis"/>
          <w:lang w:val="fr-FR"/>
        </w:rPr>
        <w:t>4. Résolution Temporelle</w:t>
      </w:r>
      <w:r w:rsidRPr="005C4A0E">
        <w:rPr>
          <w:lang w:val="fr-FR"/>
        </w:rPr>
        <w:t xml:space="preserve"> - Fréquence de passage du satellite sur une même zone - Cycle orbital (p.ex., Landsat : 16 jours) - Essentielle pour le suivi multi-temporel des cultures</w:t>
      </w:r>
    </w:p>
    <w:p w14:paraId="6CFD4F8A" w14:textId="77777777" w:rsidR="00F868FE" w:rsidRPr="005C4A0E" w:rsidRDefault="00000000" w:rsidP="005C4A0E">
      <w:pPr>
        <w:pStyle w:val="Titre3"/>
        <w:jc w:val="both"/>
        <w:rPr>
          <w:lang w:val="fr-FR"/>
        </w:rPr>
      </w:pPr>
      <w:bookmarkStart w:id="11" w:name="plateformes-de-télédétection"/>
      <w:bookmarkEnd w:id="11"/>
      <w:r w:rsidRPr="005C4A0E">
        <w:rPr>
          <w:lang w:val="fr-FR"/>
        </w:rPr>
        <w:t>5.3 Plateformes de Télédétection</w:t>
      </w:r>
    </w:p>
    <w:p w14:paraId="4CE14FF4" w14:textId="77777777" w:rsidR="00F868FE" w:rsidRPr="005C4A0E" w:rsidRDefault="00000000" w:rsidP="005C4A0E">
      <w:pPr>
        <w:pStyle w:val="Corpsdetexte"/>
        <w:jc w:val="both"/>
        <w:rPr>
          <w:lang w:val="fr-FR"/>
        </w:rPr>
      </w:pPr>
      <w:r w:rsidRPr="005C4A0E">
        <w:rPr>
          <w:lang w:val="fr-FR"/>
        </w:rPr>
        <w:t>Les plateformes peuvent être classées selon leur altitude d’opération :</w:t>
      </w:r>
    </w:p>
    <w:p w14:paraId="7AC50FFD" w14:textId="77777777" w:rsidR="00F868FE" w:rsidRPr="005C4A0E" w:rsidRDefault="00000000" w:rsidP="005C4A0E">
      <w:pPr>
        <w:pStyle w:val="Corpsdetexte"/>
        <w:jc w:val="both"/>
        <w:rPr>
          <w:lang w:val="fr-FR"/>
        </w:rPr>
      </w:pPr>
      <w:r w:rsidRPr="005C4A0E">
        <w:rPr>
          <w:rStyle w:val="StrongEmphasis"/>
          <w:lang w:val="fr-FR"/>
        </w:rPr>
        <w:t>1. Plate-formes terrestres (quelques mètres)</w:t>
      </w:r>
      <w:r w:rsidRPr="005C4A0E">
        <w:rPr>
          <w:lang w:val="fr-FR"/>
        </w:rPr>
        <w:t xml:space="preserve"> - Grues, véhicules équipés de radiomètres ou appareils photographiques - Capteurs très précis pour des zones restreintes</w:t>
      </w:r>
    </w:p>
    <w:p w14:paraId="750360A2" w14:textId="77777777" w:rsidR="00F868FE" w:rsidRPr="005C4A0E" w:rsidRDefault="00000000" w:rsidP="005C4A0E">
      <w:pPr>
        <w:pStyle w:val="Corpsdetexte"/>
        <w:jc w:val="both"/>
        <w:rPr>
          <w:lang w:val="fr-FR"/>
        </w:rPr>
      </w:pPr>
      <w:r w:rsidRPr="005C4A0E">
        <w:rPr>
          <w:rStyle w:val="StrongEmphasis"/>
          <w:lang w:val="fr-FR"/>
        </w:rPr>
        <w:t>2. Plate-formes aériennes (10 m à 10 km)</w:t>
      </w:r>
      <w:r w:rsidRPr="005C4A0E">
        <w:rPr>
          <w:lang w:val="fr-FR"/>
        </w:rPr>
        <w:t xml:space="preserve"> - Avions, ballons, hélicoptères, drones (UAS) - Résolution spatiale excellente (quelques cm à quelques m) - Flexibilité d’acquisition selon les besoins - Les drones deviennent essentiels en agriculture de précision</w:t>
      </w:r>
    </w:p>
    <w:p w14:paraId="1D9F0D48" w14:textId="77777777" w:rsidR="00F868FE" w:rsidRPr="005C4A0E" w:rsidRDefault="00000000" w:rsidP="005C4A0E">
      <w:pPr>
        <w:pStyle w:val="Corpsdetexte"/>
        <w:jc w:val="both"/>
        <w:rPr>
          <w:lang w:val="fr-FR"/>
        </w:rPr>
      </w:pPr>
      <w:r w:rsidRPr="005C4A0E">
        <w:rPr>
          <w:rStyle w:val="StrongEmphasis"/>
          <w:lang w:val="fr-FR"/>
        </w:rPr>
        <w:t>3. Plate-formes stratosphériques (10 à 100 km)</w:t>
      </w:r>
      <w:r w:rsidRPr="005C4A0E">
        <w:rPr>
          <w:lang w:val="fr-FR"/>
        </w:rPr>
        <w:t xml:space="preserve"> - Ballons stratosphériques - Couverture intermédiaire</w:t>
      </w:r>
    </w:p>
    <w:p w14:paraId="79CD4251" w14:textId="77777777" w:rsidR="00F868FE" w:rsidRPr="005C4A0E" w:rsidRDefault="00000000" w:rsidP="005C4A0E">
      <w:pPr>
        <w:pStyle w:val="Corpsdetexte"/>
        <w:jc w:val="both"/>
        <w:rPr>
          <w:lang w:val="fr-FR"/>
        </w:rPr>
      </w:pPr>
      <w:r w:rsidRPr="005C4A0E">
        <w:rPr>
          <w:rStyle w:val="StrongEmphasis"/>
          <w:lang w:val="fr-FR"/>
        </w:rPr>
        <w:lastRenderedPageBreak/>
        <w:t>4. Plate-formes spatiales (200 à 40 000 km)</w:t>
      </w:r>
      <w:r w:rsidRPr="005C4A0E">
        <w:rPr>
          <w:lang w:val="fr-FR"/>
        </w:rPr>
        <w:t xml:space="preserve"> - Satellites orbitaux soumis à l’attraction terrestre - Couverture globale et répétitive - Données standardisées</w:t>
      </w:r>
    </w:p>
    <w:p w14:paraId="52762259" w14:textId="77777777" w:rsidR="00F868FE" w:rsidRPr="005C4A0E" w:rsidRDefault="00000000" w:rsidP="005C4A0E">
      <w:pPr>
        <w:pStyle w:val="Titre3"/>
        <w:jc w:val="both"/>
        <w:rPr>
          <w:lang w:val="fr-FR"/>
        </w:rPr>
      </w:pPr>
      <w:bookmarkStart w:id="12" w:name="orbites-des-satellites"/>
      <w:bookmarkEnd w:id="12"/>
      <w:r w:rsidRPr="005C4A0E">
        <w:rPr>
          <w:lang w:val="fr-FR"/>
        </w:rPr>
        <w:t>5.4 Orbites des Satellites</w:t>
      </w:r>
    </w:p>
    <w:p w14:paraId="1910932A" w14:textId="77777777" w:rsidR="00F868FE" w:rsidRPr="005C4A0E" w:rsidRDefault="00000000" w:rsidP="005C4A0E">
      <w:pPr>
        <w:pStyle w:val="Corpsdetexte"/>
        <w:jc w:val="both"/>
        <w:rPr>
          <w:lang w:val="fr-FR"/>
        </w:rPr>
      </w:pPr>
      <w:r w:rsidRPr="005C4A0E">
        <w:rPr>
          <w:rStyle w:val="StrongEmphasis"/>
          <w:lang w:val="fr-FR"/>
        </w:rPr>
        <w:t>Orbite Héliosynchrone</w:t>
      </w:r>
      <w:r w:rsidRPr="005C4A0E">
        <w:rPr>
          <w:lang w:val="fr-FR"/>
        </w:rPr>
        <w:t xml:space="preserve"> - Le satellite passe toujours à la même heure solaire locale en un même point de la Terre - Le plan orbital reste fixe par rapport au plan orbital terrestre - Exemples : Landsat, SPOT, Sentinel - Avantage : conditions d’illumination constantes</w:t>
      </w:r>
    </w:p>
    <w:p w14:paraId="2BEA7C23" w14:textId="77777777" w:rsidR="00F868FE" w:rsidRPr="005C4A0E" w:rsidRDefault="00000000" w:rsidP="005C4A0E">
      <w:pPr>
        <w:pStyle w:val="Corpsdetexte"/>
        <w:jc w:val="both"/>
        <w:rPr>
          <w:lang w:val="fr-FR"/>
        </w:rPr>
      </w:pPr>
      <w:r w:rsidRPr="005C4A0E">
        <w:rPr>
          <w:rStyle w:val="StrongEmphasis"/>
          <w:lang w:val="fr-FR"/>
        </w:rPr>
        <w:t>Orbite Géostationnaire</w:t>
      </w:r>
      <w:r w:rsidRPr="005C4A0E">
        <w:rPr>
          <w:lang w:val="fr-FR"/>
        </w:rPr>
        <w:t xml:space="preserve"> - Le satellite reste fixe au-dessus d’un point de l’équateur - Altitude : 35 800 km - Résolution spatiale plus faible mais couverture continue - Exemples : METEOSAT (météorologie)</w:t>
      </w:r>
    </w:p>
    <w:p w14:paraId="5DA9284C" w14:textId="77777777" w:rsidR="00F868FE" w:rsidRPr="005C4A0E" w:rsidRDefault="00000000" w:rsidP="005C4A0E">
      <w:pPr>
        <w:pStyle w:val="Titre3"/>
        <w:jc w:val="both"/>
        <w:rPr>
          <w:lang w:val="fr-FR"/>
        </w:rPr>
      </w:pPr>
      <w:bookmarkStart w:id="13" w:name="principaux-satellites-dobservation-terre"/>
      <w:bookmarkEnd w:id="13"/>
      <w:r w:rsidRPr="005C4A0E">
        <w:rPr>
          <w:lang w:val="fr-FR"/>
        </w:rPr>
        <w:t>5.5 Principaux Satellites d’Observation Terrestre</w:t>
      </w:r>
    </w:p>
    <w:p w14:paraId="3D7BE6CB" w14:textId="77777777" w:rsidR="00F868FE" w:rsidRPr="005C4A0E" w:rsidRDefault="00000000" w:rsidP="005C4A0E">
      <w:pPr>
        <w:pStyle w:val="Corpsdetexte"/>
        <w:jc w:val="both"/>
        <w:rPr>
          <w:lang w:val="fr-FR"/>
        </w:rPr>
      </w:pPr>
      <w:r w:rsidRPr="005C4A0E">
        <w:rPr>
          <w:rStyle w:val="StrongEmphasis"/>
          <w:lang w:val="fr-FR"/>
        </w:rPr>
        <w:t>Série Landsat (depuis 1972)</w:t>
      </w:r>
      <w:r w:rsidRPr="005C4A0E">
        <w:rPr>
          <w:lang w:val="fr-FR"/>
        </w:rPr>
        <w:t xml:space="preserve"> - Landsat 1-3 : Résolution 80 m (MSS), 1972-1978 - Landsat 4-5 : Résolution 30 m (TM), 1982-2013 - Landsat 7 : 7 bandes + panchromatique 15 m, 1999-présent - Landsat 8/9 : Résolution 30 m (OLI), 2013-présent - Cycle orbital : 16 jours - Altitude : 705 km - Fauchée (largeur) : 185 km</w:t>
      </w:r>
    </w:p>
    <w:p w14:paraId="5551C4E6" w14:textId="77777777" w:rsidR="00F868FE" w:rsidRPr="005C4A0E" w:rsidRDefault="00000000" w:rsidP="005C4A0E">
      <w:pPr>
        <w:pStyle w:val="Corpsdetexte"/>
        <w:jc w:val="both"/>
        <w:rPr>
          <w:lang w:val="fr-FR"/>
        </w:rPr>
      </w:pPr>
      <w:r w:rsidRPr="005C4A0E">
        <w:rPr>
          <w:rStyle w:val="StrongEmphasis"/>
          <w:lang w:val="fr-FR"/>
        </w:rPr>
        <w:t>Série SPOT (France, depuis 1986)</w:t>
      </w:r>
      <w:r w:rsidRPr="005C4A0E">
        <w:rPr>
          <w:lang w:val="fr-FR"/>
        </w:rPr>
        <w:t xml:space="preserve"> - Résolution : 10-20 m (multispectrale), 10 m (panchromatique) - Cycle orbital : 26 jours (ou 1-5 jours avec repositionnement) - Altitude : 830 km - Avantage : haute résolution pour applications agronomiques</w:t>
      </w:r>
    </w:p>
    <w:p w14:paraId="3CFB8C83" w14:textId="77777777" w:rsidR="00F868FE" w:rsidRPr="005C4A0E" w:rsidRDefault="00000000" w:rsidP="005C4A0E">
      <w:pPr>
        <w:pStyle w:val="Corpsdetexte"/>
        <w:jc w:val="both"/>
        <w:rPr>
          <w:lang w:val="fr-FR"/>
        </w:rPr>
      </w:pPr>
      <w:r w:rsidRPr="005C4A0E">
        <w:rPr>
          <w:rStyle w:val="StrongEmphasis"/>
          <w:lang w:val="fr-FR"/>
        </w:rPr>
        <w:t>Sentinel (ESA, depuis 2015)</w:t>
      </w:r>
      <w:r w:rsidRPr="005C4A0E">
        <w:rPr>
          <w:lang w:val="fr-FR"/>
        </w:rPr>
        <w:t xml:space="preserve"> - Sentinel-2 : 10-60 m de résolution, 13 bandes spectrales - Cycle orbital : 10 jours (deux satellites) - Accès gratuit aux données - Idéal pour le suivi agronomique détaillé</w:t>
      </w:r>
    </w:p>
    <w:p w14:paraId="194A5914" w14:textId="77777777" w:rsidR="00F868FE" w:rsidRPr="005C4A0E" w:rsidRDefault="00000000" w:rsidP="005C4A0E">
      <w:pPr>
        <w:pStyle w:val="Corpsdetexte"/>
        <w:jc w:val="both"/>
        <w:rPr>
          <w:lang w:val="fr-FR"/>
        </w:rPr>
      </w:pPr>
      <w:r w:rsidRPr="005C4A0E">
        <w:rPr>
          <w:rStyle w:val="StrongEmphasis"/>
          <w:lang w:val="fr-FR"/>
        </w:rPr>
        <w:t>Ikonos, QuickBird (résolution très fine)</w:t>
      </w:r>
      <w:r w:rsidRPr="005C4A0E">
        <w:rPr>
          <w:lang w:val="fr-FR"/>
        </w:rPr>
        <w:t xml:space="preserve"> - Résolution : 1 m (panchromatique), 4 m (multispectral) - Excellente pour le suivi agronomique à très fine échelle - Données commerciales</w:t>
      </w:r>
    </w:p>
    <w:p w14:paraId="544825C9" w14:textId="77777777" w:rsidR="00F868FE" w:rsidRPr="005C4A0E" w:rsidRDefault="00000000" w:rsidP="005C4A0E">
      <w:pPr>
        <w:pStyle w:val="Titre2"/>
        <w:jc w:val="both"/>
        <w:rPr>
          <w:lang w:val="fr-FR"/>
        </w:rPr>
      </w:pPr>
      <w:bookmarkStart w:id="14" w:name="signature-spectrale-dun-objet"/>
      <w:bookmarkEnd w:id="14"/>
      <w:r w:rsidRPr="005C4A0E">
        <w:rPr>
          <w:lang w:val="fr-FR"/>
        </w:rPr>
        <w:t>6. Signature Spectrale d’un Objet</w:t>
      </w:r>
    </w:p>
    <w:p w14:paraId="6EDE81D5" w14:textId="77777777" w:rsidR="00F868FE" w:rsidRPr="005C4A0E" w:rsidRDefault="00000000" w:rsidP="005C4A0E">
      <w:pPr>
        <w:pStyle w:val="Corpsdetexte"/>
        <w:jc w:val="both"/>
        <w:rPr>
          <w:lang w:val="fr-FR"/>
        </w:rPr>
      </w:pPr>
      <w:r w:rsidRPr="005C4A0E">
        <w:rPr>
          <w:lang w:val="fr-FR"/>
        </w:rPr>
        <w:t xml:space="preserve">La </w:t>
      </w:r>
      <w:r w:rsidRPr="005C4A0E">
        <w:rPr>
          <w:rStyle w:val="StrongEmphasis"/>
          <w:lang w:val="fr-FR"/>
        </w:rPr>
        <w:t>signature spectrale</w:t>
      </w:r>
      <w:r w:rsidRPr="005C4A0E">
        <w:rPr>
          <w:lang w:val="fr-FR"/>
        </w:rPr>
        <w:t xml:space="preserve"> est le profil d’intensité du rayonnement réfléchi ou émis par un objet en fonction de la longueur d’onde. C’est une caractéristique distinctive de chaque type de surface.</w:t>
      </w:r>
    </w:p>
    <w:p w14:paraId="6927C535" w14:textId="77777777" w:rsidR="00F868FE" w:rsidRPr="005C4A0E" w:rsidRDefault="00000000" w:rsidP="005C4A0E">
      <w:pPr>
        <w:pStyle w:val="Titre3"/>
        <w:jc w:val="both"/>
        <w:rPr>
          <w:lang w:val="fr-FR"/>
        </w:rPr>
      </w:pPr>
      <w:bookmarkStart w:id="15" w:name="courbes-de-réflectance-spectrale"/>
      <w:bookmarkEnd w:id="15"/>
      <w:r w:rsidRPr="005C4A0E">
        <w:rPr>
          <w:lang w:val="fr-FR"/>
        </w:rPr>
        <w:t>Courbes de Réflectance Spectrale</w:t>
      </w:r>
    </w:p>
    <w:p w14:paraId="35C573C5" w14:textId="77777777" w:rsidR="00F868FE" w:rsidRPr="005C4A0E" w:rsidRDefault="00000000" w:rsidP="005C4A0E">
      <w:pPr>
        <w:pStyle w:val="Corpsdetexte"/>
        <w:jc w:val="both"/>
        <w:rPr>
          <w:lang w:val="fr-FR"/>
        </w:rPr>
      </w:pPr>
      <w:r w:rsidRPr="005C4A0E">
        <w:rPr>
          <w:rStyle w:val="StrongEmphasis"/>
          <w:lang w:val="fr-FR"/>
        </w:rPr>
        <w:t>Végétation saine</w:t>
      </w:r>
      <w:r w:rsidRPr="005C4A0E">
        <w:rPr>
          <w:lang w:val="fr-FR"/>
        </w:rPr>
        <w:t xml:space="preserve"> - Absorption forte dans le visible (bleu et rouge) due à la chlorophylle - Pic faible dans le vert (≈0,55 µm) : apparence verte à l’œil humain - </w:t>
      </w:r>
      <w:r w:rsidRPr="005C4A0E">
        <w:rPr>
          <w:rStyle w:val="StrongEmphasis"/>
          <w:lang w:val="fr-FR"/>
        </w:rPr>
        <w:t>Saut spectral</w:t>
      </w:r>
      <w:r w:rsidRPr="005C4A0E">
        <w:rPr>
          <w:lang w:val="fr-FR"/>
        </w:rPr>
        <w:t xml:space="preserve"> (reflectance) à 0,7 µm : transition brutale au proche infrarouge - Entre 0,7 et 1,3 µm : réflectance très élevée (40-50%) - Cette différence est utilisée pour les indices de végétation (NDVI)</w:t>
      </w:r>
    </w:p>
    <w:p w14:paraId="72F72D85" w14:textId="77777777" w:rsidR="00F868FE" w:rsidRPr="005C4A0E" w:rsidRDefault="00000000" w:rsidP="005C4A0E">
      <w:pPr>
        <w:pStyle w:val="Corpsdetexte"/>
        <w:jc w:val="both"/>
        <w:rPr>
          <w:lang w:val="fr-FR"/>
        </w:rPr>
      </w:pPr>
      <w:r w:rsidRPr="005C4A0E">
        <w:rPr>
          <w:rStyle w:val="StrongEmphasis"/>
          <w:lang w:val="fr-FR"/>
        </w:rPr>
        <w:t>Végétation stressée (malade, desséchée)</w:t>
      </w:r>
      <w:r w:rsidRPr="005C4A0E">
        <w:rPr>
          <w:lang w:val="fr-FR"/>
        </w:rPr>
        <w:t xml:space="preserve"> - Réduction de la chlorophylle - Réflectance accrue dans le rouge (feuilles jaunes/oranges) - Réflectance réduite dans le proche infrarouge - Permet la détection du stress hydrique ou des maladies</w:t>
      </w:r>
    </w:p>
    <w:p w14:paraId="0F9A492C" w14:textId="77777777" w:rsidR="00F868FE" w:rsidRPr="005C4A0E" w:rsidRDefault="00000000" w:rsidP="005C4A0E">
      <w:pPr>
        <w:pStyle w:val="Corpsdetexte"/>
        <w:jc w:val="both"/>
        <w:rPr>
          <w:lang w:val="fr-FR"/>
        </w:rPr>
      </w:pPr>
      <w:r w:rsidRPr="005C4A0E">
        <w:rPr>
          <w:rStyle w:val="StrongEmphasis"/>
          <w:lang w:val="fr-FR"/>
        </w:rPr>
        <w:t>Sol nu</w:t>
      </w:r>
      <w:r w:rsidRPr="005C4A0E">
        <w:rPr>
          <w:lang w:val="fr-FR"/>
        </w:rPr>
        <w:t xml:space="preserve"> - Réflectance progressive du bleu au proche infrarouge - Peu de “saut spectral” - Réflectance dépend de l’humidité, la couleur, la texture et la composition - Souvent utilisé comme référence</w:t>
      </w:r>
    </w:p>
    <w:p w14:paraId="2CF5C838" w14:textId="77777777" w:rsidR="00F868FE" w:rsidRPr="005C4A0E" w:rsidRDefault="00000000" w:rsidP="005C4A0E">
      <w:pPr>
        <w:pStyle w:val="Corpsdetexte"/>
        <w:jc w:val="both"/>
        <w:rPr>
          <w:lang w:val="fr-FR"/>
        </w:rPr>
      </w:pPr>
      <w:r w:rsidRPr="005C4A0E">
        <w:rPr>
          <w:rStyle w:val="StrongEmphasis"/>
          <w:lang w:val="fr-FR"/>
        </w:rPr>
        <w:t>Surface en eau</w:t>
      </w:r>
      <w:r w:rsidRPr="005C4A0E">
        <w:rPr>
          <w:lang w:val="fr-FR"/>
        </w:rPr>
        <w:t xml:space="preserve"> - Absorption très forte dans toutes les bandes - Réflectance très faible (négative en indices de végétation) - Apparence très sombre sur les images</w:t>
      </w:r>
    </w:p>
    <w:p w14:paraId="6C0EDEC3" w14:textId="77777777" w:rsidR="00F868FE" w:rsidRPr="005C4A0E" w:rsidRDefault="00000000" w:rsidP="005C4A0E">
      <w:pPr>
        <w:pStyle w:val="Titre2"/>
        <w:jc w:val="both"/>
        <w:rPr>
          <w:lang w:val="fr-FR"/>
        </w:rPr>
      </w:pPr>
      <w:bookmarkStart w:id="16" w:name="résolutions-dune-image-satellite"/>
      <w:bookmarkEnd w:id="16"/>
      <w:r w:rsidRPr="005C4A0E">
        <w:rPr>
          <w:lang w:val="fr-FR"/>
        </w:rPr>
        <w:t>7. Résolutions d’une Image Satellite</w:t>
      </w:r>
    </w:p>
    <w:p w14:paraId="1184D78D" w14:textId="77777777" w:rsidR="00F868FE" w:rsidRPr="005C4A0E" w:rsidRDefault="00000000" w:rsidP="005C4A0E">
      <w:pPr>
        <w:pStyle w:val="Titre3"/>
        <w:jc w:val="both"/>
        <w:rPr>
          <w:lang w:val="fr-FR"/>
        </w:rPr>
      </w:pPr>
      <w:bookmarkStart w:id="17" w:name="résolution-spectrale"/>
      <w:bookmarkEnd w:id="17"/>
      <w:r w:rsidRPr="005C4A0E">
        <w:rPr>
          <w:lang w:val="fr-FR"/>
        </w:rPr>
        <w:t>7.1 Résolution Spectrale</w:t>
      </w:r>
    </w:p>
    <w:p w14:paraId="304E07AD" w14:textId="77777777" w:rsidR="00F868FE" w:rsidRPr="005C4A0E" w:rsidRDefault="00000000" w:rsidP="005C4A0E">
      <w:pPr>
        <w:pStyle w:val="Corpsdetexte"/>
        <w:jc w:val="both"/>
        <w:rPr>
          <w:lang w:val="fr-FR"/>
        </w:rPr>
      </w:pPr>
      <w:r w:rsidRPr="005C4A0E">
        <w:rPr>
          <w:lang w:val="fr-FR"/>
        </w:rPr>
        <w:t xml:space="preserve">Capacité du capteur à distinguer les rayonnements de longueurs d’onde différentes. Plus la </w:t>
      </w:r>
      <w:r w:rsidRPr="005C4A0E">
        <w:rPr>
          <w:lang w:val="fr-FR"/>
        </w:rPr>
        <w:lastRenderedPageBreak/>
        <w:t>résolution est fine (bandes étroites), mieux on discrimine les matériaux. Les images multispect rales typiques ont 3-7 bandes, les hyperspectrales en ont 100-200+.</w:t>
      </w:r>
    </w:p>
    <w:p w14:paraId="3C894E51" w14:textId="77777777" w:rsidR="00F868FE" w:rsidRPr="005C4A0E" w:rsidRDefault="00000000" w:rsidP="005C4A0E">
      <w:pPr>
        <w:pStyle w:val="Titre3"/>
        <w:jc w:val="both"/>
        <w:rPr>
          <w:lang w:val="fr-FR"/>
        </w:rPr>
      </w:pPr>
      <w:bookmarkStart w:id="18" w:name="résolution-spatiale"/>
      <w:bookmarkEnd w:id="18"/>
      <w:r w:rsidRPr="005C4A0E">
        <w:rPr>
          <w:lang w:val="fr-FR"/>
        </w:rPr>
        <w:t>7.2 Résolution Spatiale</w:t>
      </w:r>
    </w:p>
    <w:p w14:paraId="7A8E446D" w14:textId="77777777" w:rsidR="00F868FE" w:rsidRPr="005C4A0E" w:rsidRDefault="00000000" w:rsidP="005C4A0E">
      <w:pPr>
        <w:pStyle w:val="Corpsdetexte"/>
        <w:jc w:val="both"/>
        <w:rPr>
          <w:lang w:val="fr-FR"/>
        </w:rPr>
      </w:pPr>
      <w:r w:rsidRPr="005C4A0E">
        <w:rPr>
          <w:lang w:val="fr-FR"/>
        </w:rPr>
        <w:t>Déterminée par la taille du pixel au sol : - Très fine (&lt;1 m) : cartographie précise, coûteux - Fine (1-5 m) : agriculture de précision, milieu urbain - Moyenne (10-30 m) : suivi des cultures, ressources terrestres - Grossière (&gt;100 m) : suivi régional, climat, océanographie</w:t>
      </w:r>
    </w:p>
    <w:p w14:paraId="3EE402FB" w14:textId="77777777" w:rsidR="00F868FE" w:rsidRPr="005C4A0E" w:rsidRDefault="00000000" w:rsidP="005C4A0E">
      <w:pPr>
        <w:pStyle w:val="Titre3"/>
        <w:jc w:val="both"/>
        <w:rPr>
          <w:lang w:val="fr-FR"/>
        </w:rPr>
      </w:pPr>
      <w:bookmarkStart w:id="19" w:name="résolution-radiométrique"/>
      <w:bookmarkEnd w:id="19"/>
      <w:r w:rsidRPr="005C4A0E">
        <w:rPr>
          <w:lang w:val="fr-FR"/>
        </w:rPr>
        <w:t>7.3 Résolution Radiométrique</w:t>
      </w:r>
    </w:p>
    <w:p w14:paraId="4C533AEA" w14:textId="77777777" w:rsidR="00F868FE" w:rsidRPr="005C4A0E" w:rsidRDefault="00000000" w:rsidP="005C4A0E">
      <w:pPr>
        <w:pStyle w:val="Corpsdetexte"/>
        <w:jc w:val="both"/>
        <w:rPr>
          <w:lang w:val="fr-FR"/>
        </w:rPr>
      </w:pPr>
      <w:r w:rsidRPr="005C4A0E">
        <w:rPr>
          <w:lang w:val="fr-FR"/>
        </w:rPr>
        <w:t>Nombre de niveaux de gris disponibles pour encoder l’intensité captée : - 8 bits : 256 niveaux (standard historique) - 12 bits : 4 096 niveaux - 16 bits : 65 536 niveaux (haute qualité) - Plus de bits = meilleure discrimination des faibles variations d’énergie</w:t>
      </w:r>
    </w:p>
    <w:p w14:paraId="3007F3C8" w14:textId="77777777" w:rsidR="00F868FE" w:rsidRPr="005C4A0E" w:rsidRDefault="00000000" w:rsidP="005C4A0E">
      <w:pPr>
        <w:pStyle w:val="Titre3"/>
        <w:jc w:val="both"/>
        <w:rPr>
          <w:lang w:val="fr-FR"/>
        </w:rPr>
      </w:pPr>
      <w:bookmarkStart w:id="20" w:name="résolution-temporelle"/>
      <w:bookmarkEnd w:id="20"/>
      <w:r w:rsidRPr="005C4A0E">
        <w:rPr>
          <w:lang w:val="fr-FR"/>
        </w:rPr>
        <w:t>7.4 Résolution Temporelle</w:t>
      </w:r>
    </w:p>
    <w:p w14:paraId="3C201227" w14:textId="77777777" w:rsidR="00F868FE" w:rsidRPr="005C4A0E" w:rsidRDefault="00000000" w:rsidP="005C4A0E">
      <w:pPr>
        <w:pStyle w:val="Corpsdetexte"/>
        <w:jc w:val="both"/>
        <w:rPr>
          <w:lang w:val="fr-FR"/>
        </w:rPr>
      </w:pPr>
      <w:r w:rsidRPr="005C4A0E">
        <w:rPr>
          <w:lang w:val="fr-FR"/>
        </w:rPr>
        <w:t>Fréquence de revisite (cycle orbital) : - Fréquente (1-3 jours) : suivi détaillé des changements rapides - Moyenne (5-16 jours) : suivi saisonnier des cultures - Infrequente (26+ jours) : statistiques régionales</w:t>
      </w:r>
    </w:p>
    <w:p w14:paraId="35653B7C" w14:textId="77777777" w:rsidR="00F868FE" w:rsidRPr="005C4A0E" w:rsidRDefault="00000000" w:rsidP="005C4A0E">
      <w:pPr>
        <w:pStyle w:val="Titre2"/>
        <w:jc w:val="both"/>
        <w:rPr>
          <w:lang w:val="fr-FR"/>
        </w:rPr>
      </w:pPr>
      <w:bookmarkStart w:id="21" w:name="traitement-des-images-de-télédétection"/>
      <w:bookmarkEnd w:id="21"/>
      <w:r w:rsidRPr="005C4A0E">
        <w:rPr>
          <w:lang w:val="fr-FR"/>
        </w:rPr>
        <w:t>8. Traitement des Images de Télédétection</w:t>
      </w:r>
    </w:p>
    <w:p w14:paraId="07A7CB4F" w14:textId="77777777" w:rsidR="00F868FE" w:rsidRPr="005C4A0E" w:rsidRDefault="00000000" w:rsidP="005C4A0E">
      <w:pPr>
        <w:pStyle w:val="Titre3"/>
        <w:jc w:val="both"/>
        <w:rPr>
          <w:lang w:val="fr-FR"/>
        </w:rPr>
      </w:pPr>
      <w:bookmarkStart w:id="22" w:name="pré-traitement-des-images"/>
      <w:bookmarkEnd w:id="22"/>
      <w:r w:rsidRPr="005C4A0E">
        <w:rPr>
          <w:lang w:val="fr-FR"/>
        </w:rPr>
        <w:t>8.1 Pré-Traitement des Images</w:t>
      </w:r>
    </w:p>
    <w:p w14:paraId="4B2F3F36" w14:textId="77777777" w:rsidR="00F868FE" w:rsidRPr="005C4A0E" w:rsidRDefault="00000000" w:rsidP="005C4A0E">
      <w:pPr>
        <w:pStyle w:val="Corpsdetexte"/>
        <w:jc w:val="both"/>
        <w:rPr>
          <w:lang w:val="fr-FR"/>
        </w:rPr>
      </w:pPr>
      <w:r w:rsidRPr="005C4A0E">
        <w:rPr>
          <w:rStyle w:val="StrongEmphasis"/>
          <w:lang w:val="fr-FR"/>
        </w:rPr>
        <w:t>Corrections Radiométriques</w:t>
      </w:r>
    </w:p>
    <w:p w14:paraId="6E98C638" w14:textId="77777777" w:rsidR="00F868FE" w:rsidRPr="005C4A0E" w:rsidRDefault="00000000" w:rsidP="005C4A0E">
      <w:pPr>
        <w:pStyle w:val="Corpsdetexte"/>
        <w:jc w:val="both"/>
        <w:rPr>
          <w:lang w:val="fr-FR"/>
        </w:rPr>
      </w:pPr>
      <w:r w:rsidRPr="005C4A0E">
        <w:rPr>
          <w:lang w:val="fr-FR"/>
        </w:rPr>
        <w:t>Permettent de diminuer les perturbations dues à l’atmosphère et aux capteurs :</w:t>
      </w:r>
    </w:p>
    <w:p w14:paraId="75F936BF" w14:textId="77777777" w:rsidR="00F868FE" w:rsidRPr="005C4A0E" w:rsidRDefault="00000000" w:rsidP="005C4A0E">
      <w:pPr>
        <w:pStyle w:val="Corpsdetexte"/>
        <w:numPr>
          <w:ilvl w:val="0"/>
          <w:numId w:val="2"/>
        </w:numPr>
        <w:tabs>
          <w:tab w:val="left" w:pos="709"/>
        </w:tabs>
        <w:spacing w:after="0"/>
        <w:jc w:val="both"/>
        <w:rPr>
          <w:lang w:val="fr-FR"/>
        </w:rPr>
      </w:pPr>
      <w:r w:rsidRPr="005C4A0E">
        <w:rPr>
          <w:rStyle w:val="StrongEmphasis"/>
          <w:lang w:val="fr-FR"/>
        </w:rPr>
        <w:t>Correction atmosphérique</w:t>
      </w:r>
      <w:r w:rsidRPr="005C4A0E">
        <w:rPr>
          <w:lang w:val="fr-FR"/>
        </w:rPr>
        <w:t xml:space="preserve"> : compensation des effets de diffusion et d’absorption atmosphériques </w:t>
      </w:r>
    </w:p>
    <w:p w14:paraId="74B62682" w14:textId="77777777" w:rsidR="00F868FE" w:rsidRPr="005C4A0E" w:rsidRDefault="00000000" w:rsidP="005C4A0E">
      <w:pPr>
        <w:pStyle w:val="Corpsdetexte"/>
        <w:numPr>
          <w:ilvl w:val="0"/>
          <w:numId w:val="2"/>
        </w:numPr>
        <w:tabs>
          <w:tab w:val="left" w:pos="709"/>
        </w:tabs>
        <w:spacing w:after="0"/>
        <w:jc w:val="both"/>
        <w:rPr>
          <w:lang w:val="fr-FR"/>
        </w:rPr>
      </w:pPr>
      <w:r w:rsidRPr="005C4A0E">
        <w:rPr>
          <w:rStyle w:val="StrongEmphasis"/>
          <w:lang w:val="fr-FR"/>
        </w:rPr>
        <w:t>Calibration radiométrique</w:t>
      </w:r>
      <w:r w:rsidRPr="005C4A0E">
        <w:rPr>
          <w:lang w:val="fr-FR"/>
        </w:rPr>
        <w:t xml:space="preserve"> : conversion des valeurs numériques en réflectance ou radiance </w:t>
      </w:r>
    </w:p>
    <w:p w14:paraId="0AF04370" w14:textId="77777777" w:rsidR="00F868FE" w:rsidRPr="005C4A0E" w:rsidRDefault="00000000" w:rsidP="005C4A0E">
      <w:pPr>
        <w:pStyle w:val="Corpsdetexte"/>
        <w:numPr>
          <w:ilvl w:val="0"/>
          <w:numId w:val="2"/>
        </w:numPr>
        <w:tabs>
          <w:tab w:val="left" w:pos="709"/>
        </w:tabs>
        <w:spacing w:after="0"/>
        <w:jc w:val="both"/>
        <w:rPr>
          <w:lang w:val="fr-FR"/>
        </w:rPr>
      </w:pPr>
      <w:r w:rsidRPr="005C4A0E">
        <w:rPr>
          <w:rStyle w:val="StrongEmphasis"/>
          <w:lang w:val="fr-FR"/>
        </w:rPr>
        <w:t>Correction de l’illumination solaire</w:t>
      </w:r>
      <w:r w:rsidRPr="005C4A0E">
        <w:rPr>
          <w:lang w:val="fr-FR"/>
        </w:rPr>
        <w:t xml:space="preserve"> : normalisation selon l’angle d’illumination, essentielle pour la détection des changements multi-temporels </w:t>
      </w:r>
    </w:p>
    <w:p w14:paraId="3E57DD0E" w14:textId="77777777" w:rsidR="00F868FE" w:rsidRPr="005C4A0E" w:rsidRDefault="00000000" w:rsidP="005C4A0E">
      <w:pPr>
        <w:pStyle w:val="Corpsdetexte"/>
        <w:numPr>
          <w:ilvl w:val="0"/>
          <w:numId w:val="2"/>
        </w:numPr>
        <w:tabs>
          <w:tab w:val="left" w:pos="709"/>
        </w:tabs>
        <w:jc w:val="both"/>
        <w:rPr>
          <w:lang w:val="fr-FR"/>
        </w:rPr>
      </w:pPr>
      <w:r w:rsidRPr="005C4A0E">
        <w:rPr>
          <w:rStyle w:val="StrongEmphasis"/>
          <w:lang w:val="fr-FR"/>
        </w:rPr>
        <w:t>Correction du capteur</w:t>
      </w:r>
      <w:r w:rsidRPr="005C4A0E">
        <w:rPr>
          <w:lang w:val="fr-FR"/>
        </w:rPr>
        <w:t xml:space="preserve"> : compensation des dérives de calibration du capteur </w:t>
      </w:r>
    </w:p>
    <w:p w14:paraId="4BC832DC" w14:textId="77777777" w:rsidR="00F868FE" w:rsidRPr="005C4A0E" w:rsidRDefault="00000000" w:rsidP="005C4A0E">
      <w:pPr>
        <w:pStyle w:val="Corpsdetexte"/>
        <w:jc w:val="both"/>
        <w:rPr>
          <w:lang w:val="fr-FR"/>
        </w:rPr>
      </w:pPr>
      <w:r w:rsidRPr="005C4A0E">
        <w:rPr>
          <w:rStyle w:val="StrongEmphasis"/>
          <w:lang w:val="fr-FR"/>
        </w:rPr>
        <w:t>Corrections Géométriques</w:t>
      </w:r>
    </w:p>
    <w:p w14:paraId="5A53F46B" w14:textId="77777777" w:rsidR="00F868FE" w:rsidRPr="005C4A0E" w:rsidRDefault="00000000" w:rsidP="005C4A0E">
      <w:pPr>
        <w:pStyle w:val="Corpsdetexte"/>
        <w:jc w:val="both"/>
        <w:rPr>
          <w:lang w:val="fr-FR"/>
        </w:rPr>
      </w:pPr>
      <w:r w:rsidRPr="005C4A0E">
        <w:rPr>
          <w:lang w:val="fr-FR"/>
        </w:rPr>
        <w:t>Corrigent les déformations systématiques dues à : - L’ellipsoïde terrestre - Le défilement du satellite - La technologie du capteur - Utilisent des paramètres d’orbite ou des points de calage (amers) terrain connus</w:t>
      </w:r>
    </w:p>
    <w:p w14:paraId="61D4862F" w14:textId="77777777" w:rsidR="00F868FE" w:rsidRPr="005C4A0E" w:rsidRDefault="00000000" w:rsidP="005C4A0E">
      <w:pPr>
        <w:pStyle w:val="Corpsdetexte"/>
        <w:jc w:val="both"/>
        <w:rPr>
          <w:lang w:val="fr-FR"/>
        </w:rPr>
      </w:pPr>
      <w:r w:rsidRPr="005C4A0E">
        <w:rPr>
          <w:lang w:val="fr-FR"/>
        </w:rPr>
        <w:t>Objectifs : - Rendre l’image superposable à une carte - Permettre l’enregistrement d’images multidates - Utiliser des projections cartographiques standardisées (UTM, Lambert)</w:t>
      </w:r>
    </w:p>
    <w:p w14:paraId="312CA6B2" w14:textId="77777777" w:rsidR="00F868FE" w:rsidRPr="005C4A0E" w:rsidRDefault="00000000" w:rsidP="005C4A0E">
      <w:pPr>
        <w:pStyle w:val="Titre3"/>
        <w:jc w:val="both"/>
        <w:rPr>
          <w:lang w:val="fr-FR"/>
        </w:rPr>
      </w:pPr>
      <w:bookmarkStart w:id="23" w:name="rehaussement-dimages"/>
      <w:bookmarkEnd w:id="23"/>
      <w:r w:rsidRPr="005C4A0E">
        <w:rPr>
          <w:lang w:val="fr-FR"/>
        </w:rPr>
        <w:t>8.2 Rehaussement d’Images</w:t>
      </w:r>
    </w:p>
    <w:p w14:paraId="1903CA8A" w14:textId="77777777" w:rsidR="00F868FE" w:rsidRPr="005C4A0E" w:rsidRDefault="00000000" w:rsidP="005C4A0E">
      <w:pPr>
        <w:pStyle w:val="Corpsdetexte"/>
        <w:jc w:val="both"/>
        <w:rPr>
          <w:lang w:val="fr-FR"/>
        </w:rPr>
      </w:pPr>
      <w:r w:rsidRPr="005C4A0E">
        <w:rPr>
          <w:lang w:val="fr-FR"/>
        </w:rPr>
        <w:t>Améliore l’apparence visuelle pour l’interprétation humaine :</w:t>
      </w:r>
    </w:p>
    <w:p w14:paraId="417DDBBC" w14:textId="77777777" w:rsidR="00F868FE" w:rsidRPr="005C4A0E" w:rsidRDefault="00000000" w:rsidP="005C4A0E">
      <w:pPr>
        <w:pStyle w:val="Corpsdetexte"/>
        <w:numPr>
          <w:ilvl w:val="0"/>
          <w:numId w:val="3"/>
        </w:numPr>
        <w:tabs>
          <w:tab w:val="left" w:pos="709"/>
        </w:tabs>
        <w:spacing w:after="0"/>
        <w:jc w:val="both"/>
        <w:rPr>
          <w:lang w:val="fr-FR"/>
        </w:rPr>
      </w:pPr>
      <w:r w:rsidRPr="005C4A0E">
        <w:rPr>
          <w:rStyle w:val="StrongEmphasis"/>
          <w:lang w:val="fr-FR"/>
        </w:rPr>
        <w:t>Étirement de contraste</w:t>
      </w:r>
      <w:r w:rsidRPr="005C4A0E">
        <w:rPr>
          <w:lang w:val="fr-FR"/>
        </w:rPr>
        <w:t xml:space="preserve"> : augmente la distinction des tons entre différents éléments </w:t>
      </w:r>
    </w:p>
    <w:p w14:paraId="14639FB4" w14:textId="77777777" w:rsidR="00F868FE" w:rsidRPr="005C4A0E" w:rsidRDefault="00000000" w:rsidP="005C4A0E">
      <w:pPr>
        <w:pStyle w:val="Corpsdetexte"/>
        <w:numPr>
          <w:ilvl w:val="0"/>
          <w:numId w:val="3"/>
        </w:numPr>
        <w:tabs>
          <w:tab w:val="left" w:pos="709"/>
        </w:tabs>
        <w:spacing w:after="0"/>
        <w:jc w:val="both"/>
        <w:rPr>
          <w:lang w:val="fr-FR"/>
        </w:rPr>
      </w:pPr>
      <w:r w:rsidRPr="005C4A0E">
        <w:rPr>
          <w:rStyle w:val="StrongEmphasis"/>
          <w:lang w:val="fr-FR"/>
        </w:rPr>
        <w:t>Filtrage spatial</w:t>
      </w:r>
      <w:r w:rsidRPr="005C4A0E">
        <w:rPr>
          <w:lang w:val="fr-FR"/>
        </w:rPr>
        <w:t xml:space="preserve"> : rehausse ou élimine des patrons spatiaux spécifiques </w:t>
      </w:r>
    </w:p>
    <w:p w14:paraId="4CF27F27" w14:textId="77777777" w:rsidR="00F868FE" w:rsidRPr="005C4A0E" w:rsidRDefault="00000000" w:rsidP="005C4A0E">
      <w:pPr>
        <w:pStyle w:val="Corpsdetexte"/>
        <w:numPr>
          <w:ilvl w:val="0"/>
          <w:numId w:val="3"/>
        </w:numPr>
        <w:tabs>
          <w:tab w:val="left" w:pos="709"/>
        </w:tabs>
        <w:spacing w:after="0"/>
        <w:jc w:val="both"/>
        <w:rPr>
          <w:lang w:val="fr-FR"/>
        </w:rPr>
      </w:pPr>
      <w:r w:rsidRPr="005C4A0E">
        <w:rPr>
          <w:rStyle w:val="StrongEmphasis"/>
          <w:lang w:val="fr-FR"/>
        </w:rPr>
        <w:t>Analyse en composantes principales (ACP)</w:t>
      </w:r>
      <w:r w:rsidRPr="005C4A0E">
        <w:rPr>
          <w:lang w:val="fr-FR"/>
        </w:rPr>
        <w:t xml:space="preserve"> : compresse l’information multispectrale </w:t>
      </w:r>
    </w:p>
    <w:p w14:paraId="0E04CEF1" w14:textId="77777777" w:rsidR="00F868FE" w:rsidRPr="005C4A0E" w:rsidRDefault="00000000" w:rsidP="005C4A0E">
      <w:pPr>
        <w:pStyle w:val="Corpsdetexte"/>
        <w:numPr>
          <w:ilvl w:val="0"/>
          <w:numId w:val="3"/>
        </w:numPr>
        <w:tabs>
          <w:tab w:val="left" w:pos="709"/>
        </w:tabs>
        <w:jc w:val="both"/>
        <w:rPr>
          <w:lang w:val="fr-FR"/>
        </w:rPr>
      </w:pPr>
      <w:r w:rsidRPr="005C4A0E">
        <w:rPr>
          <w:rStyle w:val="StrongEmphasis"/>
          <w:lang w:val="fr-FR"/>
        </w:rPr>
        <w:t>Fusion de données</w:t>
      </w:r>
      <w:r w:rsidRPr="005C4A0E">
        <w:rPr>
          <w:lang w:val="fr-FR"/>
        </w:rPr>
        <w:t xml:space="preserve"> : combine des données de résolution spatiale différente </w:t>
      </w:r>
    </w:p>
    <w:p w14:paraId="6983A9DF" w14:textId="77777777" w:rsidR="00F868FE" w:rsidRPr="005C4A0E" w:rsidRDefault="00000000" w:rsidP="005C4A0E">
      <w:pPr>
        <w:pStyle w:val="Titre3"/>
        <w:jc w:val="both"/>
        <w:rPr>
          <w:lang w:val="fr-FR"/>
        </w:rPr>
      </w:pPr>
      <w:bookmarkStart w:id="24" w:name="transformations-dimages"/>
      <w:bookmarkEnd w:id="24"/>
      <w:r w:rsidRPr="005C4A0E">
        <w:rPr>
          <w:lang w:val="fr-FR"/>
        </w:rPr>
        <w:t>8.3 Transformations d’Images</w:t>
      </w:r>
    </w:p>
    <w:p w14:paraId="7B18C44C" w14:textId="77777777" w:rsidR="00F868FE" w:rsidRPr="005C4A0E" w:rsidRDefault="00000000" w:rsidP="005C4A0E">
      <w:pPr>
        <w:pStyle w:val="Corpsdetexte"/>
        <w:jc w:val="both"/>
        <w:rPr>
          <w:lang w:val="fr-FR"/>
        </w:rPr>
      </w:pPr>
      <w:r w:rsidRPr="005C4A0E">
        <w:rPr>
          <w:lang w:val="fr-FR"/>
        </w:rPr>
        <w:t>Combinent les données de plusieurs bandes spectrales pour créer de nouvelles informations :</w:t>
      </w:r>
    </w:p>
    <w:p w14:paraId="002F9438" w14:textId="77777777" w:rsidR="00F868FE" w:rsidRPr="005C4A0E" w:rsidRDefault="00000000" w:rsidP="005C4A0E">
      <w:pPr>
        <w:pStyle w:val="Corpsdetexte"/>
        <w:jc w:val="both"/>
        <w:rPr>
          <w:lang w:val="fr-FR"/>
        </w:rPr>
      </w:pPr>
      <w:r w:rsidRPr="005C4A0E">
        <w:rPr>
          <w:rStyle w:val="StrongEmphasis"/>
          <w:lang w:val="fr-FR"/>
        </w:rPr>
        <w:t>Compositions colorées (RGB)</w:t>
      </w:r>
      <w:r w:rsidRPr="005C4A0E">
        <w:rPr>
          <w:lang w:val="fr-FR"/>
        </w:rPr>
        <w:t xml:space="preserve"> - Affectent trois bandes spectrales aux canaux Rouge, Vert, Bleu - Exemple : composition “fausses couleurs” (NIR-R-G) pour la végétation</w:t>
      </w:r>
    </w:p>
    <w:p w14:paraId="3C55DE84" w14:textId="77777777" w:rsidR="00F868FE" w:rsidRDefault="00000000" w:rsidP="005C4A0E">
      <w:pPr>
        <w:pStyle w:val="Corpsdetexte"/>
        <w:jc w:val="both"/>
      </w:pPr>
      <w:r>
        <w:rPr>
          <w:rStyle w:val="StrongEmphasis"/>
        </w:rPr>
        <w:lastRenderedPageBreak/>
        <w:t>Indices spectraux (néo-canaux)</w:t>
      </w:r>
    </w:p>
    <w:p w14:paraId="4546544E" w14:textId="77777777" w:rsidR="00F868FE" w:rsidRDefault="00000000" w:rsidP="005C4A0E">
      <w:pPr>
        <w:pStyle w:val="Corpsdetexte"/>
        <w:jc w:val="both"/>
      </w:pPr>
      <w:r>
        <w:rPr>
          <w:rStyle w:val="StrongEmphasis"/>
        </w:rPr>
        <w:t>NDVI (Normalized Difference Vegetation Index)</w:t>
      </w:r>
      <w:r>
        <w:t xml:space="preserve"> </w:t>
      </w:r>
      <w:r>
        <w:br/>
        <w:t>$$NDVI = \frac{PIR - R}{PIR + R}$$</w:t>
      </w:r>
    </w:p>
    <w:p w14:paraId="361D2135" w14:textId="77777777" w:rsidR="00F868FE" w:rsidRDefault="00000000" w:rsidP="005C4A0E">
      <w:pPr>
        <w:pStyle w:val="Corpsdetexte"/>
        <w:numPr>
          <w:ilvl w:val="0"/>
          <w:numId w:val="4"/>
        </w:numPr>
        <w:tabs>
          <w:tab w:val="left" w:pos="709"/>
        </w:tabs>
        <w:spacing w:after="0"/>
        <w:jc w:val="both"/>
      </w:pPr>
      <w:r>
        <w:t xml:space="preserve">Plage : -1 à +1 </w:t>
      </w:r>
    </w:p>
    <w:p w14:paraId="168FC52C" w14:textId="77777777" w:rsidR="00F868FE" w:rsidRDefault="00000000" w:rsidP="005C4A0E">
      <w:pPr>
        <w:pStyle w:val="Corpsdetexte"/>
        <w:numPr>
          <w:ilvl w:val="0"/>
          <w:numId w:val="4"/>
        </w:numPr>
        <w:tabs>
          <w:tab w:val="left" w:pos="709"/>
        </w:tabs>
        <w:spacing w:after="0"/>
        <w:jc w:val="both"/>
      </w:pPr>
      <w:r>
        <w:t xml:space="preserve">Zones végétalisées saines : 0,6 à +1 </w:t>
      </w:r>
    </w:p>
    <w:p w14:paraId="248BF770" w14:textId="77777777" w:rsidR="00F868FE" w:rsidRDefault="00000000" w:rsidP="005C4A0E">
      <w:pPr>
        <w:pStyle w:val="Corpsdetexte"/>
        <w:numPr>
          <w:ilvl w:val="0"/>
          <w:numId w:val="4"/>
        </w:numPr>
        <w:tabs>
          <w:tab w:val="left" w:pos="709"/>
        </w:tabs>
        <w:spacing w:after="0"/>
        <w:jc w:val="both"/>
      </w:pPr>
      <w:r>
        <w:t xml:space="preserve">Sols nus : ≈0 </w:t>
      </w:r>
    </w:p>
    <w:p w14:paraId="28A03DFC" w14:textId="77777777" w:rsidR="00F868FE" w:rsidRDefault="00000000" w:rsidP="005C4A0E">
      <w:pPr>
        <w:pStyle w:val="Corpsdetexte"/>
        <w:numPr>
          <w:ilvl w:val="0"/>
          <w:numId w:val="4"/>
        </w:numPr>
        <w:tabs>
          <w:tab w:val="left" w:pos="709"/>
        </w:tabs>
        <w:spacing w:after="0"/>
        <w:jc w:val="both"/>
      </w:pPr>
      <w:r>
        <w:t xml:space="preserve">Surfaces en eau : valeurs négatives </w:t>
      </w:r>
    </w:p>
    <w:p w14:paraId="2676AC2A" w14:textId="77777777" w:rsidR="00F868FE" w:rsidRPr="005C4A0E" w:rsidRDefault="00000000" w:rsidP="005C4A0E">
      <w:pPr>
        <w:pStyle w:val="Corpsdetexte"/>
        <w:numPr>
          <w:ilvl w:val="0"/>
          <w:numId w:val="4"/>
        </w:numPr>
        <w:tabs>
          <w:tab w:val="left" w:pos="709"/>
        </w:tabs>
        <w:jc w:val="both"/>
        <w:rPr>
          <w:lang w:val="fr-FR"/>
        </w:rPr>
      </w:pPr>
      <w:r w:rsidRPr="005C4A0E">
        <w:rPr>
          <w:lang w:val="fr-FR"/>
        </w:rPr>
        <w:t xml:space="preserve">Indicateur clé de santé et densité de végétation </w:t>
      </w:r>
    </w:p>
    <w:p w14:paraId="31B782E7" w14:textId="77777777" w:rsidR="00F868FE" w:rsidRDefault="00000000" w:rsidP="005C4A0E">
      <w:pPr>
        <w:pStyle w:val="Corpsdetexte"/>
        <w:jc w:val="both"/>
      </w:pPr>
      <w:r>
        <w:rPr>
          <w:rStyle w:val="StrongEmphasis"/>
        </w:rPr>
        <w:t>NDWI (Normalized Difference Water Index)</w:t>
      </w:r>
      <w:r>
        <w:t xml:space="preserve"> </w:t>
      </w:r>
      <w:r>
        <w:br/>
        <w:t>$$NDWI = \frac{PIR - MIR}{PIR + MIR}$$</w:t>
      </w:r>
    </w:p>
    <w:p w14:paraId="6825A1DF" w14:textId="77777777" w:rsidR="00F868FE" w:rsidRPr="005C4A0E" w:rsidRDefault="00000000" w:rsidP="005C4A0E">
      <w:pPr>
        <w:pStyle w:val="Corpsdetexte"/>
        <w:numPr>
          <w:ilvl w:val="0"/>
          <w:numId w:val="5"/>
        </w:numPr>
        <w:tabs>
          <w:tab w:val="left" w:pos="709"/>
        </w:tabs>
        <w:spacing w:after="0"/>
        <w:jc w:val="both"/>
        <w:rPr>
          <w:lang w:val="fr-FR"/>
        </w:rPr>
      </w:pPr>
      <w:r w:rsidRPr="005C4A0E">
        <w:rPr>
          <w:lang w:val="fr-FR"/>
        </w:rPr>
        <w:t xml:space="preserve">Détecte l’humidité du sol et la teneur en eau des plantes </w:t>
      </w:r>
    </w:p>
    <w:p w14:paraId="06BFCC92" w14:textId="77777777" w:rsidR="00F868FE" w:rsidRDefault="00000000" w:rsidP="005C4A0E">
      <w:pPr>
        <w:pStyle w:val="Corpsdetexte"/>
        <w:numPr>
          <w:ilvl w:val="0"/>
          <w:numId w:val="5"/>
        </w:numPr>
        <w:tabs>
          <w:tab w:val="left" w:pos="709"/>
        </w:tabs>
        <w:jc w:val="both"/>
      </w:pPr>
      <w:r>
        <w:t xml:space="preserve">Important pour l’irrigation de précision </w:t>
      </w:r>
    </w:p>
    <w:p w14:paraId="0717A761" w14:textId="77777777" w:rsidR="00F868FE" w:rsidRDefault="00000000" w:rsidP="005C4A0E">
      <w:pPr>
        <w:pStyle w:val="Titre3"/>
        <w:jc w:val="both"/>
      </w:pPr>
      <w:bookmarkStart w:id="25" w:name="classification-dimages"/>
      <w:bookmarkEnd w:id="25"/>
      <w:r>
        <w:t>8.4 Classification d’Images</w:t>
      </w:r>
    </w:p>
    <w:p w14:paraId="317CD967" w14:textId="77777777" w:rsidR="00F868FE" w:rsidRDefault="00000000" w:rsidP="005C4A0E">
      <w:pPr>
        <w:pStyle w:val="Corpsdetexte"/>
        <w:jc w:val="both"/>
      </w:pPr>
      <w:r>
        <w:rPr>
          <w:rStyle w:val="StrongEmphasis"/>
        </w:rPr>
        <w:t>Classification Non Supervisée</w:t>
      </w:r>
    </w:p>
    <w:p w14:paraId="1DAD21DB" w14:textId="77777777" w:rsidR="00F868FE" w:rsidRPr="005C4A0E" w:rsidRDefault="00000000" w:rsidP="005C4A0E">
      <w:pPr>
        <w:pStyle w:val="Corpsdetexte"/>
        <w:numPr>
          <w:ilvl w:val="0"/>
          <w:numId w:val="6"/>
        </w:numPr>
        <w:tabs>
          <w:tab w:val="left" w:pos="709"/>
        </w:tabs>
        <w:spacing w:after="0"/>
        <w:jc w:val="both"/>
        <w:rPr>
          <w:lang w:val="fr-FR"/>
        </w:rPr>
      </w:pPr>
      <w:r w:rsidRPr="005C4A0E">
        <w:rPr>
          <w:lang w:val="fr-FR"/>
        </w:rPr>
        <w:t xml:space="preserve">Aucun calage sur le terrain requis </w:t>
      </w:r>
    </w:p>
    <w:p w14:paraId="15F89572" w14:textId="77777777" w:rsidR="00F868FE" w:rsidRPr="005C4A0E" w:rsidRDefault="00000000" w:rsidP="005C4A0E">
      <w:pPr>
        <w:pStyle w:val="Corpsdetexte"/>
        <w:numPr>
          <w:ilvl w:val="0"/>
          <w:numId w:val="6"/>
        </w:numPr>
        <w:tabs>
          <w:tab w:val="left" w:pos="709"/>
        </w:tabs>
        <w:spacing w:after="0"/>
        <w:jc w:val="both"/>
        <w:rPr>
          <w:lang w:val="fr-FR"/>
        </w:rPr>
      </w:pPr>
      <w:r w:rsidRPr="005C4A0E">
        <w:rPr>
          <w:lang w:val="fr-FR"/>
        </w:rPr>
        <w:t xml:space="preserve">Découpage entièrement mathématique de l’espace spectral </w:t>
      </w:r>
    </w:p>
    <w:p w14:paraId="7C89E371" w14:textId="77777777" w:rsidR="00F868FE" w:rsidRPr="005C4A0E" w:rsidRDefault="00000000" w:rsidP="005C4A0E">
      <w:pPr>
        <w:pStyle w:val="Corpsdetexte"/>
        <w:numPr>
          <w:ilvl w:val="0"/>
          <w:numId w:val="6"/>
        </w:numPr>
        <w:tabs>
          <w:tab w:val="left" w:pos="709"/>
        </w:tabs>
        <w:spacing w:after="0"/>
        <w:jc w:val="both"/>
        <w:rPr>
          <w:lang w:val="fr-FR"/>
        </w:rPr>
      </w:pPr>
      <w:r w:rsidRPr="005C4A0E">
        <w:rPr>
          <w:lang w:val="fr-FR"/>
        </w:rPr>
        <w:t xml:space="preserve">L’utilisateur définit le nombre de classes au départ </w:t>
      </w:r>
    </w:p>
    <w:p w14:paraId="50E76C9F" w14:textId="77777777" w:rsidR="00F868FE" w:rsidRPr="005C4A0E" w:rsidRDefault="00000000" w:rsidP="005C4A0E">
      <w:pPr>
        <w:pStyle w:val="Corpsdetexte"/>
        <w:numPr>
          <w:ilvl w:val="0"/>
          <w:numId w:val="6"/>
        </w:numPr>
        <w:tabs>
          <w:tab w:val="left" w:pos="709"/>
        </w:tabs>
        <w:spacing w:after="0"/>
        <w:jc w:val="both"/>
        <w:rPr>
          <w:lang w:val="fr-FR"/>
        </w:rPr>
      </w:pPr>
      <w:r w:rsidRPr="005C4A0E">
        <w:rPr>
          <w:lang w:val="fr-FR"/>
        </w:rPr>
        <w:t xml:space="preserve">L’analyse en clusters identifie les groupes spectralement similaires </w:t>
      </w:r>
    </w:p>
    <w:p w14:paraId="593EF24B" w14:textId="77777777" w:rsidR="00F868FE" w:rsidRDefault="00000000" w:rsidP="005C4A0E">
      <w:pPr>
        <w:pStyle w:val="Corpsdetexte"/>
        <w:numPr>
          <w:ilvl w:val="0"/>
          <w:numId w:val="6"/>
        </w:numPr>
        <w:tabs>
          <w:tab w:val="left" w:pos="709"/>
        </w:tabs>
        <w:jc w:val="both"/>
      </w:pPr>
      <w:r>
        <w:t xml:space="preserve">Limitation : classes non nécessairement interprétables </w:t>
      </w:r>
    </w:p>
    <w:p w14:paraId="5EE1FB9D" w14:textId="77777777" w:rsidR="00F868FE" w:rsidRDefault="00000000" w:rsidP="005C4A0E">
      <w:pPr>
        <w:pStyle w:val="Corpsdetexte"/>
        <w:jc w:val="both"/>
      </w:pPr>
      <w:r>
        <w:rPr>
          <w:rStyle w:val="StrongEmphasis"/>
        </w:rPr>
        <w:t>Classification Supervisée</w:t>
      </w:r>
    </w:p>
    <w:p w14:paraId="1E7EA41B" w14:textId="77777777" w:rsidR="00F868FE" w:rsidRPr="005C4A0E" w:rsidRDefault="00000000" w:rsidP="005C4A0E">
      <w:pPr>
        <w:pStyle w:val="Corpsdetexte"/>
        <w:numPr>
          <w:ilvl w:val="0"/>
          <w:numId w:val="7"/>
        </w:numPr>
        <w:tabs>
          <w:tab w:val="left" w:pos="709"/>
        </w:tabs>
        <w:spacing w:after="0"/>
        <w:jc w:val="both"/>
        <w:rPr>
          <w:lang w:val="fr-FR"/>
        </w:rPr>
      </w:pPr>
      <w:r w:rsidRPr="005C4A0E">
        <w:rPr>
          <w:lang w:val="fr-FR"/>
        </w:rPr>
        <w:t xml:space="preserve">L’utilisateur identifie d’abord des échantillons représentatifs (zones d’entraînement) </w:t>
      </w:r>
    </w:p>
    <w:p w14:paraId="7B6A7320" w14:textId="77777777" w:rsidR="00F868FE" w:rsidRPr="005C4A0E" w:rsidRDefault="00000000" w:rsidP="005C4A0E">
      <w:pPr>
        <w:pStyle w:val="Corpsdetexte"/>
        <w:numPr>
          <w:ilvl w:val="0"/>
          <w:numId w:val="7"/>
        </w:numPr>
        <w:tabs>
          <w:tab w:val="left" w:pos="709"/>
        </w:tabs>
        <w:spacing w:after="0"/>
        <w:jc w:val="both"/>
        <w:rPr>
          <w:lang w:val="fr-FR"/>
        </w:rPr>
      </w:pPr>
      <w:r w:rsidRPr="005C4A0E">
        <w:rPr>
          <w:lang w:val="fr-FR"/>
        </w:rPr>
        <w:t xml:space="preserve">L’algorithme apprend les signatures spectrales de chaque classe </w:t>
      </w:r>
    </w:p>
    <w:p w14:paraId="3DCF923A" w14:textId="77777777" w:rsidR="00F868FE" w:rsidRPr="005C4A0E" w:rsidRDefault="00000000" w:rsidP="005C4A0E">
      <w:pPr>
        <w:pStyle w:val="Corpsdetexte"/>
        <w:numPr>
          <w:ilvl w:val="0"/>
          <w:numId w:val="7"/>
        </w:numPr>
        <w:tabs>
          <w:tab w:val="left" w:pos="709"/>
        </w:tabs>
        <w:spacing w:after="0"/>
        <w:jc w:val="both"/>
        <w:rPr>
          <w:lang w:val="fr-FR"/>
        </w:rPr>
      </w:pPr>
      <w:r w:rsidRPr="005C4A0E">
        <w:rPr>
          <w:lang w:val="fr-FR"/>
        </w:rPr>
        <w:t xml:space="preserve">Classification du reste de l’image selon les signatures apprises </w:t>
      </w:r>
    </w:p>
    <w:p w14:paraId="5F29A1CC" w14:textId="77777777" w:rsidR="00F868FE" w:rsidRDefault="00000000" w:rsidP="005C4A0E">
      <w:pPr>
        <w:pStyle w:val="Corpsdetexte"/>
        <w:numPr>
          <w:ilvl w:val="0"/>
          <w:numId w:val="7"/>
        </w:numPr>
        <w:tabs>
          <w:tab w:val="left" w:pos="709"/>
        </w:tabs>
        <w:spacing w:after="0"/>
        <w:jc w:val="both"/>
      </w:pPr>
      <w:r>
        <w:t xml:space="preserve">Algorithmes courants : Maximum Likelihood, Support Vector Machines (SVM), Random Forest </w:t>
      </w:r>
    </w:p>
    <w:p w14:paraId="5B30EA12" w14:textId="77777777" w:rsidR="00F868FE" w:rsidRDefault="00000000" w:rsidP="005C4A0E">
      <w:pPr>
        <w:pStyle w:val="Corpsdetexte"/>
        <w:numPr>
          <w:ilvl w:val="0"/>
          <w:numId w:val="7"/>
        </w:numPr>
        <w:tabs>
          <w:tab w:val="left" w:pos="709"/>
        </w:tabs>
        <w:jc w:val="both"/>
        <w:rPr>
          <w:lang w:val="fr-FR"/>
        </w:rPr>
      </w:pPr>
      <w:r w:rsidRPr="005C4A0E">
        <w:rPr>
          <w:lang w:val="fr-FR"/>
        </w:rPr>
        <w:t xml:space="preserve">Plus robuste et interprétable, mais nécessite une bonne connaissance du terrain </w:t>
      </w:r>
    </w:p>
    <w:p w14:paraId="7AD57B8E" w14:textId="20ABB25B" w:rsidR="00F868FE" w:rsidRDefault="00000000" w:rsidP="005C4A0E">
      <w:pPr>
        <w:pStyle w:val="Corpsdetexte"/>
        <w:numPr>
          <w:ilvl w:val="0"/>
          <w:numId w:val="16"/>
        </w:numPr>
        <w:tabs>
          <w:tab w:val="left" w:pos="709"/>
        </w:tabs>
        <w:jc w:val="both"/>
      </w:pPr>
      <w:r w:rsidRPr="005C4A0E">
        <w:rPr>
          <w:lang w:val="fr-FR"/>
        </w:rPr>
        <w:t xml:space="preserve">Terminologie de la Télédétection Aérospatiale. </w:t>
      </w:r>
      <w:r>
        <w:t xml:space="preserve">(1988). </w:t>
      </w:r>
    </w:p>
    <w:sectPr w:rsidR="00F868FE" w:rsidSect="005C4A0E">
      <w:pgSz w:w="11906" w:h="16838"/>
      <w:pgMar w:top="567" w:right="1274"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Liberation Mono">
    <w:altName w:val="Courier New"/>
    <w:charset w:val="00"/>
    <w:family w:val="modern"/>
    <w:pitch w:val="fixed"/>
  </w:font>
  <w:font w:name="OpenSymbol">
    <w:altName w:val="Segoe UI Symbol"/>
    <w:charset w:val="02"/>
    <w:family w:val="auto"/>
    <w:pitch w:val="default"/>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22C"/>
    <w:multiLevelType w:val="multilevel"/>
    <w:tmpl w:val="FF0041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E9F2C16"/>
    <w:multiLevelType w:val="multilevel"/>
    <w:tmpl w:val="F7CAA6B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5AE74ED"/>
    <w:multiLevelType w:val="multilevel"/>
    <w:tmpl w:val="F41461B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2123C12"/>
    <w:multiLevelType w:val="multilevel"/>
    <w:tmpl w:val="66BCB8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0D1015A"/>
    <w:multiLevelType w:val="multilevel"/>
    <w:tmpl w:val="240AEC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247067F"/>
    <w:multiLevelType w:val="multilevel"/>
    <w:tmpl w:val="E9841E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151575"/>
    <w:multiLevelType w:val="multilevel"/>
    <w:tmpl w:val="A40839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6CD0503"/>
    <w:multiLevelType w:val="multilevel"/>
    <w:tmpl w:val="247E3E0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0C55D88"/>
    <w:multiLevelType w:val="multilevel"/>
    <w:tmpl w:val="E65E48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5E0F209D"/>
    <w:multiLevelType w:val="multilevel"/>
    <w:tmpl w:val="D89A43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64607DA4"/>
    <w:multiLevelType w:val="multilevel"/>
    <w:tmpl w:val="A594B1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4642B94"/>
    <w:multiLevelType w:val="multilevel"/>
    <w:tmpl w:val="EA927AD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6D634989"/>
    <w:multiLevelType w:val="multilevel"/>
    <w:tmpl w:val="BF5EED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6E5D39E5"/>
    <w:multiLevelType w:val="multilevel"/>
    <w:tmpl w:val="9D984F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6E6E4B95"/>
    <w:multiLevelType w:val="multilevel"/>
    <w:tmpl w:val="8F2296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73597ECA"/>
    <w:multiLevelType w:val="multilevel"/>
    <w:tmpl w:val="DDA833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791E449E"/>
    <w:multiLevelType w:val="multilevel"/>
    <w:tmpl w:val="3B50B8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69231664">
    <w:abstractNumId w:val="7"/>
  </w:num>
  <w:num w:numId="2" w16cid:durableId="647980133">
    <w:abstractNumId w:val="6"/>
  </w:num>
  <w:num w:numId="3" w16cid:durableId="1905142449">
    <w:abstractNumId w:val="15"/>
  </w:num>
  <w:num w:numId="4" w16cid:durableId="1749693263">
    <w:abstractNumId w:val="4"/>
  </w:num>
  <w:num w:numId="5" w16cid:durableId="949780317">
    <w:abstractNumId w:val="3"/>
  </w:num>
  <w:num w:numId="6" w16cid:durableId="172500500">
    <w:abstractNumId w:val="11"/>
  </w:num>
  <w:num w:numId="7" w16cid:durableId="479469093">
    <w:abstractNumId w:val="2"/>
  </w:num>
  <w:num w:numId="8" w16cid:durableId="1001275024">
    <w:abstractNumId w:val="1"/>
  </w:num>
  <w:num w:numId="9" w16cid:durableId="317807776">
    <w:abstractNumId w:val="8"/>
  </w:num>
  <w:num w:numId="10" w16cid:durableId="757019576">
    <w:abstractNumId w:val="9"/>
  </w:num>
  <w:num w:numId="11" w16cid:durableId="1415977947">
    <w:abstractNumId w:val="12"/>
  </w:num>
  <w:num w:numId="12" w16cid:durableId="543639628">
    <w:abstractNumId w:val="0"/>
  </w:num>
  <w:num w:numId="13" w16cid:durableId="1516336045">
    <w:abstractNumId w:val="14"/>
  </w:num>
  <w:num w:numId="14" w16cid:durableId="1091393374">
    <w:abstractNumId w:val="5"/>
  </w:num>
  <w:num w:numId="15" w16cid:durableId="778599235">
    <w:abstractNumId w:val="10"/>
  </w:num>
  <w:num w:numId="16" w16cid:durableId="28381429">
    <w:abstractNumId w:val="13"/>
  </w:num>
  <w:num w:numId="17" w16cid:durableId="2069182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FE"/>
    <w:rsid w:val="004D67AA"/>
    <w:rsid w:val="005C4A0E"/>
    <w:rsid w:val="009F17E6"/>
    <w:rsid w:val="00B72463"/>
    <w:rsid w:val="00F868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ECB7"/>
  <w15:docId w15:val="{C1AA37B8-7246-4FE7-A8D6-EB87C9FD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itre1">
    <w:name w:val="heading 1"/>
    <w:basedOn w:val="Heading"/>
    <w:next w:val="Corpsdetexte"/>
    <w:uiPriority w:val="9"/>
    <w:qFormat/>
    <w:pPr>
      <w:outlineLvl w:val="0"/>
    </w:pPr>
    <w:rPr>
      <w:rFonts w:ascii="Liberation Serif" w:hAnsi="Liberation Serif"/>
      <w:b/>
      <w:bCs/>
      <w:sz w:val="48"/>
      <w:szCs w:val="48"/>
    </w:rPr>
  </w:style>
  <w:style w:type="paragraph" w:styleId="Titre2">
    <w:name w:val="heading 2"/>
    <w:basedOn w:val="Heading"/>
    <w:next w:val="Corpsdetexte"/>
    <w:uiPriority w:val="9"/>
    <w:unhideWhenUsed/>
    <w:qFormat/>
    <w:pPr>
      <w:spacing w:before="200"/>
      <w:outlineLvl w:val="1"/>
    </w:pPr>
    <w:rPr>
      <w:rFonts w:ascii="Liberation Serif" w:hAnsi="Liberation Serif"/>
      <w:b/>
      <w:bCs/>
      <w:sz w:val="36"/>
      <w:szCs w:val="36"/>
    </w:rPr>
  </w:style>
  <w:style w:type="paragraph" w:styleId="Titre3">
    <w:name w:val="heading 3"/>
    <w:basedOn w:val="Heading"/>
    <w:next w:val="Corpsdetexte"/>
    <w:uiPriority w:val="9"/>
    <w:unhideWhenUsed/>
    <w:qFormat/>
    <w:pPr>
      <w:spacing w:before="140"/>
      <w:outlineLvl w:val="2"/>
    </w:pPr>
    <w:rPr>
      <w:rFonts w:ascii="Liberation Serif"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ourceText">
    <w:name w:val="Source Text"/>
    <w:qFormat/>
    <w:rPr>
      <w:rFonts w:ascii="Liberation Mono" w:eastAsia="Liberation Mono" w:hAnsi="Liberation Mono" w:cs="Liberation Mono"/>
    </w:rPr>
  </w:style>
  <w:style w:type="character" w:customStyle="1" w:styleId="StrongEmphasis">
    <w:name w:val="Strong Emphasis"/>
    <w:qFormat/>
    <w:rPr>
      <w:b/>
      <w:bCs/>
    </w:rPr>
  </w:style>
  <w:style w:type="character" w:styleId="Accentuation">
    <w:name w:val="Emphasis"/>
    <w:qFormat/>
    <w:rPr>
      <w:i/>
      <w:i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Corpsdetexte"/>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2469</Words>
  <Characters>13585</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dc:title>
  <dc:subject/>
  <dc:creator>ASUS</dc:creator>
  <dc:description/>
  <cp:lastModifiedBy>ASUS</cp:lastModifiedBy>
  <cp:revision>3</cp:revision>
  <dcterms:created xsi:type="dcterms:W3CDTF">2025-11-30T07:50:00Z</dcterms:created>
  <dcterms:modified xsi:type="dcterms:W3CDTF">2025-12-22T09:41:00Z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ies>
</file>