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1E41" w14:textId="02C87A3A" w:rsidR="003F44FB" w:rsidRDefault="001B6D69" w:rsidP="00A81658">
      <w:pPr>
        <w:spacing w:before="120" w:after="240" w:line="360" w:lineRule="auto"/>
        <w:contextualSpacing/>
        <w:jc w:val="both"/>
      </w:pPr>
      <w:r>
        <w:rPr>
          <w:noProof/>
        </w:rPr>
        <mc:AlternateContent>
          <mc:Choice Requires="wps">
            <w:drawing>
              <wp:anchor distT="0" distB="0" distL="114300" distR="114300" simplePos="0" relativeHeight="251660288" behindDoc="0" locked="0" layoutInCell="1" allowOverlap="1" wp14:anchorId="75BD27AA" wp14:editId="1F61AD7B">
                <wp:simplePos x="0" y="0"/>
                <wp:positionH relativeFrom="column">
                  <wp:posOffset>4445</wp:posOffset>
                </wp:positionH>
                <wp:positionV relativeFrom="paragraph">
                  <wp:posOffset>271145</wp:posOffset>
                </wp:positionV>
                <wp:extent cx="5819775" cy="1428750"/>
                <wp:effectExtent l="0" t="0" r="9525" b="0"/>
                <wp:wrapSquare wrapText="bothSides"/>
                <wp:docPr id="739007984" name="Zone de texte 1"/>
                <wp:cNvGraphicFramePr/>
                <a:graphic xmlns:a="http://schemas.openxmlformats.org/drawingml/2006/main">
                  <a:graphicData uri="http://schemas.microsoft.com/office/word/2010/wordprocessingShape">
                    <wps:wsp>
                      <wps:cNvSpPr txBox="1"/>
                      <wps:spPr>
                        <a:xfrm>
                          <a:off x="0" y="0"/>
                          <a:ext cx="5819775" cy="1428750"/>
                        </a:xfrm>
                        <a:prstGeom prst="rect">
                          <a:avLst/>
                        </a:prstGeom>
                        <a:solidFill>
                          <a:srgbClr val="99FF66"/>
                        </a:solidFill>
                        <a:ln>
                          <a:noFill/>
                        </a:ln>
                      </wps:spPr>
                      <wps:txbx>
                        <w:txbxContent>
                          <w:p w14:paraId="3B9E4702" w14:textId="64890F8F" w:rsidR="001B6D69" w:rsidRPr="001B6D69" w:rsidRDefault="001B6D69" w:rsidP="001B6D69">
                            <w:pPr>
                              <w:spacing w:before="120" w:after="240"/>
                              <w:contextualSpacing/>
                              <w:jc w:val="center"/>
                              <w:rPr>
                                <w:bCs/>
                                <w:color w:val="00B050"/>
                                <w:sz w:val="72"/>
                                <w:szCs w:val="72"/>
                                <w14:shadow w14:blurRad="63500" w14:dist="50800" w14:dir="0" w14:sx="0" w14:sy="0" w14:kx="0" w14:ky="0" w14:algn="none">
                                  <w14:srgbClr w14:val="000000">
                                    <w14:alpha w14:val="50000"/>
                                  </w14:srgbClr>
                                </w14:shadow>
                                <w14:textOutline w14:w="9525" w14:cap="flat" w14:cmpd="sng" w14:algn="ctr">
                                  <w14:solidFill>
                                    <w14:srgbClr w14:val="002060"/>
                                  </w14:solidFill>
                                  <w14:prstDash w14:val="solid"/>
                                  <w14:round/>
                                </w14:textOutline>
                              </w:rPr>
                            </w:pPr>
                            <w:r w:rsidRPr="001B6D69">
                              <w:rPr>
                                <w:bCs/>
                                <w:color w:val="00B050"/>
                                <w:sz w:val="72"/>
                                <w:szCs w:val="72"/>
                                <w14:shadow w14:blurRad="63500" w14:dist="50800" w14:dir="0" w14:sx="0" w14:sy="0" w14:kx="0" w14:ky="0" w14:algn="none">
                                  <w14:srgbClr w14:val="000000">
                                    <w14:alpha w14:val="50000"/>
                                  </w14:srgbClr>
                                </w14:shadow>
                                <w14:textOutline w14:w="9525" w14:cap="flat" w14:cmpd="sng" w14:algn="ctr">
                                  <w14:solidFill>
                                    <w14:srgbClr w14:val="002060"/>
                                  </w14:solidFill>
                                  <w14:prstDash w14:val="solid"/>
                                  <w14:round/>
                                </w14:textOutline>
                              </w:rPr>
                              <w:t xml:space="preserve"> </w:t>
                            </w:r>
                            <w:r w:rsidRPr="001B6D69">
                              <w:rPr>
                                <w:b/>
                                <w:bCs/>
                                <w:color w:val="00B050"/>
                                <w:sz w:val="72"/>
                                <w:szCs w:val="72"/>
                                <w14:shadow w14:blurRad="63500" w14:dist="50800" w14:dir="0" w14:sx="0" w14:sy="0" w14:kx="0" w14:ky="0" w14:algn="none">
                                  <w14:srgbClr w14:val="000000">
                                    <w14:alpha w14:val="50000"/>
                                  </w14:srgbClr>
                                </w14:shadow>
                                <w14:textOutline w14:w="9525" w14:cap="flat" w14:cmpd="sng" w14:algn="ctr">
                                  <w14:solidFill>
                                    <w14:srgbClr w14:val="002060"/>
                                  </w14:solidFill>
                                  <w14:prstDash w14:val="solid"/>
                                  <w14:round/>
                                </w14:textOutline>
                              </w:rPr>
                              <w:t>Télédétection et SIG en agriculture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D27AA" id="_x0000_t202" coordsize="21600,21600" o:spt="202" path="m,l,21600r21600,l21600,xe">
                <v:stroke joinstyle="miter"/>
                <v:path gradientshapeok="t" o:connecttype="rect"/>
              </v:shapetype>
              <v:shape id="Zone de texte 1" o:spid="_x0000_s1026" type="#_x0000_t202" style="position:absolute;left:0;text-align:left;margin-left:.35pt;margin-top:21.35pt;width:458.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" fillcolor="#9f6" stroked="f">
                <v:textbox>
                  <w:txbxContent>
                    <w:p w14:paraId="3B9E4702" w14:textId="64890F8F" w:rsidR="001B6D69" w:rsidRPr="001B6D69" w:rsidRDefault="001B6D69" w:rsidP="001B6D69">
                      <w:pPr>
                        <w:spacing w:before="120" w:after="240"/>
                        <w:contextualSpacing/>
                        <w:jc w:val="center"/>
                        <w:rPr>
                          <w:bCs/>
                          <w:color w:val="00B050"/>
                          <w:sz w:val="72"/>
                          <w:szCs w:val="72"/>
                          <w14:shadow w14:blurRad="63500" w14:dist="50800" w14:dir="0" w14:sx="0" w14:sy="0" w14:kx="0" w14:ky="0" w14:algn="none">
                            <w14:srgbClr w14:val="000000">
                              <w14:alpha w14:val="50000"/>
                            </w14:srgbClr>
                          </w14:shadow>
                          <w14:textOutline w14:w="9525" w14:cap="flat" w14:cmpd="sng" w14:algn="ctr">
                            <w14:solidFill>
                              <w14:srgbClr w14:val="002060"/>
                            </w14:solidFill>
                            <w14:prstDash w14:val="solid"/>
                            <w14:round/>
                          </w14:textOutline>
                        </w:rPr>
                      </w:pPr>
                      <w:r w:rsidRPr="001B6D69">
                        <w:rPr>
                          <w:bCs/>
                          <w:color w:val="00B050"/>
                          <w:sz w:val="72"/>
                          <w:szCs w:val="72"/>
                          <w14:shadow w14:blurRad="63500" w14:dist="50800" w14:dir="0" w14:sx="0" w14:sy="0" w14:kx="0" w14:ky="0" w14:algn="none">
                            <w14:srgbClr w14:val="000000">
                              <w14:alpha w14:val="50000"/>
                            </w14:srgbClr>
                          </w14:shadow>
                          <w14:textOutline w14:w="9525" w14:cap="flat" w14:cmpd="sng" w14:algn="ctr">
                            <w14:solidFill>
                              <w14:srgbClr w14:val="002060"/>
                            </w14:solidFill>
                            <w14:prstDash w14:val="solid"/>
                            <w14:round/>
                          </w14:textOutline>
                        </w:rPr>
                        <w:t xml:space="preserve"> </w:t>
                      </w:r>
                      <w:r w:rsidRPr="001B6D69">
                        <w:rPr>
                          <w:b/>
                          <w:bCs/>
                          <w:color w:val="00B050"/>
                          <w:sz w:val="72"/>
                          <w:szCs w:val="72"/>
                          <w14:shadow w14:blurRad="63500" w14:dist="50800" w14:dir="0" w14:sx="0" w14:sy="0" w14:kx="0" w14:ky="0" w14:algn="none">
                            <w14:srgbClr w14:val="000000">
                              <w14:alpha w14:val="50000"/>
                            </w14:srgbClr>
                          </w14:shadow>
                          <w14:textOutline w14:w="9525" w14:cap="flat" w14:cmpd="sng" w14:algn="ctr">
                            <w14:solidFill>
                              <w14:srgbClr w14:val="002060"/>
                            </w14:solidFill>
                            <w14:prstDash w14:val="solid"/>
                            <w14:round/>
                          </w14:textOutline>
                        </w:rPr>
                        <w:t>Télédétection et SIG en agriculture</w:t>
                      </w:r>
                    </w:p>
                  </w:txbxContent>
                </v:textbox>
                <w10:wrap type="square"/>
              </v:shape>
            </w:pict>
          </mc:Fallback>
        </mc:AlternateContent>
      </w:r>
    </w:p>
    <w:p w14:paraId="4F7C9CC9" w14:textId="6E3BAF7F" w:rsidR="003F44FB" w:rsidRDefault="003F44FB" w:rsidP="00A81658">
      <w:pPr>
        <w:spacing w:before="120" w:after="240" w:line="360" w:lineRule="auto"/>
        <w:contextualSpacing/>
        <w:jc w:val="both"/>
      </w:pPr>
    </w:p>
    <w:p w14:paraId="292BC01C" w14:textId="1D52BB2A" w:rsidR="003F44FB" w:rsidRDefault="001B6D69" w:rsidP="00A81658">
      <w:pPr>
        <w:spacing w:before="120" w:after="240" w:line="360" w:lineRule="auto"/>
        <w:contextualSpacing/>
        <w:jc w:val="both"/>
        <w:rPr>
          <w:noProof/>
        </w:rPr>
      </w:pPr>
      <w:r>
        <w:rPr>
          <w:noProof/>
        </w:rPr>
        <w:drawing>
          <wp:anchor distT="0" distB="0" distL="114300" distR="114300" simplePos="0" relativeHeight="251658240" behindDoc="0" locked="0" layoutInCell="1" allowOverlap="1" wp14:anchorId="5E9087B9" wp14:editId="34BCB7B4">
            <wp:simplePos x="0" y="0"/>
            <wp:positionH relativeFrom="column">
              <wp:posOffset>3024505</wp:posOffset>
            </wp:positionH>
            <wp:positionV relativeFrom="paragraph">
              <wp:posOffset>2198370</wp:posOffset>
            </wp:positionV>
            <wp:extent cx="2741295" cy="1840230"/>
            <wp:effectExtent l="0" t="0" r="1905" b="7620"/>
            <wp:wrapSquare wrapText="bothSides"/>
            <wp:docPr id="1340170367" name="Image 2" descr="Images Sentinel en agriculture et NDVI Comment ça marc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Sentinel en agriculture et NDVI Comment ça march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1295" cy="184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44FB">
        <w:rPr>
          <w:noProof/>
        </w:rPr>
        <w:drawing>
          <wp:inline distT="0" distB="0" distL="0" distR="0" wp14:anchorId="33F4A1D9" wp14:editId="751FE27D">
            <wp:extent cx="5760720" cy="2160270"/>
            <wp:effectExtent l="0" t="0" r="0" b="0"/>
            <wp:docPr id="888313468" name="Image 1" descr="Satellites, drones, capteurs, robots..., les nouveaux outi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ellites, drones, capteurs, robots..., les nouveaux outils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160270"/>
                    </a:xfrm>
                    <a:prstGeom prst="rect">
                      <a:avLst/>
                    </a:prstGeom>
                    <a:noFill/>
                    <a:ln>
                      <a:noFill/>
                    </a:ln>
                  </pic:spPr>
                </pic:pic>
              </a:graphicData>
            </a:graphic>
          </wp:inline>
        </w:drawing>
      </w:r>
    </w:p>
    <w:p w14:paraId="23AF1AA9" w14:textId="77F56C90" w:rsidR="00B113DD" w:rsidRDefault="007631C2" w:rsidP="00A81658">
      <w:pPr>
        <w:spacing w:before="120" w:after="240" w:line="360" w:lineRule="auto"/>
        <w:contextualSpacing/>
        <w:jc w:val="both"/>
        <w:rPr>
          <w:b/>
          <w:bCs/>
        </w:rPr>
      </w:pPr>
      <w:r>
        <w:rPr>
          <w:b/>
          <w:bCs/>
          <w:noProof/>
        </w:rPr>
        <w:drawing>
          <wp:inline distT="0" distB="0" distL="0" distR="0" wp14:anchorId="50F773C1" wp14:editId="5AF2C450">
            <wp:extent cx="2876550" cy="1864297"/>
            <wp:effectExtent l="0" t="0" r="0" b="3175"/>
            <wp:docPr id="190860535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8572"/>
                    <a:stretch>
                      <a:fillRect/>
                    </a:stretch>
                  </pic:blipFill>
                  <pic:spPr bwMode="auto">
                    <a:xfrm>
                      <a:off x="0" y="0"/>
                      <a:ext cx="2892841" cy="1874855"/>
                    </a:xfrm>
                    <a:prstGeom prst="rect">
                      <a:avLst/>
                    </a:prstGeom>
                    <a:noFill/>
                    <a:ln>
                      <a:noFill/>
                    </a:ln>
                    <a:extLst>
                      <a:ext uri="{53640926-AAD7-44D8-BBD7-CCE9431645EC}">
                        <a14:shadowObscured xmlns:a14="http://schemas.microsoft.com/office/drawing/2010/main"/>
                      </a:ext>
                    </a:extLst>
                  </pic:spPr>
                </pic:pic>
              </a:graphicData>
            </a:graphic>
          </wp:inline>
        </w:drawing>
      </w:r>
      <w:r>
        <w:rPr>
          <w:b/>
          <w:bCs/>
        </w:rPr>
        <w:br w:type="textWrapping" w:clear="all"/>
      </w:r>
    </w:p>
    <w:p w14:paraId="4F224294" w14:textId="77777777" w:rsidR="00B113DD" w:rsidRDefault="00B113DD" w:rsidP="00A81658">
      <w:pPr>
        <w:spacing w:before="120" w:after="240" w:line="360" w:lineRule="auto"/>
        <w:contextualSpacing/>
        <w:jc w:val="both"/>
        <w:rPr>
          <w:b/>
          <w:bCs/>
        </w:rPr>
      </w:pPr>
    </w:p>
    <w:p w14:paraId="4B995699" w14:textId="77777777" w:rsidR="007631C2" w:rsidRDefault="007631C2" w:rsidP="00A81658">
      <w:pPr>
        <w:spacing w:before="120" w:after="240" w:line="360" w:lineRule="auto"/>
        <w:contextualSpacing/>
        <w:jc w:val="both"/>
        <w:rPr>
          <w:b/>
          <w:bCs/>
        </w:rPr>
      </w:pPr>
    </w:p>
    <w:p w14:paraId="56D8633F" w14:textId="77777777" w:rsidR="007631C2" w:rsidRDefault="007631C2" w:rsidP="00A81658">
      <w:pPr>
        <w:spacing w:before="120" w:after="240" w:line="360" w:lineRule="auto"/>
        <w:contextualSpacing/>
        <w:jc w:val="both"/>
        <w:rPr>
          <w:b/>
          <w:bCs/>
        </w:rPr>
      </w:pPr>
    </w:p>
    <w:p w14:paraId="117374A4" w14:textId="77777777" w:rsidR="007631C2" w:rsidRDefault="007631C2" w:rsidP="00A81658">
      <w:pPr>
        <w:spacing w:before="120" w:after="240" w:line="360" w:lineRule="auto"/>
        <w:contextualSpacing/>
        <w:jc w:val="both"/>
        <w:rPr>
          <w:b/>
          <w:bCs/>
        </w:rPr>
      </w:pPr>
    </w:p>
    <w:p w14:paraId="7ACFDC61" w14:textId="77777777" w:rsidR="007631C2" w:rsidRDefault="007631C2" w:rsidP="00A81658">
      <w:pPr>
        <w:spacing w:before="120" w:after="240" w:line="360" w:lineRule="auto"/>
        <w:contextualSpacing/>
        <w:jc w:val="both"/>
        <w:rPr>
          <w:b/>
          <w:bCs/>
        </w:rPr>
      </w:pPr>
    </w:p>
    <w:p w14:paraId="0DF525C1" w14:textId="77777777" w:rsidR="007631C2" w:rsidRDefault="007631C2" w:rsidP="00A81658">
      <w:pPr>
        <w:spacing w:before="120" w:after="240" w:line="360" w:lineRule="auto"/>
        <w:contextualSpacing/>
        <w:jc w:val="both"/>
        <w:rPr>
          <w:b/>
          <w:bCs/>
        </w:rPr>
      </w:pPr>
    </w:p>
    <w:p w14:paraId="33D82054" w14:textId="77777777" w:rsidR="007631C2" w:rsidRDefault="007631C2" w:rsidP="00A81658">
      <w:pPr>
        <w:spacing w:before="120" w:after="240" w:line="360" w:lineRule="auto"/>
        <w:contextualSpacing/>
        <w:jc w:val="both"/>
        <w:rPr>
          <w:b/>
          <w:bCs/>
        </w:rPr>
      </w:pPr>
    </w:p>
    <w:p w14:paraId="5F37D9FF" w14:textId="77777777" w:rsidR="007631C2" w:rsidRDefault="007631C2" w:rsidP="00A81658">
      <w:pPr>
        <w:spacing w:before="120" w:after="240" w:line="360" w:lineRule="auto"/>
        <w:contextualSpacing/>
        <w:jc w:val="both"/>
        <w:rPr>
          <w:b/>
          <w:bCs/>
        </w:rPr>
      </w:pPr>
    </w:p>
    <w:p w14:paraId="7684A634" w14:textId="77777777" w:rsidR="007631C2" w:rsidRDefault="007631C2" w:rsidP="00A81658">
      <w:pPr>
        <w:spacing w:before="120" w:after="240" w:line="360" w:lineRule="auto"/>
        <w:contextualSpacing/>
        <w:jc w:val="both"/>
        <w:rPr>
          <w:b/>
          <w:bCs/>
        </w:rPr>
      </w:pPr>
    </w:p>
    <w:p w14:paraId="4F4E603A" w14:textId="77777777" w:rsidR="001B6D69" w:rsidRDefault="001B6D69" w:rsidP="00A81658">
      <w:pPr>
        <w:spacing w:before="120" w:after="240" w:line="360" w:lineRule="auto"/>
        <w:contextualSpacing/>
        <w:jc w:val="both"/>
        <w:rPr>
          <w:b/>
          <w:bCs/>
        </w:rPr>
      </w:pPr>
    </w:p>
    <w:p w14:paraId="431A80EF" w14:textId="77777777" w:rsidR="001B6D69" w:rsidRDefault="001B6D69" w:rsidP="00A81658">
      <w:pPr>
        <w:spacing w:before="120" w:after="240" w:line="360" w:lineRule="auto"/>
        <w:contextualSpacing/>
        <w:jc w:val="both"/>
        <w:rPr>
          <w:b/>
          <w:bCs/>
        </w:rPr>
      </w:pPr>
    </w:p>
    <w:p w14:paraId="73A6C137" w14:textId="77777777" w:rsidR="001B6D69" w:rsidRDefault="001B6D69" w:rsidP="00A81658">
      <w:pPr>
        <w:spacing w:before="120" w:after="240" w:line="360" w:lineRule="auto"/>
        <w:contextualSpacing/>
        <w:jc w:val="both"/>
        <w:rPr>
          <w:b/>
          <w:bCs/>
        </w:rPr>
      </w:pPr>
    </w:p>
    <w:p w14:paraId="7F1CD1D7" w14:textId="77777777" w:rsidR="001B6D69" w:rsidRDefault="001B6D69" w:rsidP="00A81658">
      <w:pPr>
        <w:spacing w:before="120" w:after="240" w:line="360" w:lineRule="auto"/>
        <w:contextualSpacing/>
        <w:jc w:val="both"/>
        <w:rPr>
          <w:b/>
          <w:bCs/>
        </w:rPr>
      </w:pPr>
    </w:p>
    <w:p w14:paraId="5E8B7E6E" w14:textId="77777777" w:rsidR="007631C2" w:rsidRDefault="007631C2" w:rsidP="00A81658">
      <w:pPr>
        <w:spacing w:before="120" w:after="240" w:line="360" w:lineRule="auto"/>
        <w:contextualSpacing/>
        <w:jc w:val="both"/>
        <w:rPr>
          <w:b/>
          <w:bCs/>
        </w:rPr>
      </w:pPr>
    </w:p>
    <w:p w14:paraId="50567D85" w14:textId="0F9E835D" w:rsidR="003F44FB" w:rsidRPr="00B113DD" w:rsidRDefault="00B113DD" w:rsidP="00A81658">
      <w:pPr>
        <w:spacing w:before="120" w:after="240" w:line="360" w:lineRule="auto"/>
        <w:contextualSpacing/>
        <w:jc w:val="both"/>
        <w:rPr>
          <w:rFonts w:asciiTheme="majorBidi" w:hAnsiTheme="majorBidi" w:cstheme="majorBidi"/>
          <w:sz w:val="32"/>
          <w:szCs w:val="32"/>
        </w:rPr>
      </w:pPr>
      <w:r w:rsidRPr="00B113DD">
        <w:rPr>
          <w:rFonts w:asciiTheme="majorBidi" w:hAnsiTheme="majorBidi" w:cstheme="majorBidi"/>
          <w:b/>
          <w:bCs/>
          <w:sz w:val="32"/>
          <w:szCs w:val="32"/>
        </w:rPr>
        <w:t>Chapitre 1 : Le système d’information géographique</w:t>
      </w:r>
    </w:p>
    <w:p w14:paraId="0AC66496" w14:textId="77777777" w:rsidR="007631C2" w:rsidRDefault="007631C2" w:rsidP="00A81658">
      <w:pPr>
        <w:tabs>
          <w:tab w:val="left" w:pos="0"/>
        </w:tabs>
        <w:spacing w:before="120" w:after="240" w:line="360" w:lineRule="auto"/>
        <w:contextualSpacing/>
        <w:jc w:val="both"/>
        <w:rPr>
          <w:rFonts w:asciiTheme="majorBidi" w:hAnsiTheme="majorBidi" w:cstheme="majorBidi"/>
          <w:b/>
          <w:bCs/>
        </w:rPr>
      </w:pPr>
    </w:p>
    <w:p w14:paraId="0857B51E" w14:textId="287E27B7" w:rsidR="003F44FB" w:rsidRPr="007631C2" w:rsidRDefault="003F44FB" w:rsidP="00A81658">
      <w:pPr>
        <w:tabs>
          <w:tab w:val="left" w:pos="0"/>
        </w:tabs>
        <w:spacing w:before="120" w:after="240" w:line="360" w:lineRule="auto"/>
        <w:contextualSpacing/>
        <w:jc w:val="both"/>
        <w:rPr>
          <w:rFonts w:asciiTheme="majorBidi" w:hAnsiTheme="majorBidi" w:cstheme="majorBidi"/>
          <w:b/>
          <w:bCs/>
        </w:rPr>
      </w:pPr>
      <w:r w:rsidRPr="007631C2">
        <w:rPr>
          <w:rFonts w:asciiTheme="majorBidi" w:hAnsiTheme="majorBidi" w:cstheme="majorBidi"/>
          <w:b/>
          <w:bCs/>
        </w:rPr>
        <w:t>Introduction</w:t>
      </w:r>
    </w:p>
    <w:p w14:paraId="43CBE73A" w14:textId="35E885A1" w:rsidR="003F44FB" w:rsidRPr="007631C2" w:rsidRDefault="003F44FB" w:rsidP="00A81658">
      <w:pPr>
        <w:tabs>
          <w:tab w:val="left" w:pos="0"/>
        </w:tabs>
        <w:spacing w:before="120" w:after="240" w:line="360" w:lineRule="auto"/>
        <w:ind w:right="284"/>
        <w:contextualSpacing/>
        <w:jc w:val="both"/>
        <w:rPr>
          <w:rFonts w:asciiTheme="majorBidi" w:hAnsiTheme="majorBidi" w:cstheme="majorBidi"/>
        </w:rPr>
      </w:pPr>
      <w:r w:rsidRPr="007631C2">
        <w:rPr>
          <w:rFonts w:asciiTheme="majorBidi" w:hAnsiTheme="majorBidi" w:cstheme="majorBidi"/>
        </w:rPr>
        <w:t>La gestion efficace d</w:t>
      </w:r>
      <w:r w:rsidR="00B113DD" w:rsidRPr="007631C2">
        <w:rPr>
          <w:rFonts w:asciiTheme="majorBidi" w:hAnsiTheme="majorBidi" w:cstheme="majorBidi"/>
        </w:rPr>
        <w:t xml:space="preserve">u </w:t>
      </w:r>
      <w:r w:rsidRPr="007631C2">
        <w:rPr>
          <w:rFonts w:asciiTheme="majorBidi" w:hAnsiTheme="majorBidi" w:cstheme="majorBidi"/>
        </w:rPr>
        <w:t>t</w:t>
      </w:r>
      <w:r w:rsidR="00B113DD" w:rsidRPr="007631C2">
        <w:rPr>
          <w:rFonts w:asciiTheme="majorBidi" w:hAnsiTheme="majorBidi" w:cstheme="majorBidi"/>
        </w:rPr>
        <w:t>e</w:t>
      </w:r>
      <w:r w:rsidRPr="007631C2">
        <w:rPr>
          <w:rFonts w:asciiTheme="majorBidi" w:hAnsiTheme="majorBidi" w:cstheme="majorBidi"/>
        </w:rPr>
        <w:t>rritoir</w:t>
      </w:r>
      <w:r w:rsidR="00B113DD" w:rsidRPr="007631C2">
        <w:rPr>
          <w:rFonts w:asciiTheme="majorBidi" w:hAnsiTheme="majorBidi" w:cstheme="majorBidi"/>
        </w:rPr>
        <w:t>e</w:t>
      </w:r>
      <w:r w:rsidRPr="007631C2">
        <w:rPr>
          <w:rFonts w:asciiTheme="majorBidi" w:hAnsiTheme="majorBidi" w:cstheme="majorBidi"/>
        </w:rPr>
        <w:t xml:space="preserve"> et d</w:t>
      </w:r>
      <w:r w:rsidR="00B113DD" w:rsidRPr="007631C2">
        <w:rPr>
          <w:rFonts w:asciiTheme="majorBidi" w:hAnsiTheme="majorBidi" w:cstheme="majorBidi"/>
        </w:rPr>
        <w:t xml:space="preserve">u </w:t>
      </w:r>
      <w:r w:rsidRPr="007631C2">
        <w:rPr>
          <w:rFonts w:asciiTheme="majorBidi" w:hAnsiTheme="majorBidi" w:cstheme="majorBidi"/>
        </w:rPr>
        <w:t xml:space="preserve">milieu géographique apparaît aujourd’hui comme une nécessité fondamentale, en raison de la complexité croissante des phénomènes spatiaux à maîtriser. Selon Caloz (1997), </w:t>
      </w:r>
      <w:r w:rsidR="00B113DD" w:rsidRPr="007631C2">
        <w:rPr>
          <w:rFonts w:asciiTheme="majorBidi" w:hAnsiTheme="majorBidi" w:cstheme="majorBidi"/>
        </w:rPr>
        <w:t>« </w:t>
      </w:r>
      <w:r w:rsidRPr="007631C2">
        <w:rPr>
          <w:rFonts w:asciiTheme="majorBidi" w:hAnsiTheme="majorBidi" w:cstheme="majorBidi"/>
          <w:b/>
          <w:bCs/>
        </w:rPr>
        <w:t>gérer c’est avant tout prévoir</w:t>
      </w:r>
      <w:r w:rsidR="00B113DD" w:rsidRPr="007631C2">
        <w:rPr>
          <w:rFonts w:asciiTheme="majorBidi" w:hAnsiTheme="majorBidi" w:cstheme="majorBidi"/>
        </w:rPr>
        <w:t> »</w:t>
      </w:r>
      <w:r w:rsidRPr="007631C2">
        <w:rPr>
          <w:rFonts w:asciiTheme="majorBidi" w:hAnsiTheme="majorBidi" w:cstheme="majorBidi"/>
        </w:rPr>
        <w:t xml:space="preserve">, et cette prévision nécessite une connaissance approfondie de la dynamique des phénomènes étudiés ainsi que des paramètres qui les gouvernent. Cette exigence implique le traitement d’un volume considérable de données géographiques, nécessitant des outils performants capables de collecter, stocker, analyser et visualiser ces informations dans une perspective spatiale. C’est dans ce contexte que les Systèmes d’Information Géographique (SIG) se sont imposés. </w:t>
      </w:r>
    </w:p>
    <w:p w14:paraId="442A85E9" w14:textId="276D94CA" w:rsidR="003F44FB" w:rsidRPr="007631C2" w:rsidRDefault="003F44FB" w:rsidP="00A81658">
      <w:pPr>
        <w:tabs>
          <w:tab w:val="left" w:pos="0"/>
        </w:tabs>
        <w:spacing w:before="120" w:after="240" w:line="360" w:lineRule="auto"/>
        <w:ind w:right="284"/>
        <w:contextualSpacing/>
        <w:jc w:val="both"/>
        <w:rPr>
          <w:rFonts w:asciiTheme="majorBidi" w:hAnsiTheme="majorBidi" w:cstheme="majorBidi"/>
        </w:rPr>
      </w:pPr>
      <w:r w:rsidRPr="007631C2">
        <w:rPr>
          <w:rFonts w:asciiTheme="majorBidi" w:hAnsiTheme="majorBidi" w:cstheme="majorBidi"/>
        </w:rPr>
        <w:t xml:space="preserve">Historiquement, les premiers SIG opérationnels ont vu le jour dans les années 1960, avec pour pionnier le </w:t>
      </w:r>
      <w:r w:rsidRPr="007631C2">
        <w:rPr>
          <w:rFonts w:asciiTheme="majorBidi" w:hAnsiTheme="majorBidi" w:cstheme="majorBidi"/>
          <w:i/>
          <w:iCs/>
        </w:rPr>
        <w:t xml:space="preserve">Canadian Geographic Information System (CGIS) </w:t>
      </w:r>
      <w:r w:rsidRPr="007631C2">
        <w:rPr>
          <w:rFonts w:asciiTheme="majorBidi" w:hAnsiTheme="majorBidi" w:cstheme="majorBidi"/>
        </w:rPr>
        <w:t xml:space="preserve">développé par Roger Tomlinson en 1964. Ce système visait principalement à inventorier l’utilisation des terres et des ressources naturelles sur le territoire canadien, inaugurant ainsi une nouvelle ère dans la gestion territoriale automatisée (DeMers, </w:t>
      </w:r>
      <w:proofErr w:type="gramStart"/>
      <w:r w:rsidRPr="007631C2">
        <w:rPr>
          <w:rFonts w:asciiTheme="majorBidi" w:hAnsiTheme="majorBidi" w:cstheme="majorBidi"/>
        </w:rPr>
        <w:t>2009;</w:t>
      </w:r>
      <w:proofErr w:type="gramEnd"/>
      <w:r w:rsidRPr="007631C2">
        <w:rPr>
          <w:rFonts w:asciiTheme="majorBidi" w:hAnsiTheme="majorBidi" w:cstheme="majorBidi"/>
        </w:rPr>
        <w:t xml:space="preserve"> Longley et al., 2015). D’autres projets importants suivirent, comme le New York Land Use Information System (1967) et le </w:t>
      </w:r>
      <w:r w:rsidRPr="007631C2">
        <w:rPr>
          <w:rFonts w:asciiTheme="majorBidi" w:hAnsiTheme="majorBidi" w:cstheme="majorBidi"/>
          <w:i/>
          <w:iCs/>
        </w:rPr>
        <w:t>Minnesota Information System (1969)</w:t>
      </w:r>
      <w:r w:rsidRPr="007631C2">
        <w:rPr>
          <w:rFonts w:asciiTheme="majorBidi" w:hAnsiTheme="majorBidi" w:cstheme="majorBidi"/>
        </w:rPr>
        <w:t xml:space="preserve">. Ces premiers systèmes, bien que coûteux et techniquement complexes, ont ouvert la voie à une évolution rapide avec le développement des micro-ordinateurs et l’amélioration des logiciels, permettant une diffusion et une accessibilité </w:t>
      </w:r>
      <w:r w:rsidR="00B113DD" w:rsidRPr="007631C2">
        <w:rPr>
          <w:rFonts w:asciiTheme="majorBidi" w:hAnsiTheme="majorBidi" w:cstheme="majorBidi"/>
        </w:rPr>
        <w:t>plus large</w:t>
      </w:r>
      <w:r w:rsidRPr="007631C2">
        <w:rPr>
          <w:rFonts w:asciiTheme="majorBidi" w:hAnsiTheme="majorBidi" w:cstheme="majorBidi"/>
        </w:rPr>
        <w:t xml:space="preserve"> des SIG dès les années 1980 (Chang, </w:t>
      </w:r>
      <w:proofErr w:type="gramStart"/>
      <w:r w:rsidRPr="007631C2">
        <w:rPr>
          <w:rFonts w:asciiTheme="majorBidi" w:hAnsiTheme="majorBidi" w:cstheme="majorBidi"/>
        </w:rPr>
        <w:t>2016;</w:t>
      </w:r>
      <w:proofErr w:type="gramEnd"/>
      <w:r w:rsidRPr="007631C2">
        <w:rPr>
          <w:rFonts w:asciiTheme="majorBidi" w:hAnsiTheme="majorBidi" w:cstheme="majorBidi"/>
        </w:rPr>
        <w:t xml:space="preserve"> Crampton, 2010).</w:t>
      </w:r>
    </w:p>
    <w:p w14:paraId="34875151" w14:textId="494181B3" w:rsidR="003F44FB" w:rsidRDefault="00B113DD" w:rsidP="00A81658">
      <w:pPr>
        <w:tabs>
          <w:tab w:val="left" w:pos="0"/>
        </w:tabs>
        <w:spacing w:before="120" w:after="240" w:line="360" w:lineRule="auto"/>
        <w:ind w:right="284"/>
        <w:contextualSpacing/>
        <w:jc w:val="both"/>
        <w:rPr>
          <w:rFonts w:asciiTheme="majorBidi" w:hAnsiTheme="majorBidi" w:cstheme="majorBidi"/>
        </w:rPr>
      </w:pPr>
      <w:r w:rsidRPr="007631C2">
        <w:rPr>
          <w:rFonts w:asciiTheme="majorBidi" w:hAnsiTheme="majorBidi" w:cstheme="majorBidi"/>
        </w:rPr>
        <w:t xml:space="preserve">L’importance </w:t>
      </w:r>
      <w:r w:rsidR="003F44FB" w:rsidRPr="007631C2">
        <w:rPr>
          <w:rFonts w:asciiTheme="majorBidi" w:hAnsiTheme="majorBidi" w:cstheme="majorBidi"/>
        </w:rPr>
        <w:t xml:space="preserve">des SIG réside dans leur capacité à intégrer et à croiser des informations spatiales à partir de différentes sources pour répondre à des questions complexes liées à l’aménagement du territoire, à la gestion des ressources, à la planification urbaine, à la protection de l’environnement et bien plus encore. Cette technologie ne se limite pas à la cartographie, mais englobe également l’analyse spatiale avancée, la modélisation et la visualisation dynamique, renforçant ainsi la prise de décision fondée sur des données fiables et précises (Burrough &amp; McDonnell, </w:t>
      </w:r>
      <w:proofErr w:type="gramStart"/>
      <w:r w:rsidR="003F44FB" w:rsidRPr="007631C2">
        <w:rPr>
          <w:rFonts w:asciiTheme="majorBidi" w:hAnsiTheme="majorBidi" w:cstheme="majorBidi"/>
        </w:rPr>
        <w:t>1998;</w:t>
      </w:r>
      <w:proofErr w:type="gramEnd"/>
      <w:r w:rsidR="003F44FB" w:rsidRPr="007631C2">
        <w:rPr>
          <w:rFonts w:asciiTheme="majorBidi" w:hAnsiTheme="majorBidi" w:cstheme="majorBidi"/>
        </w:rPr>
        <w:t xml:space="preserve"> Longley et al., 2015).</w:t>
      </w:r>
    </w:p>
    <w:p w14:paraId="1ECA0B06" w14:textId="6483EFAD" w:rsidR="00877CF6" w:rsidRDefault="00877CF6" w:rsidP="00A81658">
      <w:pPr>
        <w:pStyle w:val="Paragraphedeliste"/>
        <w:tabs>
          <w:tab w:val="left" w:pos="0"/>
        </w:tabs>
        <w:spacing w:before="120" w:after="240" w:line="360" w:lineRule="auto"/>
        <w:ind w:left="0" w:right="284"/>
        <w:jc w:val="both"/>
        <w:rPr>
          <w:rFonts w:asciiTheme="majorBidi" w:hAnsiTheme="majorBidi" w:cstheme="majorBidi"/>
          <w:b/>
          <w:bCs/>
        </w:rPr>
      </w:pPr>
      <w:r w:rsidRPr="00877CF6">
        <w:rPr>
          <w:rFonts w:asciiTheme="majorBidi" w:hAnsiTheme="majorBidi" w:cstheme="majorBidi"/>
          <w:b/>
          <w:bCs/>
        </w:rPr>
        <w:t>1. Définition d’un SIG (Système d’Information Géographique)</w:t>
      </w:r>
    </w:p>
    <w:p w14:paraId="1716D27F" w14:textId="45CB2EAA" w:rsidR="00242691" w:rsidRPr="00877CF6" w:rsidRDefault="00242691" w:rsidP="00A81658">
      <w:pPr>
        <w:pStyle w:val="Paragraphedeliste"/>
        <w:tabs>
          <w:tab w:val="left" w:pos="0"/>
        </w:tabs>
        <w:spacing w:before="120" w:after="240" w:line="360" w:lineRule="auto"/>
        <w:ind w:left="0" w:right="284"/>
        <w:jc w:val="both"/>
        <w:rPr>
          <w:rFonts w:asciiTheme="majorBidi" w:hAnsiTheme="majorBidi" w:cstheme="majorBidi"/>
        </w:rPr>
      </w:pPr>
      <w:r w:rsidRPr="00877CF6">
        <w:rPr>
          <w:rFonts w:asciiTheme="majorBidi" w:hAnsiTheme="majorBidi" w:cstheme="majorBidi"/>
        </w:rPr>
        <w:t>Un système d’information géographique (SIG) peut être défini comme un dispositif informatique intégrant des matériels, des logiciels et des procédures, destiné à l’acquisition, au stockage, au traitement, à l’analyse et à la représentation de données géoréférencées, dans le but d’apporter des solutions à des problématiques d’aménagement, de planification et de gestion du territoire. Les données dites à référence spatiale désignent toute information associée à une localisation sur la surface terrestre, qu’il s’agisse d’éléments directement reconnaissables comme une école ou une route, ou bien d’informations indirectement localisables telles qu’une adresse ou un propriétaire foncier.</w:t>
      </w:r>
    </w:p>
    <w:p w14:paraId="61961199" w14:textId="77777777" w:rsidR="00242691" w:rsidRPr="00242691" w:rsidRDefault="00242691" w:rsidP="00A81658">
      <w:pPr>
        <w:tabs>
          <w:tab w:val="left" w:pos="0"/>
        </w:tabs>
        <w:spacing w:before="120" w:after="240" w:line="360" w:lineRule="auto"/>
        <w:ind w:right="284"/>
        <w:contextualSpacing/>
        <w:jc w:val="both"/>
        <w:rPr>
          <w:rFonts w:asciiTheme="majorBidi" w:hAnsiTheme="majorBidi" w:cstheme="majorBidi"/>
        </w:rPr>
      </w:pPr>
      <w:r w:rsidRPr="00242691">
        <w:rPr>
          <w:rFonts w:asciiTheme="majorBidi" w:hAnsiTheme="majorBidi" w:cstheme="majorBidi"/>
        </w:rPr>
        <w:lastRenderedPageBreak/>
        <w:t>Selon Burrough et McDonnell (1998), le SIG repose sur la combinaison de plusieurs disciplines, dont la cartographie, la télédétection et l’informatique, afin de fournir un cadre cohérent pour organiser et analyser des données spatiales complexes. DeMers (2009) précise qu’un SIG ne se limite pas à un simple outil de visualisation, mais constitue un véritable système d’aide à la décision grâce à sa capacité à relier l’information géographique avec des attributs descriptifs. Longley et al. (2015) soulignent que le SIG est à la fois une technologie et une science – la </w:t>
      </w:r>
      <w:r w:rsidRPr="00242691">
        <w:rPr>
          <w:rFonts w:asciiTheme="majorBidi" w:hAnsiTheme="majorBidi" w:cstheme="majorBidi"/>
          <w:i/>
          <w:iCs/>
        </w:rPr>
        <w:t>Geographic Information Science</w:t>
      </w:r>
      <w:r w:rsidRPr="00242691">
        <w:rPr>
          <w:rFonts w:asciiTheme="majorBidi" w:hAnsiTheme="majorBidi" w:cstheme="majorBidi"/>
        </w:rPr>
        <w:t> –, dans la mesure où il permet non seulement de représenter le monde réel, mais aussi d’interroger son fonctionnement et ses dynamiques spatiales. Pour Chang (2016), les SIG jouent un rôle fondamental dans la résolution de problèmes concrets, allant de la gestion des ressources naturelles à l’urbanisme, en passant par la prévention des risques environnementaux. Enfin, Crampton (2010) met en avant la dimension critique du SIG, rappelant que la production et l’usage des cartes et bases de données spatiales ne sont pas neutres, mais chargés de choix méthodologiques et parfois de biais.</w:t>
      </w:r>
    </w:p>
    <w:p w14:paraId="7EB6EB81" w14:textId="77777777" w:rsidR="001B6D69" w:rsidRDefault="00242691" w:rsidP="00A81658">
      <w:pPr>
        <w:tabs>
          <w:tab w:val="left" w:pos="0"/>
        </w:tabs>
        <w:spacing w:before="120" w:after="240" w:line="360" w:lineRule="auto"/>
        <w:ind w:right="284"/>
        <w:contextualSpacing/>
        <w:jc w:val="both"/>
        <w:rPr>
          <w:rFonts w:asciiTheme="majorBidi" w:hAnsiTheme="majorBidi" w:cstheme="majorBidi"/>
        </w:rPr>
      </w:pPr>
      <w:r w:rsidRPr="00242691">
        <w:rPr>
          <w:rFonts w:asciiTheme="majorBidi" w:hAnsiTheme="majorBidi" w:cstheme="majorBidi"/>
        </w:rPr>
        <w:t>Ainsi, le SIG se présente comme un outil multidimensionnel qui combine collecte, traitement et visualisation de données spatiales, tout en ouvrant la voie à des analyses complexes nécessaires à la compréhension et à la gestion des territoires modernes</w:t>
      </w:r>
      <w:r w:rsidR="001B6D69">
        <w:rPr>
          <w:rFonts w:asciiTheme="majorBidi" w:hAnsiTheme="majorBidi" w:cstheme="majorBidi"/>
        </w:rPr>
        <w:t>.</w:t>
      </w:r>
    </w:p>
    <w:p w14:paraId="13BB4307" w14:textId="77777777" w:rsidR="001B6D69" w:rsidRPr="001B6D69" w:rsidRDefault="001B6D69" w:rsidP="00A81658">
      <w:pPr>
        <w:tabs>
          <w:tab w:val="left" w:pos="0"/>
        </w:tabs>
        <w:spacing w:before="120" w:after="240" w:line="360" w:lineRule="auto"/>
        <w:ind w:right="284"/>
        <w:contextualSpacing/>
        <w:jc w:val="both"/>
        <w:rPr>
          <w:rFonts w:asciiTheme="majorBidi" w:hAnsiTheme="majorBidi" w:cstheme="majorBidi"/>
          <w:sz w:val="8"/>
          <w:szCs w:val="8"/>
        </w:rPr>
      </w:pPr>
    </w:p>
    <w:p w14:paraId="355D4A3E" w14:textId="408D104B" w:rsidR="00877CF6" w:rsidRDefault="00877CF6" w:rsidP="00A81658">
      <w:pPr>
        <w:tabs>
          <w:tab w:val="left" w:pos="0"/>
        </w:tabs>
        <w:spacing w:before="120" w:after="240" w:line="360" w:lineRule="auto"/>
        <w:ind w:right="284"/>
        <w:contextualSpacing/>
        <w:jc w:val="both"/>
        <w:rPr>
          <w:rFonts w:asciiTheme="majorBidi" w:hAnsiTheme="majorBidi" w:cstheme="majorBidi"/>
          <w:b/>
          <w:bCs/>
        </w:rPr>
      </w:pPr>
      <w:r w:rsidRPr="00877CF6">
        <w:rPr>
          <w:rFonts w:asciiTheme="majorBidi" w:hAnsiTheme="majorBidi" w:cstheme="majorBidi"/>
          <w:b/>
          <w:bCs/>
        </w:rPr>
        <w:t>2. Les domaines d’utilisation du SIG</w:t>
      </w:r>
    </w:p>
    <w:p w14:paraId="36529DBF" w14:textId="77777777" w:rsidR="001B6D69" w:rsidRPr="001B6D69" w:rsidRDefault="001B6D69" w:rsidP="00A81658">
      <w:pPr>
        <w:tabs>
          <w:tab w:val="left" w:pos="0"/>
        </w:tabs>
        <w:spacing w:before="120" w:after="240" w:line="360" w:lineRule="auto"/>
        <w:ind w:right="284"/>
        <w:contextualSpacing/>
        <w:jc w:val="both"/>
        <w:rPr>
          <w:rFonts w:asciiTheme="majorBidi" w:hAnsiTheme="majorBidi" w:cstheme="majorBidi"/>
          <w:b/>
          <w:bCs/>
          <w:sz w:val="6"/>
          <w:szCs w:val="6"/>
        </w:rPr>
      </w:pPr>
    </w:p>
    <w:p w14:paraId="6A8315E5" w14:textId="77777777" w:rsidR="00877CF6" w:rsidRDefault="00877CF6" w:rsidP="00A81658">
      <w:pPr>
        <w:tabs>
          <w:tab w:val="left" w:pos="0"/>
        </w:tabs>
        <w:spacing w:before="120" w:after="240" w:line="360" w:lineRule="auto"/>
        <w:ind w:right="284"/>
        <w:contextualSpacing/>
        <w:jc w:val="both"/>
        <w:rPr>
          <w:rFonts w:asciiTheme="majorBidi" w:hAnsiTheme="majorBidi" w:cstheme="majorBidi"/>
        </w:rPr>
      </w:pPr>
      <w:r w:rsidRPr="00877CF6">
        <w:rPr>
          <w:rFonts w:asciiTheme="majorBidi" w:hAnsiTheme="majorBidi" w:cstheme="majorBidi"/>
        </w:rPr>
        <w:t>Les SIG ont des domaines d’application très variés, qui peuvent être distingués selon la taille spatiale de leur champ d’intervention, à savoir : petite, moyenne et grande échelle (1). Cette distinction est importante car elle conditionne à la fois la nature des données utilisées, l’échelle cartographique, la résolution spatiale et le type d’analyse réalisée (Crampton, 2010).</w:t>
      </w:r>
    </w:p>
    <w:p w14:paraId="54FC35CB" w14:textId="59520345" w:rsidR="00877CF6" w:rsidRPr="00877CF6" w:rsidRDefault="00877CF6" w:rsidP="00A81658">
      <w:pPr>
        <w:pStyle w:val="Paragraphedeliste"/>
        <w:numPr>
          <w:ilvl w:val="0"/>
          <w:numId w:val="5"/>
        </w:numPr>
        <w:tabs>
          <w:tab w:val="left" w:pos="0"/>
        </w:tabs>
        <w:spacing w:before="120" w:after="240" w:line="360" w:lineRule="auto"/>
        <w:ind w:right="284"/>
        <w:jc w:val="both"/>
        <w:rPr>
          <w:rFonts w:asciiTheme="majorBidi" w:hAnsiTheme="majorBidi" w:cstheme="majorBidi"/>
        </w:rPr>
      </w:pPr>
      <w:r w:rsidRPr="00877CF6">
        <w:rPr>
          <w:rFonts w:asciiTheme="majorBidi" w:hAnsiTheme="majorBidi" w:cstheme="majorBidi"/>
          <w:b/>
          <w:bCs/>
        </w:rPr>
        <w:t>Applications à</w:t>
      </w:r>
      <w:r>
        <w:rPr>
          <w:rFonts w:asciiTheme="majorBidi" w:hAnsiTheme="majorBidi" w:cstheme="majorBidi"/>
          <w:b/>
          <w:bCs/>
        </w:rPr>
        <w:t xml:space="preserve"> </w:t>
      </w:r>
      <w:r w:rsidRPr="00877CF6">
        <w:rPr>
          <w:rFonts w:asciiTheme="majorBidi" w:hAnsiTheme="majorBidi" w:cstheme="majorBidi"/>
          <w:b/>
          <w:bCs/>
        </w:rPr>
        <w:t>grande échelle (échelle 1/5000 à 1/1500)</w:t>
      </w:r>
    </w:p>
    <w:p w14:paraId="6AA8981E" w14:textId="77777777" w:rsidR="00877CF6" w:rsidRPr="00877CF6" w:rsidRDefault="00877CF6" w:rsidP="00A81658">
      <w:pPr>
        <w:tabs>
          <w:tab w:val="left" w:pos="0"/>
        </w:tabs>
        <w:spacing w:before="120" w:after="240" w:line="360" w:lineRule="auto"/>
        <w:ind w:right="284"/>
        <w:contextualSpacing/>
        <w:jc w:val="both"/>
        <w:rPr>
          <w:rFonts w:asciiTheme="majorBidi" w:hAnsiTheme="majorBidi" w:cstheme="majorBidi"/>
        </w:rPr>
      </w:pPr>
      <w:r w:rsidRPr="00877CF6">
        <w:rPr>
          <w:rFonts w:asciiTheme="majorBidi" w:hAnsiTheme="majorBidi" w:cstheme="majorBidi"/>
        </w:rPr>
        <w:t>Ce niveau spatial concerne généralement des zones localisées comme des parcelles agricoles, des quartiers urbains, ou des infrastructures précises. Les SIG y sont largement exploités pour :</w:t>
      </w:r>
    </w:p>
    <w:p w14:paraId="60E09BE6" w14:textId="6DE0F1D5" w:rsidR="00877CF6" w:rsidRPr="00877CF6" w:rsidRDefault="00877CF6" w:rsidP="00A81658">
      <w:pPr>
        <w:numPr>
          <w:ilvl w:val="0"/>
          <w:numId w:val="1"/>
        </w:numPr>
        <w:tabs>
          <w:tab w:val="left" w:pos="0"/>
        </w:tabs>
        <w:spacing w:before="120" w:after="240" w:line="360" w:lineRule="auto"/>
        <w:ind w:left="0" w:right="284"/>
        <w:contextualSpacing/>
        <w:jc w:val="both"/>
        <w:rPr>
          <w:rFonts w:asciiTheme="majorBidi" w:hAnsiTheme="majorBidi" w:cstheme="majorBidi"/>
        </w:rPr>
      </w:pPr>
      <w:r w:rsidRPr="00877CF6">
        <w:rPr>
          <w:rFonts w:asciiTheme="majorBidi" w:hAnsiTheme="majorBidi" w:cstheme="majorBidi"/>
        </w:rPr>
        <w:t>La gestion foncière et cadastrale, où ils facilitent la cartographie précise du bâti, l’évaluation des propriétés, le calcul des surfaces et la gestion des zones urbaines ou rurales (Michel Didier, 1990).</w:t>
      </w:r>
    </w:p>
    <w:p w14:paraId="23C9C111" w14:textId="471B14EA" w:rsidR="00877CF6" w:rsidRPr="00877CF6" w:rsidRDefault="00877CF6" w:rsidP="00A81658">
      <w:pPr>
        <w:numPr>
          <w:ilvl w:val="0"/>
          <w:numId w:val="1"/>
        </w:numPr>
        <w:tabs>
          <w:tab w:val="left" w:pos="0"/>
        </w:tabs>
        <w:spacing w:before="120" w:after="240" w:line="360" w:lineRule="auto"/>
        <w:ind w:left="0" w:right="284"/>
        <w:contextualSpacing/>
        <w:jc w:val="both"/>
        <w:rPr>
          <w:rFonts w:asciiTheme="majorBidi" w:hAnsiTheme="majorBidi" w:cstheme="majorBidi"/>
        </w:rPr>
      </w:pPr>
      <w:r w:rsidRPr="00877CF6">
        <w:rPr>
          <w:rFonts w:asciiTheme="majorBidi" w:hAnsiTheme="majorBidi" w:cstheme="majorBidi"/>
        </w:rPr>
        <w:t>La gestion des réseaux publics (adduction d’eau potable, assainissement, gaz, électricité), permettant la localisation des conduites, la surveillance, et la maintenance rapide des infrastructures.</w:t>
      </w:r>
    </w:p>
    <w:p w14:paraId="0E005BFB" w14:textId="5660AC1D" w:rsidR="00877CF6" w:rsidRPr="00877CF6" w:rsidRDefault="00877CF6" w:rsidP="00A81658">
      <w:pPr>
        <w:numPr>
          <w:ilvl w:val="0"/>
          <w:numId w:val="1"/>
        </w:numPr>
        <w:tabs>
          <w:tab w:val="left" w:pos="0"/>
        </w:tabs>
        <w:spacing w:before="120" w:after="240" w:line="360" w:lineRule="auto"/>
        <w:ind w:left="0" w:right="284"/>
        <w:contextualSpacing/>
        <w:jc w:val="both"/>
        <w:rPr>
          <w:rFonts w:asciiTheme="majorBidi" w:hAnsiTheme="majorBidi" w:cstheme="majorBidi"/>
        </w:rPr>
      </w:pPr>
      <w:r w:rsidRPr="00877CF6">
        <w:rPr>
          <w:rFonts w:asciiTheme="majorBidi" w:hAnsiTheme="majorBidi" w:cstheme="majorBidi"/>
        </w:rPr>
        <w:t>L’agriculture de précision, qui optimise la gestion des cultures à l’échelle parcellaire en intégrant des données pédologiques, climatiques et phytosanitaires. Les SIG combinés à la télédétection, au GPS et à des capteurs temps réel permettent de subdiviser les champs en zones homogènes, pour appliquer des traitements variables adaptés aux besoins spécifiques (fertilisation, irrigation, lutte contre les ravageurs).</w:t>
      </w:r>
    </w:p>
    <w:p w14:paraId="3ED56581" w14:textId="2411C8D3" w:rsidR="00877CF6" w:rsidRPr="00877CF6" w:rsidRDefault="00877CF6" w:rsidP="00A81658">
      <w:pPr>
        <w:pStyle w:val="Paragraphedeliste"/>
        <w:numPr>
          <w:ilvl w:val="0"/>
          <w:numId w:val="5"/>
        </w:numPr>
        <w:tabs>
          <w:tab w:val="left" w:pos="0"/>
        </w:tabs>
        <w:spacing w:before="120" w:after="240" w:line="360" w:lineRule="auto"/>
        <w:ind w:right="284"/>
        <w:jc w:val="both"/>
        <w:rPr>
          <w:rFonts w:asciiTheme="majorBidi" w:hAnsiTheme="majorBidi" w:cstheme="majorBidi"/>
          <w:b/>
          <w:bCs/>
        </w:rPr>
      </w:pPr>
      <w:r w:rsidRPr="00877CF6">
        <w:rPr>
          <w:rFonts w:asciiTheme="majorBidi" w:hAnsiTheme="majorBidi" w:cstheme="majorBidi"/>
          <w:b/>
          <w:bCs/>
        </w:rPr>
        <w:t>Applications à moyenne échelle (échelle 1/25000 à 1/50000)</w:t>
      </w:r>
    </w:p>
    <w:p w14:paraId="1BA3DDFB" w14:textId="77777777" w:rsidR="00877CF6" w:rsidRPr="00877CF6" w:rsidRDefault="00877CF6" w:rsidP="00A81658">
      <w:pPr>
        <w:tabs>
          <w:tab w:val="left" w:pos="0"/>
        </w:tabs>
        <w:spacing w:before="120" w:after="240" w:line="360" w:lineRule="auto"/>
        <w:ind w:right="284"/>
        <w:contextualSpacing/>
        <w:jc w:val="both"/>
        <w:rPr>
          <w:rFonts w:asciiTheme="majorBidi" w:hAnsiTheme="majorBidi" w:cstheme="majorBidi"/>
        </w:rPr>
      </w:pPr>
      <w:r w:rsidRPr="00877CF6">
        <w:rPr>
          <w:rFonts w:asciiTheme="majorBidi" w:hAnsiTheme="majorBidi" w:cstheme="majorBidi"/>
        </w:rPr>
        <w:t>Cette échelle couvre des territoires de taille intermédiaire comme des communes, des bassins versants ou des zones industrielles :</w:t>
      </w:r>
    </w:p>
    <w:p w14:paraId="7887B109" w14:textId="77777777" w:rsidR="00877CF6" w:rsidRPr="00877CF6" w:rsidRDefault="00877CF6" w:rsidP="00A81658">
      <w:pPr>
        <w:numPr>
          <w:ilvl w:val="0"/>
          <w:numId w:val="2"/>
        </w:numPr>
        <w:tabs>
          <w:tab w:val="left" w:pos="0"/>
        </w:tabs>
        <w:spacing w:before="120" w:after="240" w:line="360" w:lineRule="auto"/>
        <w:ind w:left="0" w:right="284"/>
        <w:contextualSpacing/>
        <w:jc w:val="both"/>
        <w:rPr>
          <w:rFonts w:asciiTheme="majorBidi" w:hAnsiTheme="majorBidi" w:cstheme="majorBidi"/>
        </w:rPr>
      </w:pPr>
      <w:r w:rsidRPr="00877CF6">
        <w:rPr>
          <w:rFonts w:asciiTheme="majorBidi" w:hAnsiTheme="majorBidi" w:cstheme="majorBidi"/>
        </w:rPr>
        <w:lastRenderedPageBreak/>
        <w:t>La gestion de l’environnement et des ressources naturelles y est essentielle, avec des SIG utilisés pour le suivi des forêts, des cours d’eau, et la modélisation des habitats fauniques ou des zones sensibles (Longley et al., 2015).</w:t>
      </w:r>
    </w:p>
    <w:p w14:paraId="089F91B8" w14:textId="77777777" w:rsidR="00877CF6" w:rsidRPr="00877CF6" w:rsidRDefault="00877CF6" w:rsidP="00A81658">
      <w:pPr>
        <w:numPr>
          <w:ilvl w:val="0"/>
          <w:numId w:val="2"/>
        </w:numPr>
        <w:tabs>
          <w:tab w:val="left" w:pos="0"/>
        </w:tabs>
        <w:spacing w:before="120" w:after="240" w:line="360" w:lineRule="auto"/>
        <w:ind w:left="0" w:right="284"/>
        <w:contextualSpacing/>
        <w:jc w:val="both"/>
        <w:rPr>
          <w:rFonts w:asciiTheme="majorBidi" w:hAnsiTheme="majorBidi" w:cstheme="majorBidi"/>
        </w:rPr>
      </w:pPr>
      <w:r w:rsidRPr="00877CF6">
        <w:rPr>
          <w:rFonts w:asciiTheme="majorBidi" w:hAnsiTheme="majorBidi" w:cstheme="majorBidi"/>
        </w:rPr>
        <w:t>L’urbanisme et la planification territoriale bénéficient de la représentation cartographique dynamique des infrastructures, des zones d’urbanisation, et de la localisation des équipements publics pour une planification cohérente et durable (Crampton, 2010).</w:t>
      </w:r>
    </w:p>
    <w:p w14:paraId="6CA60599" w14:textId="06807E52" w:rsidR="00877CF6" w:rsidRPr="00877CF6" w:rsidRDefault="00877CF6" w:rsidP="00A81658">
      <w:pPr>
        <w:numPr>
          <w:ilvl w:val="0"/>
          <w:numId w:val="2"/>
        </w:numPr>
        <w:tabs>
          <w:tab w:val="left" w:pos="0"/>
        </w:tabs>
        <w:spacing w:before="120" w:after="240" w:line="360" w:lineRule="auto"/>
        <w:ind w:left="0" w:right="284"/>
        <w:contextualSpacing/>
        <w:jc w:val="both"/>
        <w:rPr>
          <w:rFonts w:asciiTheme="majorBidi" w:hAnsiTheme="majorBidi" w:cstheme="majorBidi"/>
        </w:rPr>
      </w:pPr>
      <w:r w:rsidRPr="00877CF6">
        <w:rPr>
          <w:rFonts w:asciiTheme="majorBidi" w:hAnsiTheme="majorBidi" w:cstheme="majorBidi"/>
        </w:rPr>
        <w:t>La gestion des réseaux de transport, notamment la planification des itinéraires et la gestion de la circulation urbaine, repose sur des SIG intégrant plusieurs couches d’information spatiale (routes, signalisation, flux de trafic</w:t>
      </w:r>
      <w:r>
        <w:rPr>
          <w:rFonts w:asciiTheme="majorBidi" w:hAnsiTheme="majorBidi" w:cstheme="majorBidi"/>
        </w:rPr>
        <w:t>.</w:t>
      </w:r>
    </w:p>
    <w:p w14:paraId="3831C2E8" w14:textId="0A7ACCDC" w:rsidR="00877CF6" w:rsidRPr="00877CF6" w:rsidRDefault="00877CF6" w:rsidP="00A81658">
      <w:pPr>
        <w:pStyle w:val="Paragraphedeliste"/>
        <w:numPr>
          <w:ilvl w:val="0"/>
          <w:numId w:val="5"/>
        </w:numPr>
        <w:tabs>
          <w:tab w:val="left" w:pos="0"/>
        </w:tabs>
        <w:spacing w:before="120" w:after="240" w:line="360" w:lineRule="auto"/>
        <w:ind w:right="284"/>
        <w:jc w:val="both"/>
        <w:rPr>
          <w:rFonts w:asciiTheme="majorBidi" w:hAnsiTheme="majorBidi" w:cstheme="majorBidi"/>
          <w:b/>
          <w:bCs/>
        </w:rPr>
      </w:pPr>
      <w:r w:rsidRPr="00877CF6">
        <w:rPr>
          <w:rFonts w:asciiTheme="majorBidi" w:hAnsiTheme="majorBidi" w:cstheme="majorBidi"/>
          <w:b/>
          <w:bCs/>
        </w:rPr>
        <w:t xml:space="preserve"> Applications à</w:t>
      </w:r>
      <w:r>
        <w:rPr>
          <w:rFonts w:asciiTheme="majorBidi" w:hAnsiTheme="majorBidi" w:cstheme="majorBidi"/>
          <w:b/>
          <w:bCs/>
        </w:rPr>
        <w:t xml:space="preserve"> </w:t>
      </w:r>
      <w:r w:rsidRPr="00877CF6">
        <w:rPr>
          <w:rFonts w:asciiTheme="majorBidi" w:hAnsiTheme="majorBidi" w:cstheme="majorBidi"/>
          <w:b/>
          <w:bCs/>
        </w:rPr>
        <w:t>petite échelle (échelle 1/50000 et plus)</w:t>
      </w:r>
    </w:p>
    <w:p w14:paraId="680F0FBA" w14:textId="77777777" w:rsidR="00877CF6" w:rsidRPr="00877CF6" w:rsidRDefault="00877CF6" w:rsidP="00A81658">
      <w:pPr>
        <w:tabs>
          <w:tab w:val="left" w:pos="0"/>
        </w:tabs>
        <w:spacing w:before="120" w:after="240" w:line="360" w:lineRule="auto"/>
        <w:ind w:right="284"/>
        <w:contextualSpacing/>
        <w:jc w:val="both"/>
        <w:rPr>
          <w:rFonts w:asciiTheme="majorBidi" w:hAnsiTheme="majorBidi" w:cstheme="majorBidi"/>
        </w:rPr>
      </w:pPr>
      <w:r w:rsidRPr="00877CF6">
        <w:rPr>
          <w:rFonts w:asciiTheme="majorBidi" w:hAnsiTheme="majorBidi" w:cstheme="majorBidi"/>
        </w:rPr>
        <w:t>À ce niveau, les SIG sont utilisés pour des analyses à l’échelle régionale, nationale voire continentale, avec des bases de données très volumineuses :</w:t>
      </w:r>
    </w:p>
    <w:p w14:paraId="24DB3D6C" w14:textId="77777777" w:rsidR="00877CF6" w:rsidRPr="00877CF6" w:rsidRDefault="00877CF6" w:rsidP="00A81658">
      <w:pPr>
        <w:numPr>
          <w:ilvl w:val="0"/>
          <w:numId w:val="3"/>
        </w:numPr>
        <w:tabs>
          <w:tab w:val="left" w:pos="0"/>
        </w:tabs>
        <w:spacing w:before="120" w:after="240" w:line="360" w:lineRule="auto"/>
        <w:ind w:left="0" w:right="284"/>
        <w:contextualSpacing/>
        <w:jc w:val="both"/>
        <w:rPr>
          <w:rFonts w:asciiTheme="majorBidi" w:hAnsiTheme="majorBidi" w:cstheme="majorBidi"/>
        </w:rPr>
      </w:pPr>
      <w:r w:rsidRPr="00877CF6">
        <w:rPr>
          <w:rFonts w:asciiTheme="majorBidi" w:hAnsiTheme="majorBidi" w:cstheme="majorBidi"/>
        </w:rPr>
        <w:t>La surveillance des changements climatiques et environnementaux à large échelle, telle que l’analyse des déforestations, la cartographie des zones vulnérables et le suivi de la biodiversité à grande échelle (Burrough &amp; McDonnell, 1998).</w:t>
      </w:r>
    </w:p>
    <w:p w14:paraId="09D00C77" w14:textId="77777777" w:rsidR="00877CF6" w:rsidRPr="00877CF6" w:rsidRDefault="00877CF6" w:rsidP="00A81658">
      <w:pPr>
        <w:numPr>
          <w:ilvl w:val="0"/>
          <w:numId w:val="3"/>
        </w:numPr>
        <w:tabs>
          <w:tab w:val="left" w:pos="0"/>
        </w:tabs>
        <w:spacing w:before="120" w:after="240" w:line="360" w:lineRule="auto"/>
        <w:ind w:left="0" w:right="284"/>
        <w:contextualSpacing/>
        <w:jc w:val="both"/>
        <w:rPr>
          <w:rFonts w:asciiTheme="majorBidi" w:hAnsiTheme="majorBidi" w:cstheme="majorBidi"/>
        </w:rPr>
      </w:pPr>
      <w:r w:rsidRPr="00877CF6">
        <w:rPr>
          <w:rFonts w:asciiTheme="majorBidi" w:hAnsiTheme="majorBidi" w:cstheme="majorBidi"/>
        </w:rPr>
        <w:t>Les études d’aménagement du territoire stratégiques, permettant aux décideurs politiques d’intégrer des données socio-économiques, démographiques, et géographiques pour orienter les politiques publiques ou la gestion des risques (incendies, inondations) (DeMers, 2009).</w:t>
      </w:r>
    </w:p>
    <w:p w14:paraId="0D7AD580" w14:textId="2F6CE1DD" w:rsidR="00877CF6" w:rsidRDefault="00877CF6" w:rsidP="00A81658">
      <w:pPr>
        <w:numPr>
          <w:ilvl w:val="0"/>
          <w:numId w:val="3"/>
        </w:numPr>
        <w:tabs>
          <w:tab w:val="left" w:pos="0"/>
        </w:tabs>
        <w:spacing w:before="120" w:after="240" w:line="360" w:lineRule="auto"/>
        <w:ind w:left="0" w:right="284"/>
        <w:contextualSpacing/>
        <w:jc w:val="both"/>
        <w:rPr>
          <w:rFonts w:asciiTheme="majorBidi" w:hAnsiTheme="majorBidi" w:cstheme="majorBidi"/>
        </w:rPr>
      </w:pPr>
      <w:r w:rsidRPr="00877CF6">
        <w:rPr>
          <w:rFonts w:asciiTheme="majorBidi" w:hAnsiTheme="majorBidi" w:cstheme="majorBidi"/>
        </w:rPr>
        <w:t>L’exploitation minière et la gestion des ressources naturelles, avec la connaissance précise de la géologie et de la localisation des ressources exploitables à grande échelle</w:t>
      </w:r>
      <w:r w:rsidR="001B6D69">
        <w:rPr>
          <w:rFonts w:asciiTheme="majorBidi" w:hAnsiTheme="majorBidi" w:cstheme="majorBidi"/>
        </w:rPr>
        <w:t>.</w:t>
      </w:r>
    </w:p>
    <w:p w14:paraId="49769215" w14:textId="77777777" w:rsidR="001B6D69" w:rsidRPr="001B6D69" w:rsidRDefault="001B6D69" w:rsidP="00A81658">
      <w:pPr>
        <w:tabs>
          <w:tab w:val="left" w:pos="0"/>
        </w:tabs>
        <w:spacing w:before="120" w:after="240" w:line="360" w:lineRule="auto"/>
        <w:ind w:right="284"/>
        <w:contextualSpacing/>
        <w:jc w:val="both"/>
        <w:rPr>
          <w:rFonts w:asciiTheme="majorBidi" w:hAnsiTheme="majorBidi" w:cstheme="majorBidi"/>
          <w:sz w:val="14"/>
          <w:szCs w:val="14"/>
        </w:rPr>
      </w:pPr>
    </w:p>
    <w:p w14:paraId="5E623348" w14:textId="1BF72E06" w:rsidR="005F09C2" w:rsidRPr="00242691" w:rsidRDefault="005F09C2" w:rsidP="00A81658">
      <w:pPr>
        <w:tabs>
          <w:tab w:val="left" w:pos="0"/>
        </w:tabs>
        <w:spacing w:before="120" w:after="240" w:line="360" w:lineRule="auto"/>
        <w:ind w:right="284"/>
        <w:contextualSpacing/>
        <w:jc w:val="both"/>
        <w:rPr>
          <w:rFonts w:asciiTheme="majorBidi" w:hAnsiTheme="majorBidi" w:cstheme="majorBidi"/>
        </w:rPr>
      </w:pPr>
      <w:r w:rsidRPr="001B6D69">
        <w:rPr>
          <w:rFonts w:asciiTheme="majorBidi" w:hAnsiTheme="majorBidi" w:cstheme="majorBidi"/>
        </w:rPr>
        <w:t>En résumé, les SIG constituent des outils essentiels, adaptés à une grande diversité d’usages spatialisés et multisectoriels, avec une déclinaison fonctionnelle et technique selon l’échelle d’intervention. Leur utilisation en agriculture de précision illustre particulièrement la capacité des SIG à concilier granularité locale et optimisation des ressources, tandis que dans la gestion territoriale et environnementale, ils permettent d’aborder les enjeux à des échelles plus larges. L’évolution continue des technologies, notamment l’intégration croissante de l’intelligence artificielle et du big data, promet d’élargir encore davantage le champ d’application et la puissance des SIG (Longley et al., 2015).</w:t>
      </w:r>
    </w:p>
    <w:p w14:paraId="6BB25F39" w14:textId="63E90CA6" w:rsidR="00242691" w:rsidRPr="007631C2" w:rsidRDefault="00242691" w:rsidP="00A81658">
      <w:pPr>
        <w:tabs>
          <w:tab w:val="left" w:pos="0"/>
        </w:tabs>
        <w:spacing w:before="120" w:after="240" w:line="360" w:lineRule="auto"/>
        <w:ind w:right="284"/>
        <w:contextualSpacing/>
        <w:jc w:val="both"/>
        <w:rPr>
          <w:rFonts w:asciiTheme="majorBidi" w:hAnsiTheme="majorBidi" w:cstheme="majorBidi"/>
        </w:rPr>
      </w:pPr>
    </w:p>
    <w:p w14:paraId="555F0CF5" w14:textId="4584DF8F" w:rsidR="007E2C61" w:rsidRPr="007E2C61" w:rsidRDefault="007E2C61" w:rsidP="00A81658">
      <w:pPr>
        <w:tabs>
          <w:tab w:val="left" w:pos="0"/>
        </w:tabs>
        <w:spacing w:before="120" w:after="240" w:line="360" w:lineRule="auto"/>
        <w:ind w:right="284"/>
        <w:contextualSpacing/>
        <w:jc w:val="both"/>
        <w:rPr>
          <w:b/>
          <w:bCs/>
        </w:rPr>
      </w:pPr>
      <w:r w:rsidRPr="007E2C61">
        <w:rPr>
          <w:b/>
          <w:bCs/>
        </w:rPr>
        <w:t>3</w:t>
      </w:r>
      <w:r>
        <w:rPr>
          <w:b/>
          <w:bCs/>
        </w:rPr>
        <w:t>.</w:t>
      </w:r>
      <w:r w:rsidRPr="007E2C61">
        <w:rPr>
          <w:b/>
          <w:bCs/>
        </w:rPr>
        <w:t xml:space="preserve"> Les principales composantes d’un SIG</w:t>
      </w:r>
    </w:p>
    <w:p w14:paraId="3A810605" w14:textId="2702DCB2" w:rsidR="007E2C61" w:rsidRDefault="007E2C61" w:rsidP="00A81658">
      <w:pPr>
        <w:tabs>
          <w:tab w:val="left" w:pos="0"/>
        </w:tabs>
        <w:spacing w:before="120" w:after="240" w:line="360" w:lineRule="auto"/>
        <w:ind w:right="284"/>
        <w:contextualSpacing/>
        <w:jc w:val="both"/>
      </w:pPr>
      <w:r>
        <w:t>Un Système d’Information Géographique (SIG) repose classiquement sur cinq composantes interdépendantes : matériel, logiciels, données, personnes (compétences), et méthodes (processus/standards).</w:t>
      </w:r>
    </w:p>
    <w:p w14:paraId="1D7CF5BC" w14:textId="24123782" w:rsidR="007E2C61" w:rsidRDefault="007E2C61" w:rsidP="00A81658">
      <w:pPr>
        <w:pStyle w:val="Paragraphedeliste"/>
        <w:numPr>
          <w:ilvl w:val="1"/>
          <w:numId w:val="2"/>
        </w:numPr>
        <w:tabs>
          <w:tab w:val="left" w:pos="0"/>
        </w:tabs>
        <w:spacing w:before="120" w:after="240" w:line="360" w:lineRule="auto"/>
        <w:ind w:right="284"/>
        <w:jc w:val="both"/>
      </w:pPr>
      <w:r w:rsidRPr="007E2C61">
        <w:rPr>
          <w:b/>
          <w:bCs/>
        </w:rPr>
        <w:t>Matériel (hardware</w:t>
      </w:r>
      <w:proofErr w:type="gramStart"/>
      <w:r w:rsidRPr="007E2C61">
        <w:rPr>
          <w:b/>
          <w:bCs/>
        </w:rPr>
        <w:t>):</w:t>
      </w:r>
      <w:proofErr w:type="gramEnd"/>
      <w:r>
        <w:t xml:space="preserve"> postes de travail, serveurs, unités de stockage, réseaux, périphériques d’acquisition (GPS, stations GNSS, drones), et de sortie (imprimantes, traceurs). Le dimensionnement influe sur la performance et l’évolutivité.</w:t>
      </w:r>
    </w:p>
    <w:p w14:paraId="3CFB5607" w14:textId="42CABEB9" w:rsidR="007E2C61" w:rsidRDefault="007E2C61" w:rsidP="00A81658">
      <w:pPr>
        <w:pStyle w:val="Paragraphedeliste"/>
        <w:numPr>
          <w:ilvl w:val="1"/>
          <w:numId w:val="2"/>
        </w:numPr>
        <w:tabs>
          <w:tab w:val="left" w:pos="0"/>
        </w:tabs>
        <w:spacing w:before="120" w:after="240" w:line="360" w:lineRule="auto"/>
        <w:ind w:right="284"/>
        <w:jc w:val="both"/>
      </w:pPr>
      <w:r w:rsidRPr="007E2C61">
        <w:rPr>
          <w:b/>
          <w:bCs/>
        </w:rPr>
        <w:lastRenderedPageBreak/>
        <w:t>Logiciels (software</w:t>
      </w:r>
      <w:proofErr w:type="gramStart"/>
      <w:r w:rsidRPr="007E2C61">
        <w:rPr>
          <w:b/>
          <w:bCs/>
        </w:rPr>
        <w:t>):</w:t>
      </w:r>
      <w:proofErr w:type="gramEnd"/>
      <w:r>
        <w:t xml:space="preserve"> suites SIG bureautiques et serveur (p. ex. QGIS, ArcGIS, GRASS), moteurs de base de données spatiales (PostgreSQL/PostGIS), outils ETL, web mapping et géoservices (WMS/WFS). Les logiciels assurent les grandes fonctions SIG (acquisition, archivage, analyse, affichage, abstraction, anticipation).​</w:t>
      </w:r>
    </w:p>
    <w:p w14:paraId="112021D6" w14:textId="77777777" w:rsidR="007E2C61" w:rsidRDefault="007E2C61" w:rsidP="00A81658">
      <w:pPr>
        <w:tabs>
          <w:tab w:val="left" w:pos="0"/>
        </w:tabs>
        <w:spacing w:before="120" w:after="240" w:line="360" w:lineRule="auto"/>
        <w:ind w:right="284"/>
        <w:contextualSpacing/>
        <w:jc w:val="both"/>
      </w:pPr>
    </w:p>
    <w:p w14:paraId="18BED9AC" w14:textId="5B7727D6" w:rsidR="007E2C61" w:rsidRDefault="007E2C61" w:rsidP="00A81658">
      <w:pPr>
        <w:pStyle w:val="Paragraphedeliste"/>
        <w:numPr>
          <w:ilvl w:val="1"/>
          <w:numId w:val="2"/>
        </w:numPr>
        <w:tabs>
          <w:tab w:val="left" w:pos="0"/>
        </w:tabs>
        <w:spacing w:before="120" w:after="240" w:line="360" w:lineRule="auto"/>
        <w:ind w:right="284"/>
        <w:jc w:val="both"/>
      </w:pPr>
      <w:proofErr w:type="gramStart"/>
      <w:r w:rsidRPr="007E2C61">
        <w:rPr>
          <w:b/>
          <w:bCs/>
        </w:rPr>
        <w:t>Données</w:t>
      </w:r>
      <w:r>
        <w:t>:</w:t>
      </w:r>
      <w:proofErr w:type="gramEnd"/>
      <w:r>
        <w:t xml:space="preserve"> cœur du </w:t>
      </w:r>
      <w:proofErr w:type="gramStart"/>
      <w:r>
        <w:t>SIG;</w:t>
      </w:r>
      <w:proofErr w:type="gramEnd"/>
      <w:r>
        <w:t xml:space="preserve"> incluent données géométriques (vecteur/raster), attributaires, topologiques, et métadonnées (provenance, qualité, dates, systèmes de référence). Elles peuvent être produites en interne ou acquises auprès de producteurs.​</w:t>
      </w:r>
    </w:p>
    <w:p w14:paraId="6CDDDA9E" w14:textId="54266C42" w:rsidR="007E2C61" w:rsidRDefault="007E2C61" w:rsidP="00A81658">
      <w:pPr>
        <w:pStyle w:val="Paragraphedeliste"/>
        <w:numPr>
          <w:ilvl w:val="1"/>
          <w:numId w:val="2"/>
        </w:numPr>
        <w:tabs>
          <w:tab w:val="left" w:pos="0"/>
        </w:tabs>
        <w:spacing w:before="120" w:after="240" w:line="360" w:lineRule="auto"/>
        <w:ind w:right="284"/>
        <w:jc w:val="both"/>
      </w:pPr>
      <w:proofErr w:type="gramStart"/>
      <w:r w:rsidRPr="007E2C61">
        <w:rPr>
          <w:b/>
          <w:bCs/>
        </w:rPr>
        <w:t>Personnes  ou</w:t>
      </w:r>
      <w:proofErr w:type="gramEnd"/>
      <w:r w:rsidRPr="007E2C61">
        <w:rPr>
          <w:b/>
          <w:bCs/>
        </w:rPr>
        <w:t xml:space="preserve"> </w:t>
      </w:r>
      <w:proofErr w:type="gramStart"/>
      <w:r w:rsidRPr="007E2C61">
        <w:rPr>
          <w:b/>
          <w:bCs/>
        </w:rPr>
        <w:t>Utilisateur:</w:t>
      </w:r>
      <w:proofErr w:type="gramEnd"/>
      <w:r>
        <w:t xml:space="preserve"> décideurs, analystes, administrateurs de données, développeurs SIG, utilisateurs métiers. Les compétences couvrent géodésie/cartographie, BD spatiales, analyse, qualité et gouvernance des données.​</w:t>
      </w:r>
    </w:p>
    <w:p w14:paraId="51E278BA" w14:textId="28EB48A9" w:rsidR="007E2C61" w:rsidRDefault="007E2C61" w:rsidP="00A81658">
      <w:pPr>
        <w:pStyle w:val="Paragraphedeliste"/>
        <w:numPr>
          <w:ilvl w:val="1"/>
          <w:numId w:val="2"/>
        </w:numPr>
        <w:tabs>
          <w:tab w:val="left" w:pos="0"/>
        </w:tabs>
        <w:spacing w:before="120" w:after="240" w:line="360" w:lineRule="auto"/>
        <w:ind w:right="284"/>
        <w:jc w:val="both"/>
      </w:pPr>
      <w:proofErr w:type="gramStart"/>
      <w:r w:rsidRPr="007E2C61">
        <w:rPr>
          <w:b/>
          <w:bCs/>
        </w:rPr>
        <w:t>Méthodes:</w:t>
      </w:r>
      <w:proofErr w:type="gramEnd"/>
      <w:r>
        <w:t xml:space="preserve"> procédures, standards (ISO 191xx), nomenclatures, politiques de qualité, sécurité et cycle de vie des données (gouvernance, catalogage, publication). Elles garantissent interopérabilité et reproductibilité.</w:t>
      </w:r>
    </w:p>
    <w:p w14:paraId="2A3DCFF3" w14:textId="77777777" w:rsidR="007E2C61" w:rsidRDefault="007E2C61" w:rsidP="00A81658">
      <w:pPr>
        <w:tabs>
          <w:tab w:val="left" w:pos="0"/>
        </w:tabs>
        <w:spacing w:before="120" w:after="240" w:line="360" w:lineRule="auto"/>
        <w:ind w:right="284"/>
        <w:contextualSpacing/>
        <w:jc w:val="both"/>
      </w:pPr>
    </w:p>
    <w:p w14:paraId="205F5D6B" w14:textId="65CB23D1" w:rsidR="007E2C61" w:rsidRPr="003A16D6" w:rsidRDefault="003A16D6" w:rsidP="00A81658">
      <w:pPr>
        <w:tabs>
          <w:tab w:val="left" w:pos="0"/>
        </w:tabs>
        <w:spacing w:before="120" w:after="240" w:line="360" w:lineRule="auto"/>
        <w:ind w:right="284"/>
        <w:contextualSpacing/>
        <w:jc w:val="both"/>
        <w:rPr>
          <w:b/>
          <w:bCs/>
        </w:rPr>
      </w:pPr>
      <w:r w:rsidRPr="003A16D6">
        <w:rPr>
          <w:b/>
          <w:bCs/>
        </w:rPr>
        <w:t>4.</w:t>
      </w:r>
      <w:r w:rsidR="007E2C61" w:rsidRPr="003A16D6">
        <w:rPr>
          <w:b/>
          <w:bCs/>
        </w:rPr>
        <w:t xml:space="preserve"> Les fonctionnalités d’un SIG</w:t>
      </w:r>
    </w:p>
    <w:p w14:paraId="058F97EF" w14:textId="1D21899F" w:rsidR="007E2C61" w:rsidRDefault="007E2C61" w:rsidP="00A81658">
      <w:pPr>
        <w:tabs>
          <w:tab w:val="left" w:pos="0"/>
        </w:tabs>
        <w:spacing w:before="120" w:after="240" w:line="360" w:lineRule="auto"/>
        <w:ind w:right="284"/>
        <w:contextualSpacing/>
        <w:jc w:val="both"/>
      </w:pPr>
      <w:r>
        <w:t xml:space="preserve">On distingue des fonctions organisées en chaîne de valeur, souvent </w:t>
      </w:r>
      <w:r w:rsidR="003A16D6">
        <w:t>appeler</w:t>
      </w:r>
      <w:r>
        <w:t xml:space="preserve"> les « </w:t>
      </w:r>
      <w:r w:rsidR="003A16D6">
        <w:t>5</w:t>
      </w:r>
      <w:r>
        <w:t xml:space="preserve">A </w:t>
      </w:r>
      <w:proofErr w:type="gramStart"/>
      <w:r>
        <w:t>»:</w:t>
      </w:r>
      <w:proofErr w:type="gramEnd"/>
      <w:r>
        <w:t xml:space="preserve"> </w:t>
      </w:r>
      <w:r w:rsidR="003A16D6">
        <w:t xml:space="preserve">Abstraction, </w:t>
      </w:r>
      <w:r>
        <w:t>Acquisition, Archivage, Analyse, Affichage.​</w:t>
      </w:r>
    </w:p>
    <w:p w14:paraId="70CAAFB3" w14:textId="77777777" w:rsidR="003A16D6" w:rsidRDefault="003A16D6" w:rsidP="00A81658">
      <w:pPr>
        <w:tabs>
          <w:tab w:val="left" w:pos="0"/>
        </w:tabs>
        <w:spacing w:before="120" w:after="240" w:line="360" w:lineRule="auto"/>
        <w:ind w:right="284"/>
        <w:contextualSpacing/>
        <w:jc w:val="both"/>
      </w:pPr>
      <w:proofErr w:type="gramStart"/>
      <w:r w:rsidRPr="003A16D6">
        <w:rPr>
          <w:b/>
          <w:bCs/>
        </w:rPr>
        <w:t>Abstraction:</w:t>
      </w:r>
      <w:proofErr w:type="gramEnd"/>
      <w:r>
        <w:t xml:space="preserve"> représentation du réel via modèles de données, schémas conceptuels, généralisation cartographique, typologies d’objets.</w:t>
      </w:r>
    </w:p>
    <w:p w14:paraId="379489A3" w14:textId="77777777" w:rsidR="007E2C61" w:rsidRDefault="007E2C61" w:rsidP="00A81658">
      <w:pPr>
        <w:tabs>
          <w:tab w:val="left" w:pos="0"/>
        </w:tabs>
        <w:spacing w:before="120" w:after="240" w:line="360" w:lineRule="auto"/>
        <w:ind w:right="284"/>
        <w:contextualSpacing/>
        <w:jc w:val="both"/>
      </w:pPr>
      <w:proofErr w:type="gramStart"/>
      <w:r w:rsidRPr="003A16D6">
        <w:rPr>
          <w:b/>
          <w:bCs/>
        </w:rPr>
        <w:t>Acquisition:</w:t>
      </w:r>
      <w:proofErr w:type="gramEnd"/>
      <w:r>
        <w:t xml:space="preserve"> capture et intégration de données (digitalisation, import de fichiers, géoréférencement, télédétection, GPS). Contrôles d’intégrité et harmonisation des systèmes de coordonnées.</w:t>
      </w:r>
    </w:p>
    <w:p w14:paraId="049A7EBE" w14:textId="627BAF77" w:rsidR="007E2C61" w:rsidRDefault="007E2C61" w:rsidP="007040F9">
      <w:pPr>
        <w:tabs>
          <w:tab w:val="left" w:pos="0"/>
        </w:tabs>
        <w:spacing w:before="120" w:after="240" w:line="360" w:lineRule="auto"/>
        <w:ind w:right="284"/>
        <w:contextualSpacing/>
        <w:jc w:val="both"/>
      </w:pPr>
      <w:r w:rsidRPr="003A16D6">
        <w:rPr>
          <w:b/>
          <w:bCs/>
        </w:rPr>
        <w:t>Archivage (gestion de BD</w:t>
      </w:r>
      <w:proofErr w:type="gramStart"/>
      <w:r w:rsidRPr="003A16D6">
        <w:rPr>
          <w:b/>
          <w:bCs/>
        </w:rPr>
        <w:t>):</w:t>
      </w:r>
      <w:proofErr w:type="gramEnd"/>
      <w:r>
        <w:t xml:space="preserve"> stockage, indexation spatiale</w:t>
      </w:r>
      <w:proofErr w:type="gramStart"/>
      <w:r>
        <w:t>, ,</w:t>
      </w:r>
      <w:proofErr w:type="gramEnd"/>
      <w:r>
        <w:t xml:space="preserve"> métadonnées, sécurité des accès. Les géodatabases structurent entités</w:t>
      </w:r>
      <w:r w:rsidR="007040F9">
        <w:t xml:space="preserve"> ou </w:t>
      </w:r>
      <w:r>
        <w:t xml:space="preserve">rasters, </w:t>
      </w:r>
    </w:p>
    <w:p w14:paraId="45D2D472" w14:textId="3F5AFF73" w:rsidR="007E2C61" w:rsidRDefault="007E2C61" w:rsidP="00A81658">
      <w:pPr>
        <w:tabs>
          <w:tab w:val="left" w:pos="0"/>
        </w:tabs>
        <w:spacing w:before="120" w:after="240" w:line="360" w:lineRule="auto"/>
        <w:ind w:right="284"/>
        <w:contextualSpacing/>
        <w:jc w:val="both"/>
      </w:pPr>
      <w:proofErr w:type="gramStart"/>
      <w:r w:rsidRPr="003A16D6">
        <w:rPr>
          <w:b/>
          <w:bCs/>
        </w:rPr>
        <w:t>Analyse:</w:t>
      </w:r>
      <w:proofErr w:type="gramEnd"/>
      <w:r>
        <w:t xml:space="preserve"> requêtes attributaires et spatiales, géotraitements (buffer, </w:t>
      </w:r>
      <w:r w:rsidRPr="007040F9">
        <w:t>intersect</w:t>
      </w:r>
      <w:r>
        <w:t>, union), analyse réseau, géostatistique, modélisation spatiale et temporelle</w:t>
      </w:r>
      <w:r w:rsidR="003A16D6">
        <w:t xml:space="preserve">, </w:t>
      </w:r>
      <w:r w:rsidR="008366A8" w:rsidRPr="003A16D6">
        <w:rPr>
          <w:b/>
          <w:bCs/>
        </w:rPr>
        <w:t>l’Anticipation</w:t>
      </w:r>
      <w:r w:rsidR="003A16D6" w:rsidRPr="003A16D6">
        <w:rPr>
          <w:b/>
          <w:bCs/>
        </w:rPr>
        <w:t> </w:t>
      </w:r>
      <w:r w:rsidR="003A16D6">
        <w:t>; scénarios et simulation (risque, mobilité, environnement), prévision/spatialisation d’indicateurs</w:t>
      </w:r>
      <w:r w:rsidR="007040F9">
        <w:t xml:space="preserve"> et</w:t>
      </w:r>
      <w:r w:rsidR="003A16D6">
        <w:t xml:space="preserve"> aide à la décision</w:t>
      </w:r>
    </w:p>
    <w:p w14:paraId="0B269A2B" w14:textId="45E3B63A" w:rsidR="007E2C61" w:rsidRDefault="007E2C61" w:rsidP="00A81658">
      <w:pPr>
        <w:tabs>
          <w:tab w:val="left" w:pos="0"/>
        </w:tabs>
        <w:spacing w:before="120" w:after="240" w:line="360" w:lineRule="auto"/>
        <w:ind w:right="284"/>
        <w:contextualSpacing/>
        <w:jc w:val="both"/>
      </w:pPr>
      <w:proofErr w:type="gramStart"/>
      <w:r w:rsidRPr="003A16D6">
        <w:rPr>
          <w:b/>
          <w:bCs/>
        </w:rPr>
        <w:t>Affichage:</w:t>
      </w:r>
      <w:proofErr w:type="gramEnd"/>
      <w:r>
        <w:t xml:space="preserve"> symbolisation, cartographie thématique, compositions multi-couches, tableaux de bord, </w:t>
      </w:r>
      <w:proofErr w:type="gramStart"/>
      <w:r>
        <w:t>webmaps;</w:t>
      </w:r>
      <w:proofErr w:type="gramEnd"/>
      <w:r>
        <w:t xml:space="preserve"> respect des règles sémiologiques</w:t>
      </w:r>
      <w:r w:rsidR="003A16D6">
        <w:t xml:space="preserve"> graphiques</w:t>
      </w:r>
      <w:r>
        <w:t>.</w:t>
      </w:r>
    </w:p>
    <w:p w14:paraId="5490FA92" w14:textId="77777777" w:rsidR="007E2C61" w:rsidRDefault="007E2C61" w:rsidP="00A81658">
      <w:pPr>
        <w:tabs>
          <w:tab w:val="left" w:pos="0"/>
        </w:tabs>
        <w:spacing w:before="120" w:after="240" w:line="360" w:lineRule="auto"/>
        <w:ind w:right="284"/>
        <w:contextualSpacing/>
        <w:jc w:val="both"/>
      </w:pPr>
    </w:p>
    <w:p w14:paraId="58E994AB" w14:textId="4B5DF9CF" w:rsidR="007E2C61" w:rsidRPr="003A16D6" w:rsidRDefault="003A16D6" w:rsidP="00A81658">
      <w:pPr>
        <w:tabs>
          <w:tab w:val="left" w:pos="0"/>
        </w:tabs>
        <w:spacing w:before="120" w:after="240" w:line="360" w:lineRule="auto"/>
        <w:ind w:right="284"/>
        <w:contextualSpacing/>
        <w:jc w:val="both"/>
        <w:rPr>
          <w:b/>
          <w:bCs/>
        </w:rPr>
      </w:pPr>
      <w:r>
        <w:rPr>
          <w:b/>
          <w:bCs/>
        </w:rPr>
        <w:t>5</w:t>
      </w:r>
      <w:r w:rsidR="007E2C61" w:rsidRPr="003A16D6">
        <w:rPr>
          <w:b/>
          <w:bCs/>
        </w:rPr>
        <w:t>) Types de données dans les SIG</w:t>
      </w:r>
    </w:p>
    <w:p w14:paraId="7296D487" w14:textId="463F1958" w:rsidR="00D00D5C" w:rsidRPr="00D00D5C" w:rsidRDefault="00D00D5C" w:rsidP="00A81658">
      <w:pPr>
        <w:tabs>
          <w:tab w:val="left" w:pos="0"/>
        </w:tabs>
        <w:spacing w:before="120" w:after="240" w:line="360" w:lineRule="auto"/>
        <w:ind w:right="284"/>
        <w:contextualSpacing/>
        <w:jc w:val="both"/>
      </w:pPr>
      <w:r w:rsidRPr="00D00D5C">
        <w:t xml:space="preserve">Dans un SIG, les données spatiales sont représentées principalement selon deux modèles complémentaires : </w:t>
      </w:r>
      <w:r w:rsidRPr="00D00D5C">
        <w:rPr>
          <w:b/>
          <w:bCs/>
        </w:rPr>
        <w:t>le raster</w:t>
      </w:r>
      <w:r w:rsidRPr="00D00D5C">
        <w:t xml:space="preserve"> (adapté aux phénomènes continus </w:t>
      </w:r>
      <w:bookmarkStart w:id="0" w:name="_Hlk211759754"/>
      <w:r w:rsidRPr="00D00D5C">
        <w:t>dans l’espace</w:t>
      </w:r>
      <w:bookmarkEnd w:id="0"/>
      <w:r w:rsidRPr="00D00D5C">
        <w:t xml:space="preserve">) et </w:t>
      </w:r>
      <w:r w:rsidRPr="00D00D5C">
        <w:rPr>
          <w:b/>
          <w:bCs/>
        </w:rPr>
        <w:t>le vecteur</w:t>
      </w:r>
      <w:r w:rsidRPr="00D00D5C">
        <w:t xml:space="preserve"> (adapté aux objets limités et localisés</w:t>
      </w:r>
      <w:r>
        <w:t xml:space="preserve"> </w:t>
      </w:r>
      <w:r w:rsidRPr="00D00D5C">
        <w:t>dans l’espace). À ces géométries s’ajoutent des données associées (attributs et métadonnées)</w:t>
      </w:r>
      <w:r>
        <w:t>.</w:t>
      </w:r>
    </w:p>
    <w:p w14:paraId="1F64252C" w14:textId="599ABFC8" w:rsidR="00D00D5C" w:rsidRPr="00D00D5C" w:rsidRDefault="00D00D5C" w:rsidP="00A81658">
      <w:pPr>
        <w:pStyle w:val="Paragraphedeliste"/>
        <w:numPr>
          <w:ilvl w:val="1"/>
          <w:numId w:val="1"/>
        </w:numPr>
        <w:tabs>
          <w:tab w:val="left" w:pos="0"/>
        </w:tabs>
        <w:spacing w:before="120" w:after="240" w:line="360" w:lineRule="auto"/>
        <w:ind w:left="426" w:right="284"/>
        <w:jc w:val="both"/>
        <w:rPr>
          <w:b/>
          <w:bCs/>
        </w:rPr>
      </w:pPr>
      <w:r w:rsidRPr="00D00D5C">
        <w:rPr>
          <w:b/>
          <w:bCs/>
        </w:rPr>
        <w:lastRenderedPageBreak/>
        <w:t>Modèle raster — phénomènes continus</w:t>
      </w:r>
    </w:p>
    <w:p w14:paraId="5FF2D2A3" w14:textId="77777777" w:rsidR="00D00D5C" w:rsidRPr="00D00D5C" w:rsidRDefault="00D00D5C" w:rsidP="00A81658">
      <w:pPr>
        <w:numPr>
          <w:ilvl w:val="0"/>
          <w:numId w:val="6"/>
        </w:numPr>
        <w:tabs>
          <w:tab w:val="left" w:pos="0"/>
        </w:tabs>
        <w:spacing w:before="120" w:after="240" w:line="360" w:lineRule="auto"/>
        <w:ind w:right="284"/>
        <w:contextualSpacing/>
        <w:jc w:val="both"/>
        <w:rPr>
          <w:b/>
          <w:bCs/>
        </w:rPr>
      </w:pPr>
      <w:r w:rsidRPr="00D00D5C">
        <w:rPr>
          <w:b/>
          <w:bCs/>
        </w:rPr>
        <w:t>Définition</w:t>
      </w:r>
    </w:p>
    <w:p w14:paraId="0187A643" w14:textId="526EAC7F" w:rsidR="00D00D5C" w:rsidRPr="00D00D5C" w:rsidRDefault="00D00D5C" w:rsidP="00A81658">
      <w:pPr>
        <w:numPr>
          <w:ilvl w:val="1"/>
          <w:numId w:val="6"/>
        </w:numPr>
        <w:tabs>
          <w:tab w:val="left" w:pos="0"/>
        </w:tabs>
        <w:spacing w:before="120" w:after="240" w:line="360" w:lineRule="auto"/>
        <w:ind w:right="284"/>
        <w:contextualSpacing/>
        <w:jc w:val="both"/>
      </w:pPr>
      <w:r w:rsidRPr="00D00D5C">
        <w:t xml:space="preserve">Représentation matricielle du territoire sous forme d’une grille régulière de pixels, chaque cellule stockant une valeur numérique </w:t>
      </w:r>
      <w:r>
        <w:t>qui traduit l’intensité du phénomène</w:t>
      </w:r>
      <w:r w:rsidRPr="00D00D5C">
        <w:t>.</w:t>
      </w:r>
    </w:p>
    <w:p w14:paraId="4C021328" w14:textId="04439AD8" w:rsidR="00D00D5C" w:rsidRPr="00D00D5C" w:rsidRDefault="00D00D5C" w:rsidP="00A81658">
      <w:pPr>
        <w:numPr>
          <w:ilvl w:val="1"/>
          <w:numId w:val="6"/>
        </w:numPr>
        <w:tabs>
          <w:tab w:val="left" w:pos="0"/>
        </w:tabs>
        <w:spacing w:before="120" w:after="240" w:line="360" w:lineRule="auto"/>
        <w:ind w:right="284"/>
        <w:contextualSpacing/>
        <w:jc w:val="both"/>
      </w:pPr>
      <w:r w:rsidRPr="00D00D5C">
        <w:t xml:space="preserve">Idéal pour des champs spatiaux </w:t>
      </w:r>
      <w:r w:rsidR="00852D70" w:rsidRPr="00D00D5C">
        <w:t>continus :</w:t>
      </w:r>
      <w:r w:rsidRPr="00D00D5C">
        <w:t xml:space="preserve"> altitude, humidité du sol, température, réflectance, NDVI, classes d’occupation du sol dérivées d’imagerie.</w:t>
      </w:r>
    </w:p>
    <w:p w14:paraId="06A5D5EE" w14:textId="7ADC53C8" w:rsidR="00D00D5C" w:rsidRPr="00D00D5C" w:rsidRDefault="00D00D5C" w:rsidP="00A81658">
      <w:pPr>
        <w:numPr>
          <w:ilvl w:val="0"/>
          <w:numId w:val="6"/>
        </w:numPr>
        <w:tabs>
          <w:tab w:val="left" w:pos="0"/>
        </w:tabs>
        <w:spacing w:before="120" w:after="240" w:line="360" w:lineRule="auto"/>
        <w:ind w:right="284"/>
        <w:contextualSpacing/>
        <w:jc w:val="both"/>
        <w:rPr>
          <w:b/>
          <w:bCs/>
        </w:rPr>
      </w:pPr>
      <w:r w:rsidRPr="00D00D5C">
        <w:rPr>
          <w:b/>
          <w:bCs/>
        </w:rPr>
        <w:t xml:space="preserve">Propriétés </w:t>
      </w:r>
    </w:p>
    <w:p w14:paraId="230CB5B9" w14:textId="30981541" w:rsidR="00D00D5C" w:rsidRPr="00D00D5C" w:rsidRDefault="00D00D5C" w:rsidP="00A81658">
      <w:pPr>
        <w:numPr>
          <w:ilvl w:val="1"/>
          <w:numId w:val="6"/>
        </w:numPr>
        <w:tabs>
          <w:tab w:val="left" w:pos="0"/>
        </w:tabs>
        <w:spacing w:before="120" w:after="240" w:line="360" w:lineRule="auto"/>
        <w:ind w:right="284"/>
        <w:contextualSpacing/>
        <w:jc w:val="both"/>
      </w:pPr>
      <w:r w:rsidRPr="00D00D5C">
        <w:rPr>
          <w:b/>
          <w:bCs/>
        </w:rPr>
        <w:t>Résolution spatiale</w:t>
      </w:r>
      <w:r w:rsidR="00852D70">
        <w:rPr>
          <w:b/>
          <w:bCs/>
        </w:rPr>
        <w:t xml:space="preserve"> </w:t>
      </w:r>
      <w:r w:rsidRPr="00D00D5C">
        <w:rPr>
          <w:b/>
          <w:bCs/>
        </w:rPr>
        <w:t>:</w:t>
      </w:r>
      <w:r w:rsidRPr="00D00D5C">
        <w:t xml:space="preserve"> taille du pixel au sol</w:t>
      </w:r>
      <w:r>
        <w:t xml:space="preserve"> (résolution spatiale</w:t>
      </w:r>
      <w:proofErr w:type="gramStart"/>
      <w:r>
        <w:t>)</w:t>
      </w:r>
      <w:r w:rsidRPr="00D00D5C">
        <w:t>;</w:t>
      </w:r>
      <w:proofErr w:type="gramEnd"/>
      <w:r w:rsidRPr="00D00D5C">
        <w:t xml:space="preserve"> conditionne le niveau de détail, le volume de données et la précision </w:t>
      </w:r>
      <w:r>
        <w:t>des données</w:t>
      </w:r>
      <w:r w:rsidRPr="00D00D5C">
        <w:t>.</w:t>
      </w:r>
    </w:p>
    <w:p w14:paraId="39A43EC4" w14:textId="67E5BBE0" w:rsidR="00D00D5C" w:rsidRPr="00D00D5C" w:rsidRDefault="00D00D5C" w:rsidP="00A81658">
      <w:pPr>
        <w:numPr>
          <w:ilvl w:val="1"/>
          <w:numId w:val="6"/>
        </w:numPr>
        <w:tabs>
          <w:tab w:val="left" w:pos="0"/>
        </w:tabs>
        <w:spacing w:before="120" w:after="240" w:line="360" w:lineRule="auto"/>
        <w:ind w:right="284"/>
        <w:contextualSpacing/>
        <w:jc w:val="both"/>
      </w:pPr>
      <w:r w:rsidRPr="00D00D5C">
        <w:rPr>
          <w:b/>
          <w:bCs/>
        </w:rPr>
        <w:t xml:space="preserve">Emprise et </w:t>
      </w:r>
      <w:proofErr w:type="gramStart"/>
      <w:r w:rsidRPr="00D00D5C">
        <w:rPr>
          <w:b/>
          <w:bCs/>
        </w:rPr>
        <w:t>géoréférencement:</w:t>
      </w:r>
      <w:proofErr w:type="gramEnd"/>
      <w:r w:rsidRPr="00D00D5C">
        <w:t xml:space="preserve"> nombre de lignes/colonnes, système de </w:t>
      </w:r>
      <w:proofErr w:type="gramStart"/>
      <w:r w:rsidRPr="00D00D5C">
        <w:t>référence;</w:t>
      </w:r>
      <w:proofErr w:type="gramEnd"/>
      <w:r w:rsidRPr="00D00D5C">
        <w:t xml:space="preserve"> la cohérence est indispensable pour mosaïque ou superposer.</w:t>
      </w:r>
    </w:p>
    <w:p w14:paraId="6D08C6C2" w14:textId="736563E1" w:rsidR="00D00D5C" w:rsidRPr="00D00D5C" w:rsidRDefault="00D00D5C" w:rsidP="00A81658">
      <w:pPr>
        <w:numPr>
          <w:ilvl w:val="1"/>
          <w:numId w:val="6"/>
        </w:numPr>
        <w:tabs>
          <w:tab w:val="left" w:pos="0"/>
        </w:tabs>
        <w:spacing w:before="120" w:after="240" w:line="360" w:lineRule="auto"/>
        <w:ind w:right="284"/>
        <w:contextualSpacing/>
        <w:jc w:val="both"/>
      </w:pPr>
      <w:r w:rsidRPr="00D00D5C">
        <w:rPr>
          <w:b/>
          <w:bCs/>
        </w:rPr>
        <w:t xml:space="preserve">Valeurs et </w:t>
      </w:r>
      <w:proofErr w:type="gramStart"/>
      <w:r w:rsidRPr="00D00D5C">
        <w:rPr>
          <w:b/>
          <w:bCs/>
        </w:rPr>
        <w:t>types:</w:t>
      </w:r>
      <w:proofErr w:type="gramEnd"/>
      <w:r w:rsidRPr="00D00D5C">
        <w:t xml:space="preserve"> continues (p. ex. MNT en mètres) ou thématiques (codes de classes</w:t>
      </w:r>
      <w:proofErr w:type="gramStart"/>
      <w:r w:rsidRPr="00D00D5C">
        <w:t>)..</w:t>
      </w:r>
      <w:proofErr w:type="gramEnd"/>
    </w:p>
    <w:p w14:paraId="04BDED5A" w14:textId="77777777" w:rsidR="00D00D5C" w:rsidRPr="00D00D5C" w:rsidRDefault="00D00D5C" w:rsidP="00A81658">
      <w:pPr>
        <w:numPr>
          <w:ilvl w:val="0"/>
          <w:numId w:val="6"/>
        </w:numPr>
        <w:tabs>
          <w:tab w:val="left" w:pos="0"/>
        </w:tabs>
        <w:spacing w:before="120" w:after="240" w:line="360" w:lineRule="auto"/>
        <w:ind w:right="284"/>
        <w:contextualSpacing/>
        <w:jc w:val="both"/>
      </w:pPr>
      <w:r w:rsidRPr="00D00D5C">
        <w:t>Usages typiques</w:t>
      </w:r>
    </w:p>
    <w:p w14:paraId="05474654" w14:textId="5D6D23FF" w:rsidR="00D00D5C" w:rsidRPr="00D00D5C" w:rsidRDefault="00D00D5C" w:rsidP="00852D70">
      <w:pPr>
        <w:numPr>
          <w:ilvl w:val="1"/>
          <w:numId w:val="6"/>
        </w:numPr>
        <w:tabs>
          <w:tab w:val="left" w:pos="0"/>
        </w:tabs>
        <w:spacing w:before="120" w:after="240" w:line="360" w:lineRule="auto"/>
        <w:ind w:right="284"/>
        <w:contextualSpacing/>
        <w:jc w:val="both"/>
      </w:pPr>
      <w:r w:rsidRPr="00D00D5C">
        <w:t xml:space="preserve">Télédétection et indices (NDVI, NDWI), MNT/DSM, cartes de probabilité, surfaces </w:t>
      </w:r>
    </w:p>
    <w:p w14:paraId="1A61B393" w14:textId="3F0AD770" w:rsidR="00D00D5C" w:rsidRPr="00D00D5C" w:rsidRDefault="00D00D5C" w:rsidP="00A81658">
      <w:pPr>
        <w:numPr>
          <w:ilvl w:val="1"/>
          <w:numId w:val="6"/>
        </w:numPr>
        <w:tabs>
          <w:tab w:val="left" w:pos="0"/>
        </w:tabs>
        <w:spacing w:before="120" w:after="240" w:line="360" w:lineRule="auto"/>
        <w:ind w:right="284"/>
        <w:contextualSpacing/>
        <w:jc w:val="both"/>
      </w:pPr>
      <w:r w:rsidRPr="00D00D5C">
        <w:t xml:space="preserve">Analyses de voisinage et </w:t>
      </w:r>
      <w:proofErr w:type="gramStart"/>
      <w:r w:rsidRPr="00D00D5C">
        <w:t>surfaces:</w:t>
      </w:r>
      <w:proofErr w:type="gramEnd"/>
      <w:r w:rsidRPr="00D00D5C">
        <w:t xml:space="preserve"> interpolation, filtrage, calculs de pente/orientation</w:t>
      </w:r>
      <w:proofErr w:type="gramStart"/>
      <w:r w:rsidRPr="00D00D5C">
        <w:t>, ,</w:t>
      </w:r>
      <w:proofErr w:type="gramEnd"/>
      <w:r w:rsidRPr="00D00D5C">
        <w:t xml:space="preserve"> détection de changement multi-temporelle.</w:t>
      </w:r>
    </w:p>
    <w:p w14:paraId="3132C494" w14:textId="77777777" w:rsidR="00D00D5C" w:rsidRPr="00D00D5C" w:rsidRDefault="00D00D5C" w:rsidP="00A81658">
      <w:pPr>
        <w:numPr>
          <w:ilvl w:val="0"/>
          <w:numId w:val="6"/>
        </w:numPr>
        <w:tabs>
          <w:tab w:val="left" w:pos="0"/>
        </w:tabs>
        <w:spacing w:before="120" w:after="240" w:line="360" w:lineRule="auto"/>
        <w:ind w:right="284"/>
        <w:contextualSpacing/>
        <w:jc w:val="both"/>
      </w:pPr>
      <w:r w:rsidRPr="00D00D5C">
        <w:t>Formats et stockage</w:t>
      </w:r>
    </w:p>
    <w:p w14:paraId="03AC21C2" w14:textId="13B590F9" w:rsidR="00D00D5C" w:rsidRDefault="00D00D5C" w:rsidP="00A81658">
      <w:pPr>
        <w:numPr>
          <w:ilvl w:val="1"/>
          <w:numId w:val="6"/>
        </w:numPr>
        <w:tabs>
          <w:tab w:val="left" w:pos="0"/>
        </w:tabs>
        <w:spacing w:before="120" w:after="240" w:line="360" w:lineRule="auto"/>
        <w:ind w:right="284"/>
        <w:contextualSpacing/>
        <w:jc w:val="both"/>
      </w:pPr>
      <w:r w:rsidRPr="00D00D5C">
        <w:t>GeoTIFF (référence), IMG, COG, JPEG</w:t>
      </w:r>
      <w:proofErr w:type="gramStart"/>
      <w:r w:rsidRPr="00D00D5C">
        <w:t>2000;</w:t>
      </w:r>
      <w:proofErr w:type="gramEnd"/>
      <w:r w:rsidRPr="00D00D5C">
        <w:t xml:space="preserve"> pyramides et tuilage pour performance.</w:t>
      </w:r>
    </w:p>
    <w:p w14:paraId="5E6F40B3" w14:textId="77777777" w:rsidR="00D00D5C" w:rsidRPr="00D00D5C" w:rsidRDefault="00D00D5C" w:rsidP="00A81658">
      <w:pPr>
        <w:numPr>
          <w:ilvl w:val="1"/>
          <w:numId w:val="6"/>
        </w:numPr>
        <w:tabs>
          <w:tab w:val="left" w:pos="0"/>
        </w:tabs>
        <w:spacing w:before="120" w:after="240" w:line="360" w:lineRule="auto"/>
        <w:ind w:right="284"/>
        <w:contextualSpacing/>
        <w:jc w:val="both"/>
      </w:pPr>
    </w:p>
    <w:p w14:paraId="0C1ECCC8" w14:textId="42B453D3" w:rsidR="00D00D5C" w:rsidRPr="00D00D5C" w:rsidRDefault="00D00D5C" w:rsidP="00A81658">
      <w:pPr>
        <w:pStyle w:val="Paragraphedeliste"/>
        <w:numPr>
          <w:ilvl w:val="1"/>
          <w:numId w:val="1"/>
        </w:numPr>
        <w:tabs>
          <w:tab w:val="left" w:pos="0"/>
        </w:tabs>
        <w:spacing w:before="120" w:after="240" w:line="360" w:lineRule="auto"/>
        <w:ind w:left="426" w:right="284"/>
        <w:jc w:val="both"/>
        <w:rPr>
          <w:b/>
          <w:bCs/>
        </w:rPr>
      </w:pPr>
      <w:r w:rsidRPr="00D00D5C">
        <w:rPr>
          <w:b/>
          <w:bCs/>
        </w:rPr>
        <w:t>Modèle vecteur — objets discrets</w:t>
      </w:r>
    </w:p>
    <w:p w14:paraId="14A2D519" w14:textId="77777777" w:rsidR="00D00D5C" w:rsidRPr="00D00D5C" w:rsidRDefault="00D00D5C" w:rsidP="00A81658">
      <w:pPr>
        <w:numPr>
          <w:ilvl w:val="0"/>
          <w:numId w:val="7"/>
        </w:numPr>
        <w:tabs>
          <w:tab w:val="left" w:pos="0"/>
        </w:tabs>
        <w:spacing w:before="120" w:after="240" w:line="360" w:lineRule="auto"/>
        <w:ind w:right="284"/>
        <w:contextualSpacing/>
        <w:jc w:val="both"/>
        <w:rPr>
          <w:b/>
          <w:bCs/>
        </w:rPr>
      </w:pPr>
      <w:r w:rsidRPr="00D00D5C">
        <w:rPr>
          <w:b/>
          <w:bCs/>
        </w:rPr>
        <w:t>Définition</w:t>
      </w:r>
    </w:p>
    <w:p w14:paraId="45D5DBA6" w14:textId="7D1C65B1" w:rsidR="00D00D5C" w:rsidRPr="00D00D5C" w:rsidRDefault="00D00D5C" w:rsidP="00A81658">
      <w:pPr>
        <w:numPr>
          <w:ilvl w:val="1"/>
          <w:numId w:val="7"/>
        </w:numPr>
        <w:tabs>
          <w:tab w:val="left" w:pos="0"/>
        </w:tabs>
        <w:spacing w:before="120" w:after="240" w:line="360" w:lineRule="auto"/>
        <w:ind w:right="284"/>
        <w:contextualSpacing/>
        <w:jc w:val="both"/>
      </w:pPr>
      <w:r w:rsidRPr="00D00D5C">
        <w:t xml:space="preserve">Représentation d’entités individualisées par des </w:t>
      </w:r>
      <w:proofErr w:type="gramStart"/>
      <w:r w:rsidRPr="00D00D5C">
        <w:t>géométries:</w:t>
      </w:r>
      <w:proofErr w:type="gramEnd"/>
      <w:r w:rsidRPr="00D00D5C">
        <w:t xml:space="preserve"> </w:t>
      </w:r>
      <w:r w:rsidR="008558E9">
        <w:t>polypont (</w:t>
      </w:r>
      <w:r w:rsidRPr="00D00D5C">
        <w:t>points</w:t>
      </w:r>
      <w:proofErr w:type="gramStart"/>
      <w:r w:rsidR="008558E9">
        <w:t>)</w:t>
      </w:r>
      <w:r w:rsidRPr="00D00D5C">
        <w:t xml:space="preserve">, </w:t>
      </w:r>
      <w:r w:rsidR="008558E9">
        <w:t xml:space="preserve"> (</w:t>
      </w:r>
      <w:proofErr w:type="gramEnd"/>
      <w:r w:rsidR="008558E9">
        <w:t xml:space="preserve">polyligne) </w:t>
      </w:r>
      <w:r w:rsidRPr="00D00D5C">
        <w:t xml:space="preserve">lignes, </w:t>
      </w:r>
      <w:r w:rsidR="008558E9">
        <w:t>zone surfacique (</w:t>
      </w:r>
      <w:r w:rsidRPr="00D00D5C">
        <w:t>polygones</w:t>
      </w:r>
      <w:proofErr w:type="gramStart"/>
      <w:r w:rsidR="008558E9">
        <w:t>)</w:t>
      </w:r>
      <w:r w:rsidRPr="00D00D5C">
        <w:t>;</w:t>
      </w:r>
      <w:proofErr w:type="gramEnd"/>
      <w:r w:rsidRPr="00D00D5C">
        <w:t xml:space="preserve"> chaque entité est « limitée et localisée » et associée à un enregistrement attributaire.</w:t>
      </w:r>
    </w:p>
    <w:p w14:paraId="385858A8" w14:textId="77777777" w:rsidR="00D00D5C" w:rsidRPr="00D00D5C" w:rsidRDefault="00D00D5C" w:rsidP="00A81658">
      <w:pPr>
        <w:numPr>
          <w:ilvl w:val="0"/>
          <w:numId w:val="7"/>
        </w:numPr>
        <w:tabs>
          <w:tab w:val="left" w:pos="0"/>
        </w:tabs>
        <w:spacing w:before="120" w:after="240" w:line="360" w:lineRule="auto"/>
        <w:ind w:right="284"/>
        <w:contextualSpacing/>
        <w:jc w:val="both"/>
      </w:pPr>
      <w:r w:rsidRPr="00D00D5C">
        <w:t>Propriétés clés</w:t>
      </w:r>
    </w:p>
    <w:p w14:paraId="37B0EB4B" w14:textId="7C30410C" w:rsidR="00D00D5C" w:rsidRDefault="00D00D5C" w:rsidP="00A81658">
      <w:pPr>
        <w:numPr>
          <w:ilvl w:val="1"/>
          <w:numId w:val="7"/>
        </w:numPr>
        <w:tabs>
          <w:tab w:val="left" w:pos="0"/>
        </w:tabs>
        <w:spacing w:before="120" w:after="240" w:line="360" w:lineRule="auto"/>
        <w:ind w:right="284"/>
        <w:contextualSpacing/>
        <w:jc w:val="both"/>
      </w:pPr>
      <w:r w:rsidRPr="00D00D5C">
        <w:t xml:space="preserve">Précision </w:t>
      </w:r>
      <w:proofErr w:type="gramStart"/>
      <w:r w:rsidRPr="00D00D5C">
        <w:t>géométrique:</w:t>
      </w:r>
      <w:proofErr w:type="gramEnd"/>
      <w:r w:rsidRPr="00D00D5C">
        <w:t xml:space="preserve"> dépend de l’échelle/source, et des tolérances de digitalisation</w:t>
      </w:r>
      <w:r w:rsidR="008558E9">
        <w:t xml:space="preserve"> ou vectorisation</w:t>
      </w:r>
      <w:r w:rsidRPr="00D00D5C">
        <w:t>.</w:t>
      </w:r>
    </w:p>
    <w:p w14:paraId="1FB8EEC8" w14:textId="58ED2D86" w:rsidR="008558E9" w:rsidRPr="00D00D5C" w:rsidRDefault="008558E9" w:rsidP="00A81658">
      <w:pPr>
        <w:tabs>
          <w:tab w:val="left" w:pos="0"/>
        </w:tabs>
        <w:spacing w:before="120" w:after="240" w:line="360" w:lineRule="auto"/>
        <w:ind w:left="1440" w:right="284"/>
        <w:contextualSpacing/>
        <w:jc w:val="both"/>
      </w:pPr>
    </w:p>
    <w:p w14:paraId="193F6B4C" w14:textId="77777777" w:rsidR="00D00D5C" w:rsidRPr="00D00D5C" w:rsidRDefault="00D00D5C" w:rsidP="00A81658">
      <w:pPr>
        <w:numPr>
          <w:ilvl w:val="0"/>
          <w:numId w:val="7"/>
        </w:numPr>
        <w:tabs>
          <w:tab w:val="left" w:pos="0"/>
        </w:tabs>
        <w:spacing w:before="120" w:after="240" w:line="360" w:lineRule="auto"/>
        <w:ind w:right="284"/>
        <w:contextualSpacing/>
        <w:jc w:val="both"/>
      </w:pPr>
      <w:r w:rsidRPr="00D00D5C">
        <w:t>Usages typiques</w:t>
      </w:r>
    </w:p>
    <w:p w14:paraId="31040E4A" w14:textId="687AD2DE" w:rsidR="00D00D5C" w:rsidRPr="00D00D5C" w:rsidRDefault="00D00D5C" w:rsidP="00A81658">
      <w:pPr>
        <w:numPr>
          <w:ilvl w:val="1"/>
          <w:numId w:val="7"/>
        </w:numPr>
        <w:tabs>
          <w:tab w:val="left" w:pos="0"/>
        </w:tabs>
        <w:spacing w:before="120" w:after="240" w:line="360" w:lineRule="auto"/>
        <w:ind w:right="284"/>
        <w:contextualSpacing/>
        <w:jc w:val="both"/>
      </w:pPr>
      <w:r w:rsidRPr="00D00D5C">
        <w:t xml:space="preserve">Parcellaire, réseaux (routes, eau, électricité), zonages règlementaires, inventaires d’objets (points d’échantillonnage, </w:t>
      </w:r>
      <w:r w:rsidR="008558E9">
        <w:t xml:space="preserve">points </w:t>
      </w:r>
      <w:proofErr w:type="gramStart"/>
      <w:r w:rsidR="008558E9">
        <w:t>d’observation..</w:t>
      </w:r>
      <w:proofErr w:type="gramEnd"/>
      <w:r w:rsidRPr="00D00D5C">
        <w:t>).</w:t>
      </w:r>
    </w:p>
    <w:p w14:paraId="03A4F1E5" w14:textId="6FF93759" w:rsidR="00D00D5C" w:rsidRPr="00D00D5C" w:rsidRDefault="00D00D5C" w:rsidP="00A6088C">
      <w:pPr>
        <w:numPr>
          <w:ilvl w:val="1"/>
          <w:numId w:val="7"/>
        </w:numPr>
        <w:tabs>
          <w:tab w:val="left" w:pos="0"/>
        </w:tabs>
        <w:spacing w:before="120" w:after="240" w:line="360" w:lineRule="auto"/>
        <w:ind w:right="284"/>
        <w:contextualSpacing/>
        <w:jc w:val="both"/>
      </w:pPr>
      <w:proofErr w:type="gramStart"/>
      <w:r w:rsidRPr="00D00D5C">
        <w:t>Analyses:</w:t>
      </w:r>
      <w:proofErr w:type="gramEnd"/>
      <w:r w:rsidRPr="00D00D5C">
        <w:t xml:space="preserve"> jointures et requêtes spatiales, buffers, superpositions (intersect/union)</w:t>
      </w:r>
      <w:r w:rsidR="008558E9">
        <w:t xml:space="preserve"> </w:t>
      </w:r>
    </w:p>
    <w:p w14:paraId="69E09CD4" w14:textId="77777777" w:rsidR="00D00D5C" w:rsidRPr="00D00D5C" w:rsidRDefault="00D00D5C" w:rsidP="00A81658">
      <w:pPr>
        <w:numPr>
          <w:ilvl w:val="0"/>
          <w:numId w:val="7"/>
        </w:numPr>
        <w:tabs>
          <w:tab w:val="left" w:pos="0"/>
        </w:tabs>
        <w:spacing w:before="120" w:after="240" w:line="360" w:lineRule="auto"/>
        <w:ind w:right="284"/>
        <w:contextualSpacing/>
        <w:jc w:val="both"/>
      </w:pPr>
      <w:r w:rsidRPr="00D00D5C">
        <w:t>Formats et stockage</w:t>
      </w:r>
    </w:p>
    <w:p w14:paraId="68ED6B85" w14:textId="77A06F41" w:rsidR="00D00D5C" w:rsidRPr="00D00D5C" w:rsidRDefault="008558E9" w:rsidP="00A81658">
      <w:pPr>
        <w:numPr>
          <w:ilvl w:val="1"/>
          <w:numId w:val="7"/>
        </w:numPr>
        <w:tabs>
          <w:tab w:val="left" w:pos="0"/>
        </w:tabs>
        <w:spacing w:before="120" w:after="240" w:line="360" w:lineRule="auto"/>
        <w:ind w:right="284"/>
        <w:contextualSpacing/>
        <w:jc w:val="both"/>
      </w:pPr>
      <w:r>
        <w:lastRenderedPageBreak/>
        <w:t xml:space="preserve"> Tab pour </w:t>
      </w:r>
      <w:proofErr w:type="gramStart"/>
      <w:r>
        <w:t>MapInfo ,</w:t>
      </w:r>
      <w:proofErr w:type="gramEnd"/>
      <w:r>
        <w:t xml:space="preserve"> </w:t>
      </w:r>
      <w:r w:rsidR="00D00D5C" w:rsidRPr="00D00D5C">
        <w:t>GeoPackage (recommandé), Shapefile (héritage, limites connues), GeoJSON (échange), GPKG/FGDB pour projets robustes.</w:t>
      </w:r>
    </w:p>
    <w:p w14:paraId="034FC920" w14:textId="77777777" w:rsidR="008558E9" w:rsidRDefault="008558E9" w:rsidP="00A81658">
      <w:pPr>
        <w:tabs>
          <w:tab w:val="left" w:pos="0"/>
        </w:tabs>
        <w:spacing w:before="120" w:after="240" w:line="360" w:lineRule="auto"/>
        <w:ind w:right="284"/>
        <w:contextualSpacing/>
        <w:jc w:val="both"/>
        <w:rPr>
          <w:b/>
          <w:bCs/>
        </w:rPr>
      </w:pPr>
    </w:p>
    <w:p w14:paraId="7C4D72D9" w14:textId="60D916E2" w:rsidR="00D00D5C" w:rsidRPr="00D00D5C" w:rsidRDefault="00D00D5C" w:rsidP="00A81658">
      <w:pPr>
        <w:tabs>
          <w:tab w:val="left" w:pos="0"/>
        </w:tabs>
        <w:spacing w:before="120" w:after="240" w:line="360" w:lineRule="auto"/>
        <w:ind w:right="284"/>
        <w:contextualSpacing/>
        <w:jc w:val="both"/>
        <w:rPr>
          <w:b/>
          <w:bCs/>
        </w:rPr>
      </w:pPr>
      <w:r w:rsidRPr="00D00D5C">
        <w:rPr>
          <w:b/>
          <w:bCs/>
        </w:rPr>
        <w:t>Données associées — donner du sens aux géométries et pixels</w:t>
      </w:r>
    </w:p>
    <w:p w14:paraId="423BDB2E" w14:textId="77777777" w:rsidR="00D00D5C" w:rsidRPr="00D00D5C" w:rsidRDefault="00D00D5C" w:rsidP="00A81658">
      <w:pPr>
        <w:numPr>
          <w:ilvl w:val="0"/>
          <w:numId w:val="8"/>
        </w:numPr>
        <w:tabs>
          <w:tab w:val="left" w:pos="0"/>
        </w:tabs>
        <w:spacing w:before="120" w:after="240" w:line="360" w:lineRule="auto"/>
        <w:ind w:right="284"/>
        <w:contextualSpacing/>
        <w:jc w:val="both"/>
      </w:pPr>
      <w:r w:rsidRPr="00D00D5C">
        <w:t>Attributs</w:t>
      </w:r>
    </w:p>
    <w:p w14:paraId="0D54405E" w14:textId="77777777" w:rsidR="00D00D5C" w:rsidRPr="00D00D5C" w:rsidRDefault="00D00D5C" w:rsidP="00A81658">
      <w:pPr>
        <w:numPr>
          <w:ilvl w:val="1"/>
          <w:numId w:val="8"/>
        </w:numPr>
        <w:tabs>
          <w:tab w:val="left" w:pos="0"/>
        </w:tabs>
        <w:spacing w:before="120" w:after="240" w:line="360" w:lineRule="auto"/>
        <w:ind w:right="284"/>
        <w:contextualSpacing/>
        <w:jc w:val="both"/>
      </w:pPr>
      <w:r w:rsidRPr="00D00D5C">
        <w:t xml:space="preserve">Tables descriptives liées aux géométries par identifiant unique (ID), essentielles pour la </w:t>
      </w:r>
      <w:proofErr w:type="gramStart"/>
      <w:r w:rsidRPr="00D00D5C">
        <w:t>thématique:</w:t>
      </w:r>
      <w:proofErr w:type="gramEnd"/>
      <w:r w:rsidRPr="00D00D5C">
        <w:t xml:space="preserve"> culture, surface, pH, date, statut.</w:t>
      </w:r>
    </w:p>
    <w:p w14:paraId="5710BCD3" w14:textId="77777777" w:rsidR="00D00D5C" w:rsidRPr="00D00D5C" w:rsidRDefault="00D00D5C" w:rsidP="00A81658">
      <w:pPr>
        <w:numPr>
          <w:ilvl w:val="0"/>
          <w:numId w:val="8"/>
        </w:numPr>
        <w:tabs>
          <w:tab w:val="left" w:pos="0"/>
        </w:tabs>
        <w:spacing w:before="120" w:after="240" w:line="360" w:lineRule="auto"/>
        <w:ind w:right="284"/>
        <w:contextualSpacing/>
        <w:jc w:val="both"/>
      </w:pPr>
      <w:r w:rsidRPr="00D00D5C">
        <w:t>Métadonnées</w:t>
      </w:r>
    </w:p>
    <w:p w14:paraId="3828C3BE" w14:textId="77777777" w:rsidR="00D00D5C" w:rsidRPr="00D00D5C" w:rsidRDefault="00D00D5C" w:rsidP="00A81658">
      <w:pPr>
        <w:numPr>
          <w:ilvl w:val="1"/>
          <w:numId w:val="8"/>
        </w:numPr>
        <w:tabs>
          <w:tab w:val="left" w:pos="0"/>
        </w:tabs>
        <w:spacing w:before="120" w:after="240" w:line="360" w:lineRule="auto"/>
        <w:ind w:right="284"/>
        <w:contextualSpacing/>
        <w:jc w:val="both"/>
      </w:pPr>
      <w:r w:rsidRPr="00D00D5C">
        <w:t xml:space="preserve">« Données sur les données </w:t>
      </w:r>
      <w:proofErr w:type="gramStart"/>
      <w:r w:rsidRPr="00D00D5C">
        <w:t>»:</w:t>
      </w:r>
      <w:proofErr w:type="gramEnd"/>
      <w:r w:rsidRPr="00D00D5C">
        <w:t xml:space="preserve"> producteur, date d’acquisition, méthode, précision, SRC/EPSG, licence, historique de traitements.</w:t>
      </w:r>
    </w:p>
    <w:p w14:paraId="4829B6E6" w14:textId="46CD361C" w:rsidR="00D00D5C" w:rsidRPr="00D00D5C" w:rsidRDefault="00D00D5C" w:rsidP="00A81658">
      <w:pPr>
        <w:numPr>
          <w:ilvl w:val="0"/>
          <w:numId w:val="8"/>
        </w:numPr>
        <w:tabs>
          <w:tab w:val="left" w:pos="0"/>
        </w:tabs>
        <w:spacing w:before="120" w:after="240" w:line="360" w:lineRule="auto"/>
        <w:ind w:right="284"/>
        <w:contextualSpacing/>
        <w:jc w:val="both"/>
      </w:pPr>
      <w:r w:rsidRPr="00D00D5C">
        <w:t xml:space="preserve">Styles </w:t>
      </w:r>
    </w:p>
    <w:p w14:paraId="035A600A" w14:textId="025CFF11" w:rsidR="00D00D5C" w:rsidRPr="00D00D5C" w:rsidRDefault="00D00D5C" w:rsidP="00A81658">
      <w:pPr>
        <w:numPr>
          <w:ilvl w:val="1"/>
          <w:numId w:val="8"/>
        </w:numPr>
        <w:tabs>
          <w:tab w:val="left" w:pos="0"/>
        </w:tabs>
        <w:spacing w:before="120" w:after="240" w:line="360" w:lineRule="auto"/>
        <w:ind w:right="284"/>
        <w:contextualSpacing/>
        <w:jc w:val="both"/>
      </w:pPr>
      <w:r w:rsidRPr="00D00D5C">
        <w:t xml:space="preserve">Règles de symbolisation, étiquettes, mises en </w:t>
      </w:r>
      <w:proofErr w:type="gramStart"/>
      <w:r w:rsidRPr="00D00D5C">
        <w:t>page;</w:t>
      </w:r>
      <w:proofErr w:type="gramEnd"/>
      <w:r w:rsidRPr="00D00D5C">
        <w:t xml:space="preserve"> sémiologie cartographique </w:t>
      </w:r>
      <w:r w:rsidR="00A6088C" w:rsidRPr="00D00D5C">
        <w:t xml:space="preserve">cohérente </w:t>
      </w:r>
      <w:r w:rsidR="00A6088C">
        <w:t xml:space="preserve">pour </w:t>
      </w:r>
      <w:r w:rsidR="00506393">
        <w:t xml:space="preserve">fin de </w:t>
      </w:r>
      <w:r w:rsidR="00A6088C">
        <w:t>reproduction</w:t>
      </w:r>
      <w:r w:rsidRPr="00D00D5C">
        <w:t>.</w:t>
      </w:r>
    </w:p>
    <w:p w14:paraId="3D2301E0" w14:textId="7AFD71E9" w:rsidR="00D00D5C" w:rsidRPr="00D00D5C" w:rsidRDefault="00D00D5C" w:rsidP="00A81658">
      <w:pPr>
        <w:tabs>
          <w:tab w:val="left" w:pos="0"/>
        </w:tabs>
        <w:spacing w:before="120" w:after="240" w:line="360" w:lineRule="auto"/>
        <w:ind w:right="284"/>
        <w:contextualSpacing/>
        <w:jc w:val="both"/>
        <w:rPr>
          <w:b/>
          <w:bCs/>
        </w:rPr>
      </w:pPr>
      <w:r w:rsidRPr="00D00D5C">
        <w:rPr>
          <w:b/>
          <w:bCs/>
        </w:rPr>
        <w:t xml:space="preserve">Choisir raster ou </w:t>
      </w:r>
      <w:r w:rsidR="00A6088C" w:rsidRPr="00D00D5C">
        <w:rPr>
          <w:b/>
          <w:bCs/>
        </w:rPr>
        <w:t>vecteur :</w:t>
      </w:r>
      <w:r w:rsidRPr="00D00D5C">
        <w:rPr>
          <w:b/>
          <w:bCs/>
        </w:rPr>
        <w:t xml:space="preserve"> règle pratique</w:t>
      </w:r>
    </w:p>
    <w:p w14:paraId="030BC898" w14:textId="70C3F01B" w:rsidR="00D00D5C" w:rsidRPr="00D00D5C" w:rsidRDefault="00D00D5C" w:rsidP="00A81658">
      <w:pPr>
        <w:numPr>
          <w:ilvl w:val="0"/>
          <w:numId w:val="9"/>
        </w:numPr>
        <w:tabs>
          <w:tab w:val="left" w:pos="0"/>
        </w:tabs>
        <w:spacing w:before="120" w:after="240" w:line="360" w:lineRule="auto"/>
        <w:ind w:right="284"/>
        <w:contextualSpacing/>
        <w:jc w:val="both"/>
      </w:pPr>
      <w:r w:rsidRPr="00D00D5C">
        <w:t>Préférez le raster lorsque le phénomène est continu, mesuré par des capteurs</w:t>
      </w:r>
      <w:r w:rsidR="00A6088C">
        <w:t xml:space="preserve"> ou modélisation</w:t>
      </w:r>
    </w:p>
    <w:p w14:paraId="761B1701" w14:textId="77777777" w:rsidR="00D00D5C" w:rsidRPr="00D00D5C" w:rsidRDefault="00D00D5C" w:rsidP="00A81658">
      <w:pPr>
        <w:numPr>
          <w:ilvl w:val="0"/>
          <w:numId w:val="9"/>
        </w:numPr>
        <w:tabs>
          <w:tab w:val="left" w:pos="0"/>
        </w:tabs>
        <w:spacing w:before="120" w:after="240" w:line="360" w:lineRule="auto"/>
        <w:ind w:right="284"/>
        <w:contextualSpacing/>
        <w:jc w:val="both"/>
      </w:pPr>
      <w:r w:rsidRPr="00D00D5C">
        <w:t>Préférez le vecteur lorsque les entités sont discrètes, porteuses d’identités uniques et de relations topologiques explicites (réseaux, limites, objets individuels).</w:t>
      </w:r>
    </w:p>
    <w:p w14:paraId="084E6C84" w14:textId="76BBCF06" w:rsidR="00D00D5C" w:rsidRPr="00D00D5C" w:rsidRDefault="00D00D5C" w:rsidP="00A81658">
      <w:pPr>
        <w:numPr>
          <w:ilvl w:val="0"/>
          <w:numId w:val="9"/>
        </w:numPr>
        <w:tabs>
          <w:tab w:val="left" w:pos="0"/>
        </w:tabs>
        <w:spacing w:before="120" w:after="240" w:line="360" w:lineRule="auto"/>
        <w:ind w:right="284"/>
        <w:contextualSpacing/>
        <w:jc w:val="both"/>
      </w:pPr>
      <w:r w:rsidRPr="00D00D5C">
        <w:t xml:space="preserve">La combinaison des deux est </w:t>
      </w:r>
      <w:r w:rsidR="00EE0E65" w:rsidRPr="00D00D5C">
        <w:t>fréquente :</w:t>
      </w:r>
      <w:r w:rsidRPr="00D00D5C">
        <w:t xml:space="preserve"> par exemple, extraire des statistiques zonales d’un raster NDVI par polygone de </w:t>
      </w:r>
      <w:r w:rsidR="00EE0E65" w:rsidRPr="00D00D5C">
        <w:t>parcelle ;</w:t>
      </w:r>
      <w:r w:rsidRPr="00D00D5C">
        <w:t xml:space="preserve"> ou convertir un MNT raster en courbes de niveau vecteur selon le besoin d’édition.</w:t>
      </w:r>
    </w:p>
    <w:p w14:paraId="19F83679" w14:textId="48E0C949" w:rsidR="003F44FB" w:rsidRPr="003F44FB" w:rsidRDefault="003F44FB" w:rsidP="00A81658">
      <w:pPr>
        <w:tabs>
          <w:tab w:val="left" w:pos="0"/>
        </w:tabs>
        <w:spacing w:before="120" w:after="240" w:line="360" w:lineRule="auto"/>
        <w:ind w:right="284"/>
        <w:contextualSpacing/>
        <w:jc w:val="both"/>
      </w:pPr>
    </w:p>
    <w:sectPr w:rsidR="003F44FB" w:rsidRPr="003F44FB" w:rsidSect="00877CF6">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05E"/>
    <w:multiLevelType w:val="hybridMultilevel"/>
    <w:tmpl w:val="78445468"/>
    <w:lvl w:ilvl="0" w:tplc="3A763EC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60E91"/>
    <w:multiLevelType w:val="multilevel"/>
    <w:tmpl w:val="E1FA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D42416"/>
    <w:multiLevelType w:val="multilevel"/>
    <w:tmpl w:val="33BE74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576BA3"/>
    <w:multiLevelType w:val="multilevel"/>
    <w:tmpl w:val="440CD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546DBD"/>
    <w:multiLevelType w:val="multilevel"/>
    <w:tmpl w:val="CCAEE0F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6107C1"/>
    <w:multiLevelType w:val="multilevel"/>
    <w:tmpl w:val="6CA0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151A0C"/>
    <w:multiLevelType w:val="multilevel"/>
    <w:tmpl w:val="FD1A88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275F9E"/>
    <w:multiLevelType w:val="multilevel"/>
    <w:tmpl w:val="DF04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394A1F"/>
    <w:multiLevelType w:val="multilevel"/>
    <w:tmpl w:val="707253C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B81275"/>
    <w:multiLevelType w:val="hybridMultilevel"/>
    <w:tmpl w:val="AB5092B4"/>
    <w:lvl w:ilvl="0" w:tplc="8290409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279760F"/>
    <w:multiLevelType w:val="multilevel"/>
    <w:tmpl w:val="D4EA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4864378">
    <w:abstractNumId w:val="4"/>
  </w:num>
  <w:num w:numId="2" w16cid:durableId="306935030">
    <w:abstractNumId w:val="8"/>
  </w:num>
  <w:num w:numId="3" w16cid:durableId="1446999895">
    <w:abstractNumId w:val="7"/>
  </w:num>
  <w:num w:numId="4" w16cid:durableId="1104303537">
    <w:abstractNumId w:val="0"/>
  </w:num>
  <w:num w:numId="5" w16cid:durableId="146014389">
    <w:abstractNumId w:val="9"/>
  </w:num>
  <w:num w:numId="6" w16cid:durableId="2015572038">
    <w:abstractNumId w:val="2"/>
  </w:num>
  <w:num w:numId="7" w16cid:durableId="1007564331">
    <w:abstractNumId w:val="3"/>
  </w:num>
  <w:num w:numId="8" w16cid:durableId="1963996088">
    <w:abstractNumId w:val="6"/>
  </w:num>
  <w:num w:numId="9" w16cid:durableId="264463783">
    <w:abstractNumId w:val="10"/>
  </w:num>
  <w:num w:numId="10" w16cid:durableId="764764462">
    <w:abstractNumId w:val="1"/>
  </w:num>
  <w:num w:numId="11" w16cid:durableId="935554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FB"/>
    <w:rsid w:val="001B6D69"/>
    <w:rsid w:val="00242691"/>
    <w:rsid w:val="00312624"/>
    <w:rsid w:val="003A16D6"/>
    <w:rsid w:val="003F44FB"/>
    <w:rsid w:val="00506393"/>
    <w:rsid w:val="005F09C2"/>
    <w:rsid w:val="007040F9"/>
    <w:rsid w:val="007631C2"/>
    <w:rsid w:val="007E2C61"/>
    <w:rsid w:val="008366A8"/>
    <w:rsid w:val="00852D70"/>
    <w:rsid w:val="008558E9"/>
    <w:rsid w:val="00877CF6"/>
    <w:rsid w:val="008C7B8C"/>
    <w:rsid w:val="00A6088C"/>
    <w:rsid w:val="00A81658"/>
    <w:rsid w:val="00B113DD"/>
    <w:rsid w:val="00BD626E"/>
    <w:rsid w:val="00D00D5C"/>
    <w:rsid w:val="00D965B2"/>
    <w:rsid w:val="00EE0E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5180"/>
  <w15:chartTrackingRefBased/>
  <w15:docId w15:val="{55BAC4F3-BEBB-4FFC-B2DD-0589070A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D69"/>
  </w:style>
  <w:style w:type="paragraph" w:styleId="Titre1">
    <w:name w:val="heading 1"/>
    <w:basedOn w:val="Normal"/>
    <w:next w:val="Normal"/>
    <w:link w:val="Titre1Car"/>
    <w:uiPriority w:val="9"/>
    <w:qFormat/>
    <w:rsid w:val="001B6D69"/>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itre2">
    <w:name w:val="heading 2"/>
    <w:basedOn w:val="Normal"/>
    <w:next w:val="Normal"/>
    <w:link w:val="Titre2Car"/>
    <w:uiPriority w:val="9"/>
    <w:semiHidden/>
    <w:unhideWhenUsed/>
    <w:qFormat/>
    <w:rsid w:val="001B6D6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itre3">
    <w:name w:val="heading 3"/>
    <w:basedOn w:val="Normal"/>
    <w:next w:val="Normal"/>
    <w:link w:val="Titre3Car"/>
    <w:uiPriority w:val="9"/>
    <w:semiHidden/>
    <w:unhideWhenUsed/>
    <w:qFormat/>
    <w:rsid w:val="001B6D69"/>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itre4">
    <w:name w:val="heading 4"/>
    <w:basedOn w:val="Normal"/>
    <w:next w:val="Normal"/>
    <w:link w:val="Titre4Car"/>
    <w:uiPriority w:val="9"/>
    <w:semiHidden/>
    <w:unhideWhenUsed/>
    <w:qFormat/>
    <w:rsid w:val="001B6D69"/>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itre5">
    <w:name w:val="heading 5"/>
    <w:basedOn w:val="Normal"/>
    <w:next w:val="Normal"/>
    <w:link w:val="Titre5Car"/>
    <w:uiPriority w:val="9"/>
    <w:semiHidden/>
    <w:unhideWhenUsed/>
    <w:qFormat/>
    <w:rsid w:val="001B6D69"/>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itre6">
    <w:name w:val="heading 6"/>
    <w:basedOn w:val="Normal"/>
    <w:next w:val="Normal"/>
    <w:link w:val="Titre6Car"/>
    <w:uiPriority w:val="9"/>
    <w:semiHidden/>
    <w:unhideWhenUsed/>
    <w:qFormat/>
    <w:rsid w:val="001B6D69"/>
    <w:pPr>
      <w:keepNext/>
      <w:keepLines/>
      <w:spacing w:before="40" w:after="0"/>
      <w:outlineLvl w:val="5"/>
    </w:pPr>
    <w:rPr>
      <w:rFonts w:asciiTheme="majorHAnsi" w:eastAsiaTheme="majorEastAsia" w:hAnsiTheme="majorHAnsi" w:cstheme="majorBidi"/>
      <w:color w:val="70AD47" w:themeColor="accent6"/>
    </w:rPr>
  </w:style>
  <w:style w:type="paragraph" w:styleId="Titre7">
    <w:name w:val="heading 7"/>
    <w:basedOn w:val="Normal"/>
    <w:next w:val="Normal"/>
    <w:link w:val="Titre7Car"/>
    <w:uiPriority w:val="9"/>
    <w:semiHidden/>
    <w:unhideWhenUsed/>
    <w:qFormat/>
    <w:rsid w:val="001B6D69"/>
    <w:pPr>
      <w:keepNext/>
      <w:keepLines/>
      <w:spacing w:before="40" w:after="0"/>
      <w:outlineLvl w:val="6"/>
    </w:pPr>
    <w:rPr>
      <w:rFonts w:asciiTheme="majorHAnsi" w:eastAsiaTheme="majorEastAsia" w:hAnsiTheme="majorHAnsi" w:cstheme="majorBidi"/>
      <w:b/>
      <w:bCs/>
      <w:color w:val="70AD47" w:themeColor="accent6"/>
    </w:rPr>
  </w:style>
  <w:style w:type="paragraph" w:styleId="Titre8">
    <w:name w:val="heading 8"/>
    <w:basedOn w:val="Normal"/>
    <w:next w:val="Normal"/>
    <w:link w:val="Titre8Car"/>
    <w:uiPriority w:val="9"/>
    <w:semiHidden/>
    <w:unhideWhenUsed/>
    <w:qFormat/>
    <w:rsid w:val="001B6D69"/>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itre9">
    <w:name w:val="heading 9"/>
    <w:basedOn w:val="Normal"/>
    <w:next w:val="Normal"/>
    <w:link w:val="Titre9Car"/>
    <w:uiPriority w:val="9"/>
    <w:semiHidden/>
    <w:unhideWhenUsed/>
    <w:qFormat/>
    <w:rsid w:val="001B6D69"/>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6D69"/>
    <w:rPr>
      <w:rFonts w:asciiTheme="majorHAnsi" w:eastAsiaTheme="majorEastAsia" w:hAnsiTheme="majorHAnsi" w:cstheme="majorBidi"/>
      <w:color w:val="538135" w:themeColor="accent6" w:themeShade="BF"/>
      <w:sz w:val="40"/>
      <w:szCs w:val="40"/>
    </w:rPr>
  </w:style>
  <w:style w:type="character" w:customStyle="1" w:styleId="Titre2Car">
    <w:name w:val="Titre 2 Car"/>
    <w:basedOn w:val="Policepardfaut"/>
    <w:link w:val="Titre2"/>
    <w:uiPriority w:val="9"/>
    <w:semiHidden/>
    <w:rsid w:val="001B6D69"/>
    <w:rPr>
      <w:rFonts w:asciiTheme="majorHAnsi" w:eastAsiaTheme="majorEastAsia" w:hAnsiTheme="majorHAnsi" w:cstheme="majorBidi"/>
      <w:color w:val="538135" w:themeColor="accent6" w:themeShade="BF"/>
      <w:sz w:val="28"/>
      <w:szCs w:val="28"/>
    </w:rPr>
  </w:style>
  <w:style w:type="character" w:customStyle="1" w:styleId="Titre3Car">
    <w:name w:val="Titre 3 Car"/>
    <w:basedOn w:val="Policepardfaut"/>
    <w:link w:val="Titre3"/>
    <w:uiPriority w:val="9"/>
    <w:semiHidden/>
    <w:rsid w:val="001B6D69"/>
    <w:rPr>
      <w:rFonts w:asciiTheme="majorHAnsi" w:eastAsiaTheme="majorEastAsia" w:hAnsiTheme="majorHAnsi" w:cstheme="majorBidi"/>
      <w:color w:val="538135" w:themeColor="accent6" w:themeShade="BF"/>
      <w:sz w:val="24"/>
      <w:szCs w:val="24"/>
    </w:rPr>
  </w:style>
  <w:style w:type="character" w:customStyle="1" w:styleId="Titre4Car">
    <w:name w:val="Titre 4 Car"/>
    <w:basedOn w:val="Policepardfaut"/>
    <w:link w:val="Titre4"/>
    <w:uiPriority w:val="9"/>
    <w:semiHidden/>
    <w:rsid w:val="001B6D69"/>
    <w:rPr>
      <w:rFonts w:asciiTheme="majorHAnsi" w:eastAsiaTheme="majorEastAsia" w:hAnsiTheme="majorHAnsi" w:cstheme="majorBidi"/>
      <w:color w:val="70AD47" w:themeColor="accent6"/>
      <w:sz w:val="22"/>
      <w:szCs w:val="22"/>
    </w:rPr>
  </w:style>
  <w:style w:type="character" w:customStyle="1" w:styleId="Titre5Car">
    <w:name w:val="Titre 5 Car"/>
    <w:basedOn w:val="Policepardfaut"/>
    <w:link w:val="Titre5"/>
    <w:uiPriority w:val="9"/>
    <w:semiHidden/>
    <w:rsid w:val="001B6D69"/>
    <w:rPr>
      <w:rFonts w:asciiTheme="majorHAnsi" w:eastAsiaTheme="majorEastAsia" w:hAnsiTheme="majorHAnsi" w:cstheme="majorBidi"/>
      <w:i/>
      <w:iCs/>
      <w:color w:val="70AD47" w:themeColor="accent6"/>
      <w:sz w:val="22"/>
      <w:szCs w:val="22"/>
    </w:rPr>
  </w:style>
  <w:style w:type="character" w:customStyle="1" w:styleId="Titre6Car">
    <w:name w:val="Titre 6 Car"/>
    <w:basedOn w:val="Policepardfaut"/>
    <w:link w:val="Titre6"/>
    <w:uiPriority w:val="9"/>
    <w:semiHidden/>
    <w:rsid w:val="001B6D69"/>
    <w:rPr>
      <w:rFonts w:asciiTheme="majorHAnsi" w:eastAsiaTheme="majorEastAsia" w:hAnsiTheme="majorHAnsi" w:cstheme="majorBidi"/>
      <w:color w:val="70AD47" w:themeColor="accent6"/>
    </w:rPr>
  </w:style>
  <w:style w:type="character" w:customStyle="1" w:styleId="Titre7Car">
    <w:name w:val="Titre 7 Car"/>
    <w:basedOn w:val="Policepardfaut"/>
    <w:link w:val="Titre7"/>
    <w:uiPriority w:val="9"/>
    <w:semiHidden/>
    <w:rsid w:val="001B6D69"/>
    <w:rPr>
      <w:rFonts w:asciiTheme="majorHAnsi" w:eastAsiaTheme="majorEastAsia" w:hAnsiTheme="majorHAnsi" w:cstheme="majorBidi"/>
      <w:b/>
      <w:bCs/>
      <w:color w:val="70AD47" w:themeColor="accent6"/>
    </w:rPr>
  </w:style>
  <w:style w:type="character" w:customStyle="1" w:styleId="Titre8Car">
    <w:name w:val="Titre 8 Car"/>
    <w:basedOn w:val="Policepardfaut"/>
    <w:link w:val="Titre8"/>
    <w:uiPriority w:val="9"/>
    <w:semiHidden/>
    <w:rsid w:val="001B6D69"/>
    <w:rPr>
      <w:rFonts w:asciiTheme="majorHAnsi" w:eastAsiaTheme="majorEastAsia" w:hAnsiTheme="majorHAnsi" w:cstheme="majorBidi"/>
      <w:b/>
      <w:bCs/>
      <w:i/>
      <w:iCs/>
      <w:color w:val="70AD47" w:themeColor="accent6"/>
      <w:sz w:val="20"/>
      <w:szCs w:val="20"/>
    </w:rPr>
  </w:style>
  <w:style w:type="character" w:customStyle="1" w:styleId="Titre9Car">
    <w:name w:val="Titre 9 Car"/>
    <w:basedOn w:val="Policepardfaut"/>
    <w:link w:val="Titre9"/>
    <w:uiPriority w:val="9"/>
    <w:semiHidden/>
    <w:rsid w:val="001B6D69"/>
    <w:rPr>
      <w:rFonts w:asciiTheme="majorHAnsi" w:eastAsiaTheme="majorEastAsia" w:hAnsiTheme="majorHAnsi" w:cstheme="majorBidi"/>
      <w:i/>
      <w:iCs/>
      <w:color w:val="70AD47" w:themeColor="accent6"/>
      <w:sz w:val="20"/>
      <w:szCs w:val="20"/>
    </w:rPr>
  </w:style>
  <w:style w:type="paragraph" w:styleId="Titre">
    <w:name w:val="Title"/>
    <w:basedOn w:val="Normal"/>
    <w:next w:val="Normal"/>
    <w:link w:val="TitreCar"/>
    <w:uiPriority w:val="10"/>
    <w:qFormat/>
    <w:rsid w:val="001B6D6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reCar">
    <w:name w:val="Titre Car"/>
    <w:basedOn w:val="Policepardfaut"/>
    <w:link w:val="Titre"/>
    <w:uiPriority w:val="10"/>
    <w:rsid w:val="001B6D69"/>
    <w:rPr>
      <w:rFonts w:asciiTheme="majorHAnsi" w:eastAsiaTheme="majorEastAsia" w:hAnsiTheme="majorHAnsi" w:cstheme="majorBidi"/>
      <w:color w:val="262626" w:themeColor="text1" w:themeTint="D9"/>
      <w:spacing w:val="-15"/>
      <w:sz w:val="96"/>
      <w:szCs w:val="96"/>
    </w:rPr>
  </w:style>
  <w:style w:type="paragraph" w:styleId="Sous-titre">
    <w:name w:val="Subtitle"/>
    <w:basedOn w:val="Normal"/>
    <w:next w:val="Normal"/>
    <w:link w:val="Sous-titreCar"/>
    <w:uiPriority w:val="11"/>
    <w:qFormat/>
    <w:rsid w:val="001B6D69"/>
    <w:pPr>
      <w:numPr>
        <w:ilvl w:val="1"/>
      </w:numPr>
      <w:spacing w:line="240" w:lineRule="auto"/>
    </w:pPr>
    <w:rPr>
      <w:rFonts w:asciiTheme="majorHAnsi" w:eastAsiaTheme="majorEastAsia" w:hAnsiTheme="majorHAnsi" w:cstheme="majorBidi"/>
      <w:sz w:val="30"/>
      <w:szCs w:val="30"/>
    </w:rPr>
  </w:style>
  <w:style w:type="character" w:customStyle="1" w:styleId="Sous-titreCar">
    <w:name w:val="Sous-titre Car"/>
    <w:basedOn w:val="Policepardfaut"/>
    <w:link w:val="Sous-titre"/>
    <w:uiPriority w:val="11"/>
    <w:rsid w:val="001B6D69"/>
    <w:rPr>
      <w:rFonts w:asciiTheme="majorHAnsi" w:eastAsiaTheme="majorEastAsia" w:hAnsiTheme="majorHAnsi" w:cstheme="majorBidi"/>
      <w:sz w:val="30"/>
      <w:szCs w:val="30"/>
    </w:rPr>
  </w:style>
  <w:style w:type="paragraph" w:styleId="Citation">
    <w:name w:val="Quote"/>
    <w:basedOn w:val="Normal"/>
    <w:next w:val="Normal"/>
    <w:link w:val="CitationCar"/>
    <w:uiPriority w:val="29"/>
    <w:qFormat/>
    <w:rsid w:val="001B6D69"/>
    <w:pPr>
      <w:spacing w:before="160"/>
      <w:ind w:left="720" w:right="720"/>
      <w:jc w:val="center"/>
    </w:pPr>
    <w:rPr>
      <w:i/>
      <w:iCs/>
      <w:color w:val="262626" w:themeColor="text1" w:themeTint="D9"/>
    </w:rPr>
  </w:style>
  <w:style w:type="character" w:customStyle="1" w:styleId="CitationCar">
    <w:name w:val="Citation Car"/>
    <w:basedOn w:val="Policepardfaut"/>
    <w:link w:val="Citation"/>
    <w:uiPriority w:val="29"/>
    <w:rsid w:val="001B6D69"/>
    <w:rPr>
      <w:i/>
      <w:iCs/>
      <w:color w:val="262626" w:themeColor="text1" w:themeTint="D9"/>
    </w:rPr>
  </w:style>
  <w:style w:type="paragraph" w:styleId="Paragraphedeliste">
    <w:name w:val="List Paragraph"/>
    <w:basedOn w:val="Normal"/>
    <w:uiPriority w:val="34"/>
    <w:qFormat/>
    <w:rsid w:val="003F44FB"/>
    <w:pPr>
      <w:ind w:left="720"/>
      <w:contextualSpacing/>
    </w:pPr>
  </w:style>
  <w:style w:type="character" w:styleId="Accentuationintense">
    <w:name w:val="Intense Emphasis"/>
    <w:basedOn w:val="Policepardfaut"/>
    <w:uiPriority w:val="21"/>
    <w:qFormat/>
    <w:rsid w:val="001B6D69"/>
    <w:rPr>
      <w:b/>
      <w:bCs/>
      <w:i/>
      <w:iCs/>
    </w:rPr>
  </w:style>
  <w:style w:type="paragraph" w:styleId="Citationintense">
    <w:name w:val="Intense Quote"/>
    <w:basedOn w:val="Normal"/>
    <w:next w:val="Normal"/>
    <w:link w:val="CitationintenseCar"/>
    <w:uiPriority w:val="30"/>
    <w:qFormat/>
    <w:rsid w:val="001B6D69"/>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tionintenseCar">
    <w:name w:val="Citation intense Car"/>
    <w:basedOn w:val="Policepardfaut"/>
    <w:link w:val="Citationintense"/>
    <w:uiPriority w:val="30"/>
    <w:rsid w:val="001B6D69"/>
    <w:rPr>
      <w:rFonts w:asciiTheme="majorHAnsi" w:eastAsiaTheme="majorEastAsia" w:hAnsiTheme="majorHAnsi" w:cstheme="majorBidi"/>
      <w:i/>
      <w:iCs/>
      <w:color w:val="70AD47" w:themeColor="accent6"/>
      <w:sz w:val="32"/>
      <w:szCs w:val="32"/>
    </w:rPr>
  </w:style>
  <w:style w:type="character" w:styleId="Rfrenceintense">
    <w:name w:val="Intense Reference"/>
    <w:basedOn w:val="Policepardfaut"/>
    <w:uiPriority w:val="32"/>
    <w:qFormat/>
    <w:rsid w:val="001B6D69"/>
    <w:rPr>
      <w:b/>
      <w:bCs/>
      <w:smallCaps/>
      <w:color w:val="70AD47" w:themeColor="accent6"/>
    </w:rPr>
  </w:style>
  <w:style w:type="paragraph" w:styleId="Lgende">
    <w:name w:val="caption"/>
    <w:basedOn w:val="Normal"/>
    <w:next w:val="Normal"/>
    <w:uiPriority w:val="35"/>
    <w:semiHidden/>
    <w:unhideWhenUsed/>
    <w:qFormat/>
    <w:rsid w:val="001B6D69"/>
    <w:pPr>
      <w:spacing w:line="240" w:lineRule="auto"/>
    </w:pPr>
    <w:rPr>
      <w:b/>
      <w:bCs/>
      <w:smallCaps/>
      <w:color w:val="595959" w:themeColor="text1" w:themeTint="A6"/>
    </w:rPr>
  </w:style>
  <w:style w:type="character" w:styleId="lev">
    <w:name w:val="Strong"/>
    <w:basedOn w:val="Policepardfaut"/>
    <w:uiPriority w:val="22"/>
    <w:qFormat/>
    <w:rsid w:val="001B6D69"/>
    <w:rPr>
      <w:b/>
      <w:bCs/>
    </w:rPr>
  </w:style>
  <w:style w:type="character" w:styleId="Accentuation">
    <w:name w:val="Emphasis"/>
    <w:basedOn w:val="Policepardfaut"/>
    <w:uiPriority w:val="20"/>
    <w:qFormat/>
    <w:rsid w:val="001B6D69"/>
    <w:rPr>
      <w:i/>
      <w:iCs/>
      <w:color w:val="70AD47" w:themeColor="accent6"/>
    </w:rPr>
  </w:style>
  <w:style w:type="paragraph" w:styleId="Sansinterligne">
    <w:name w:val="No Spacing"/>
    <w:uiPriority w:val="1"/>
    <w:qFormat/>
    <w:rsid w:val="001B6D69"/>
    <w:pPr>
      <w:spacing w:after="0" w:line="240" w:lineRule="auto"/>
    </w:pPr>
  </w:style>
  <w:style w:type="character" w:styleId="Accentuationlgre">
    <w:name w:val="Subtle Emphasis"/>
    <w:basedOn w:val="Policepardfaut"/>
    <w:uiPriority w:val="19"/>
    <w:qFormat/>
    <w:rsid w:val="001B6D69"/>
    <w:rPr>
      <w:i/>
      <w:iCs/>
    </w:rPr>
  </w:style>
  <w:style w:type="character" w:styleId="Rfrencelgre">
    <w:name w:val="Subtle Reference"/>
    <w:basedOn w:val="Policepardfaut"/>
    <w:uiPriority w:val="31"/>
    <w:qFormat/>
    <w:rsid w:val="001B6D69"/>
    <w:rPr>
      <w:smallCaps/>
      <w:color w:val="595959" w:themeColor="text1" w:themeTint="A6"/>
    </w:rPr>
  </w:style>
  <w:style w:type="character" w:styleId="Titredulivre">
    <w:name w:val="Book Title"/>
    <w:basedOn w:val="Policepardfaut"/>
    <w:uiPriority w:val="33"/>
    <w:qFormat/>
    <w:rsid w:val="001B6D69"/>
    <w:rPr>
      <w:b/>
      <w:bCs/>
      <w:caps w:val="0"/>
      <w:smallCaps/>
      <w:spacing w:val="7"/>
      <w:sz w:val="21"/>
      <w:szCs w:val="21"/>
    </w:rPr>
  </w:style>
  <w:style w:type="paragraph" w:styleId="En-ttedetabledesmatires">
    <w:name w:val="TOC Heading"/>
    <w:basedOn w:val="Titre1"/>
    <w:next w:val="Normal"/>
    <w:uiPriority w:val="39"/>
    <w:semiHidden/>
    <w:unhideWhenUsed/>
    <w:qFormat/>
    <w:rsid w:val="001B6D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78675-237C-47BA-8AE9-93257909A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7</Pages>
  <Words>2191</Words>
  <Characters>12052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2025-09-27T17:48:00Z</dcterms:created>
  <dcterms:modified xsi:type="dcterms:W3CDTF">2025-11-02T12:50:00Z</dcterms:modified>
</cp:coreProperties>
</file>