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DC86" w14:textId="7478AF09" w:rsidR="00322DE9" w:rsidRPr="00E25B6F" w:rsidRDefault="00E25B6F">
      <w:pPr>
        <w:rPr>
          <w:rFonts w:asciiTheme="majorBidi" w:hAnsiTheme="majorBidi" w:cstheme="majorBidi"/>
          <w:b/>
          <w:bCs/>
          <w:sz w:val="48"/>
          <w:szCs w:val="48"/>
        </w:rPr>
      </w:pPr>
      <w:r w:rsidRPr="00E25B6F">
        <w:rPr>
          <w:rFonts w:asciiTheme="majorBidi" w:hAnsiTheme="majorBidi" w:cstheme="majorBidi"/>
          <w:b/>
          <w:bCs/>
          <w:sz w:val="48"/>
          <w:szCs w:val="48"/>
        </w:rPr>
        <w:t xml:space="preserve">Justice in </w:t>
      </w:r>
      <w:proofErr w:type="spellStart"/>
      <w:r w:rsidRPr="00E25B6F">
        <w:rPr>
          <w:rFonts w:asciiTheme="majorBidi" w:hAnsiTheme="majorBidi" w:cstheme="majorBidi"/>
          <w:b/>
          <w:bCs/>
          <w:sz w:val="48"/>
          <w:szCs w:val="48"/>
        </w:rPr>
        <w:t>Teaching</w:t>
      </w:r>
      <w:proofErr w:type="spellEnd"/>
    </w:p>
    <w:p w14:paraId="6A3E3433" w14:textId="77777777" w:rsidR="00322DE9" w:rsidRPr="007D6C9C" w:rsidRDefault="00322DE9">
      <w:pPr>
        <w:rPr>
          <w:rFonts w:asciiTheme="majorBidi" w:hAnsiTheme="majorBidi" w:cstheme="majorBidi"/>
        </w:rPr>
      </w:pPr>
    </w:p>
    <w:p w14:paraId="252A0062" w14:textId="77777777" w:rsidR="00322DE9" w:rsidRPr="007D6C9C" w:rsidRDefault="00322DE9">
      <w:pPr>
        <w:rPr>
          <w:rFonts w:asciiTheme="majorBidi" w:hAnsiTheme="majorBidi" w:cstheme="majorBidi"/>
        </w:rPr>
      </w:pPr>
    </w:p>
    <w:p w14:paraId="72732024" w14:textId="77777777" w:rsidR="00322DE9" w:rsidRPr="00E25B6F" w:rsidRDefault="00322DE9" w:rsidP="00322DE9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</w:pPr>
      <w:proofErr w:type="gram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Introduction:</w:t>
      </w:r>
      <w:proofErr w:type="gram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Understanding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Fair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Distribution in Education</w:t>
      </w:r>
    </w:p>
    <w:p w14:paraId="45A4F03A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Distributive justice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refers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the moral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rules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guide how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societies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allocate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whether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benefits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burdens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spheres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the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economy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healthcare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(Deutsch, </w:t>
      </w:r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1975;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Walzer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1983).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rules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grounded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normative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beliefs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about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counts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morally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appropriate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behavior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Three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core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principles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widely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recognized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equality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demands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uniform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distribution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regardless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personal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characteristics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;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need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allocates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more support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those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requiring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additional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help;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equity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distributes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the basis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achievement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contribution, or effort (Deutsch, 1975).</w:t>
      </w:r>
    </w:p>
    <w:p w14:paraId="63A0B151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Education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forms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distinct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sphere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justice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because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involves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distribution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socially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created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highly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valued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public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goods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Walzer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1983).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operate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central justice agents,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continually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allocating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instrumental,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relational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symbolic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grades,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praise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group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assignments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expectations, and attention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Colquitt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et al., 2001).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daily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experiences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fairness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motivation,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opportunity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Despite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importance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fairness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how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distribute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how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perceive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remains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comparatively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limited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Wentzel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2010).</w:t>
      </w:r>
    </w:p>
    <w:p w14:paraId="16A760D0" w14:textId="693D85F0" w:rsidR="00322DE9" w:rsidRPr="00322DE9" w:rsidRDefault="00322DE9" w:rsidP="00322DE9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2E39D033" w14:textId="77777777" w:rsidR="00322DE9" w:rsidRPr="00E25B6F" w:rsidRDefault="00322DE9" w:rsidP="00322DE9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</w:pPr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1.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Evaluating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Students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:</w:t>
      </w:r>
      <w:proofErr w:type="gram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The Distribution of Grades</w:t>
      </w:r>
    </w:p>
    <w:p w14:paraId="7AF4F6B0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Grading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universal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feature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carries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meaningful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academic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emotional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social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consequences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Guskey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2004). Grades influence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advanced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courses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tracks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identity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self-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belief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and affect parental expectations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Brookhart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2013).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Although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grading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justified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meritocratic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emphasis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performance,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frequently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incorporate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additional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criteria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effort, participation,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behavior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emotional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Brookhart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2013).</w:t>
      </w:r>
    </w:p>
    <w:p w14:paraId="22A8A6B0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shows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rarely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exclusively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performance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indicators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;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instead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blend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multiple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forms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evidence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Guskey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2004).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Weaker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receive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additional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credit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for effort or encouragement,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reflecting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need-based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approach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(Doyle &amp; Rutherford, 1984). Cultural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norms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beliefs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about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constitutes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grading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Guskey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2004).</w:t>
      </w:r>
    </w:p>
    <w:p w14:paraId="3B0F8561" w14:textId="77777777" w:rsid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Consistent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findings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indicate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girls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receive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higher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grades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boys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countries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subject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areas,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raising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questions about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potential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social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behavioral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factors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influencing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evaluation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(Voyer &amp; Voyer, 2014).</w:t>
      </w:r>
    </w:p>
    <w:p w14:paraId="71413603" w14:textId="77777777" w:rsidR="00E25B6F" w:rsidRPr="00322DE9" w:rsidRDefault="00E25B6F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13EFD69F" w14:textId="77777777" w:rsidR="00322DE9" w:rsidRPr="00E25B6F" w:rsidRDefault="00322DE9" w:rsidP="00322DE9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</w:pPr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lastRenderedPageBreak/>
        <w:t xml:space="preserve">2.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Teachers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’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Interpersonal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Responses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:</w:t>
      </w:r>
      <w:proofErr w:type="gram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Distributing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Attention, Support, and Discipline</w:t>
      </w:r>
    </w:p>
    <w:p w14:paraId="730953FF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distribute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relational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time, attention, respect, and encouragement.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central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emotional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well-being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academic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success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Wentzel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2010).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Unlike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grading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usually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framed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merit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interpersonal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widely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expected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shared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equally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need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believing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everyone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deserves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respect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struggling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require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more help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Wentzel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2010).</w:t>
      </w:r>
    </w:p>
    <w:p w14:paraId="47E84D5B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However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the distribution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negative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reprimands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punishments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—tends to follow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equity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principles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harsher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consequences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seen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for more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serious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repeated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offenses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Skiba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et al., 2011).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reveals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student’s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prior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reputation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influences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disciplinary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strongly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actual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behavior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leading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systematic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biases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sanctions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Kupchik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2016).</w:t>
      </w:r>
    </w:p>
    <w:p w14:paraId="35EC6F4E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Thus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positive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relational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tend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governed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equality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while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disciplinary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actions are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typically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guided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equity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4A76D59B" w14:textId="78483A3A" w:rsidR="00322DE9" w:rsidRPr="00322DE9" w:rsidRDefault="00322DE9" w:rsidP="00322DE9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4BED8615" w14:textId="77777777" w:rsidR="00322DE9" w:rsidRPr="00E25B6F" w:rsidRDefault="00322DE9" w:rsidP="00322DE9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</w:pPr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3.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Teaching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proofErr w:type="gram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Strategies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:</w:t>
      </w:r>
      <w:proofErr w:type="gram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Fairness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in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Pedagogical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Approaches</w:t>
      </w:r>
      <w:proofErr w:type="spellEnd"/>
    </w:p>
    <w:p w14:paraId="723DA73F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Pedagogical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—how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structure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lessons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group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design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activities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represent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another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dimension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distribution.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practices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motivation,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achievement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identity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making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central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justice (Berliner, 2009).</w:t>
      </w:r>
    </w:p>
    <w:p w14:paraId="42461100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perceive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certain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strategies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tutoring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differentiated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support, or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enrichment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activities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because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help all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progress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Thibodeaux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et al., 2017).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contrast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practices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allow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advanced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move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ahead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while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others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fall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behind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typically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judged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unfair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1507033F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Broader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pedagogical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movements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informed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by social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equity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authentic</w:t>
      </w:r>
      <w:proofErr w:type="spellEnd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pedagogy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Newmann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&amp;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Wehlage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1995) and </w:t>
      </w:r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productive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pedagogies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(Lingard et al., 2001),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aim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create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inclusive,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culturally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responsive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classrooms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approaches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move justice discussions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merely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outcomes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processes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emphasizing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meaningful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voice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equitable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participation.</w:t>
      </w:r>
    </w:p>
    <w:p w14:paraId="289ACBEF" w14:textId="77777777" w:rsidR="00322DE9" w:rsidRPr="00E25B6F" w:rsidRDefault="00322DE9" w:rsidP="00322DE9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</w:pPr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4. Critical </w:t>
      </w:r>
      <w:proofErr w:type="spellStart"/>
      <w:proofErr w:type="gram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Pedagogy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:</w:t>
      </w:r>
      <w:proofErr w:type="gram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Teachers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as Agents of Social Change</w:t>
      </w:r>
    </w:p>
    <w:p w14:paraId="558E4C11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Critical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pedagogy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influenced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neo-Marxist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thinkers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Freire (1970), Giroux (1988), and Apple (2012),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views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a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political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practice.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perspective,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should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simply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allocate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but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should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challenge structural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inequalities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society.</w:t>
      </w:r>
    </w:p>
    <w:p w14:paraId="4F090383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Freire (1970) </w:t>
      </w:r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argues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should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foster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critical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consciousness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enabling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question oppressive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systems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Giroux (1988)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emphasizes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must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become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transformative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intellectuals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who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encourage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democratic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dialogue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problem-posing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lastRenderedPageBreak/>
        <w:t xml:space="preserve">Apple (2012) highlights how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reproduces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social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hierarchies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calls for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pedagogical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practices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empower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marginalized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groups.</w:t>
      </w:r>
    </w:p>
    <w:p w14:paraId="27D8A28A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This perspective positions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active agents of social change,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responsible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transforming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institutional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structures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perpetuate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injustice.</w:t>
      </w:r>
    </w:p>
    <w:p w14:paraId="3CE05BD4" w14:textId="05EEAE72" w:rsidR="00322DE9" w:rsidRPr="00322DE9" w:rsidRDefault="00322DE9" w:rsidP="00322DE9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062FA9BD" w14:textId="77777777" w:rsidR="00322DE9" w:rsidRPr="00E25B6F" w:rsidRDefault="00322DE9" w:rsidP="00322DE9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</w:pPr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5.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Assigning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Students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to Learning </w:t>
      </w:r>
      <w:proofErr w:type="spellStart"/>
      <w:proofErr w:type="gram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Environments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:</w:t>
      </w:r>
      <w:proofErr w:type="gram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Placement and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Tracking</w:t>
      </w:r>
      <w:proofErr w:type="spellEnd"/>
    </w:p>
    <w:p w14:paraId="6D8F6357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Placement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assigning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tracks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ability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groups, or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specialized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programs—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represent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one of the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most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consequential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forms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distribution.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distribute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instructional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quality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curriculum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level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future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opportunities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Oakes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2005).</w:t>
      </w:r>
    </w:p>
    <w:p w14:paraId="30E2FCD6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Although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tracking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typically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justified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meritocratic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reasoning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tied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ability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performance,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shows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socioeconomic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status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race,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ethnicity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other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ascriptive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traits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strongly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influence placement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outcomes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(Lucas, 1999).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counselors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administrators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gatekeepers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resource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constraints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can force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difficult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“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tragic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”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demand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exceeds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available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places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Oakes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2005).</w:t>
      </w:r>
    </w:p>
    <w:p w14:paraId="0F0A7DE1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advantaged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backgrounds are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disproportionately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represented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higher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tracks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even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demonstrate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similar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academic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ability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privileged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(Lucas, 1999).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Although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girls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frequently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appear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higher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academic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tracks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overall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remain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underrepresented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elite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STEM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pathways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(Eccles &amp; Wang, 2016).</w:t>
      </w:r>
    </w:p>
    <w:p w14:paraId="208BD5F1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patterns show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tracking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reinforces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existing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inequalities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rather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creating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equitable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environments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2F9B30AE" w14:textId="30A70A21" w:rsidR="00322DE9" w:rsidRPr="00322DE9" w:rsidRDefault="00322DE9" w:rsidP="00322DE9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6FA74A8A" w14:textId="77777777" w:rsidR="00322DE9" w:rsidRPr="00E25B6F" w:rsidRDefault="00322DE9" w:rsidP="00322DE9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</w:pPr>
      <w:proofErr w:type="gram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Conclusion:</w:t>
      </w:r>
      <w:proofErr w:type="gram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Justice as </w:t>
      </w:r>
      <w:proofErr w:type="gram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a</w:t>
      </w:r>
      <w:proofErr w:type="gram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Central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Concern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 xml:space="preserve"> in </w:t>
      </w:r>
      <w:proofErr w:type="spellStart"/>
      <w:r w:rsidRPr="00E25B6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FR"/>
          <w14:ligatures w14:val="none"/>
        </w:rPr>
        <w:t>Schooling</w:t>
      </w:r>
      <w:proofErr w:type="spellEnd"/>
    </w:p>
    <w:p w14:paraId="7FE38D56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Justice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holds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intrinsic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moral importance, as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expect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operate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respond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strongly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perceived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violations (Jackson, 1968).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unfair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distributions have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consequences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for motivation,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achievement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and long-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term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life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opportunities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constitute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part of the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hidden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curriculum,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beliefs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about society, institutions,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others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(Jackson, 1968).</w:t>
      </w:r>
    </w:p>
    <w:p w14:paraId="57B20A29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make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daily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about how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distribute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grades, attention,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opportunities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placements,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profoundly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influence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sense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justice.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Yet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shows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beliefs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about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fairness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diverge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lived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experiences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Wentzel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2010).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Moreover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quality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itself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unevenly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distributed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disadvantaged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likely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taught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experienced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effective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Sass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et al., 2012).</w:t>
      </w:r>
    </w:p>
    <w:p w14:paraId="07A0FEEF" w14:textId="388A1F6B" w:rsidR="00322DE9" w:rsidRPr="00322DE9" w:rsidRDefault="00322DE9" w:rsidP="00322DE9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10BAEBA9" w14:textId="77777777" w:rsidR="00E25B6F" w:rsidRDefault="00E25B6F" w:rsidP="002A124D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</w:pPr>
    </w:p>
    <w:p w14:paraId="4660D23E" w14:textId="7EDA1DEC" w:rsidR="00322DE9" w:rsidRPr="00E25B6F" w:rsidRDefault="00322DE9" w:rsidP="002A124D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</w:pPr>
      <w:proofErr w:type="spellStart"/>
      <w:r w:rsidRPr="00E25B6F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  <w:lastRenderedPageBreak/>
        <w:t>References</w:t>
      </w:r>
      <w:proofErr w:type="spellEnd"/>
      <w:r w:rsidRPr="00E25B6F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  <w:t xml:space="preserve"> </w:t>
      </w:r>
    </w:p>
    <w:p w14:paraId="0B6E6FF1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Apple, M. W. (2012).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Can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change </w:t>
      </w:r>
      <w:proofErr w:type="gram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society?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Routledge.</w:t>
      </w:r>
    </w:p>
    <w:p w14:paraId="26C914BE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Berliner, D. C. (2009).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Poverty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potential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Out-of-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factors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success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Education Policy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Unit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0B2D8C9A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Brookhart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S. M. (2013).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How to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create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and use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rubrics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for formative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assessment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grading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 ASCD.</w:t>
      </w:r>
    </w:p>
    <w:p w14:paraId="6D779FAC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Colquitt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J. A.,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Conlon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D. E.,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Wesson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M. J., Porter, C. O., &amp;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K. Y. (2001). Justice at the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millennium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meta‐analytic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review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25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years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organizational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justice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Journal of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Applied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Psychology, 86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(3), 425–445.</w:t>
      </w:r>
    </w:p>
    <w:p w14:paraId="21357E60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Deutsch, M. (1975).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Equity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equality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determines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value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will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used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the basis of distributive </w:t>
      </w:r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justice?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Journal of Social Issues, 31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(3), 137–149.</w:t>
      </w:r>
    </w:p>
    <w:p w14:paraId="1C3DEA24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Doyle, W., &amp; Rutherford, B. (1984). Classroom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matching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styles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styles.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Theory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Practice, 23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(1), 20–25.</w:t>
      </w:r>
    </w:p>
    <w:p w14:paraId="0E4C2293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Eccles, J. S., &amp; Wang, M. T. (2016).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motivates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females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males to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pursue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careers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mathematics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science?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International Journal of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Behavioral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, 40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(2), 100–106.</w:t>
      </w:r>
    </w:p>
    <w:p w14:paraId="19D71D6C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Freire, P. (1970).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Pedagogy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oppressed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 Herder &amp; Herder.</w:t>
      </w:r>
    </w:p>
    <w:p w14:paraId="6C907EAA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Giroux, H. A. (1988).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as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intellectuals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Toward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critical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pedagogy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 Bergin &amp; Garvey.</w:t>
      </w:r>
    </w:p>
    <w:p w14:paraId="7E583611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Guskey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T. R. (2004).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Grading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policies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against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standards—and how to fix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NASSP Bulletin, 88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(642), 20–31.</w:t>
      </w:r>
    </w:p>
    <w:p w14:paraId="191F2330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Jackson, P. W. (1968).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Life in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classrooms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Holt,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Rinehart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&amp; Winston.</w:t>
      </w:r>
    </w:p>
    <w:p w14:paraId="5A95A966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Kupchik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A. (2016).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The real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school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safety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problem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The long-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term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consequences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harsh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school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punishment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University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California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3A909A67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Lingard, B., Hayes, D., &amp; Mills, M. (2001).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Productive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pedagogies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Classroom instruction,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assessment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professional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Queensland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University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58802DEB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Lucas, S. R. (1999).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Tracking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inequality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Stratification and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mobility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in American high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schools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College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486E7BAB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Newmann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F. M., &amp;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Wehlage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G. G. (1995).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Successful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school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restructuring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Center on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Organization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Restructuring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518B2D28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Oakes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J. (2005).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Keeping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track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How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schools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structure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inequality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(2nd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.). Yale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University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63502FCC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lastRenderedPageBreak/>
        <w:t>Sass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T. R., Hannaway, J., Xu, Z.,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Figlio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D. N., &amp; Feng, L. (2012). Value‐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added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models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the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measurement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productivity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Economics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Education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Review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, 31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(3), 267–279.</w:t>
      </w:r>
    </w:p>
    <w:p w14:paraId="16467DE7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Skiba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R. J.,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Arredondo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M. I., &amp; Rausch, M. K. (2011). New and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developing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disparities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discipline.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Bloomington, </w:t>
      </w:r>
      <w:proofErr w:type="gram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IN:</w:t>
      </w:r>
      <w:proofErr w:type="gram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Equity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Project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2958C3C3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Thibodeaux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J., Deutsch, N., &amp; Sellers, S. (2017).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perceptions of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fairness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classroom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practices. </w:t>
      </w:r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Journal of Classroom Interaction, 52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(2), 4–15.</w:t>
      </w:r>
    </w:p>
    <w:p w14:paraId="4D5AD632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Voyer, D., &amp; Voyer, S. D. (2014).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Gender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differences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scholastic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achievement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meta-analysis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Psychological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Bulletin, 140</w:t>
      </w:r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(4), 1174–1204.</w:t>
      </w:r>
    </w:p>
    <w:p w14:paraId="30D82B82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Walzer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M. (1983).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Spheres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</w:t>
      </w:r>
      <w:proofErr w:type="gram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justice:</w:t>
      </w:r>
      <w:proofErr w:type="gram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defense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pluralism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equality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 Basic Books.</w:t>
      </w:r>
    </w:p>
    <w:p w14:paraId="7009F0EA" w14:textId="77777777" w:rsidR="00322DE9" w:rsidRPr="00322DE9" w:rsidRDefault="00322DE9" w:rsidP="00322D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Wentzel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K. R. (2010).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'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relationships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In J. L.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Meece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&amp; D. L. 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Schunk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Eds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.),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Handbook</w:t>
      </w:r>
      <w:proofErr w:type="spellEnd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motivation at </w:t>
      </w:r>
      <w:proofErr w:type="spellStart"/>
      <w:r w:rsidRPr="00322DE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school</w:t>
      </w:r>
      <w:proofErr w:type="spellEnd"/>
      <w:r w:rsidRPr="00322DE9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(pp. 301–322). Routledge.</w:t>
      </w:r>
    </w:p>
    <w:p w14:paraId="38521E09" w14:textId="77777777" w:rsidR="00322DE9" w:rsidRPr="007D6C9C" w:rsidRDefault="00322DE9">
      <w:pPr>
        <w:rPr>
          <w:rFonts w:asciiTheme="majorBidi" w:hAnsiTheme="majorBidi" w:cstheme="majorBidi"/>
        </w:rPr>
      </w:pPr>
    </w:p>
    <w:sectPr w:rsidR="00322DE9" w:rsidRPr="007D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7C"/>
    <w:rsid w:val="002A124D"/>
    <w:rsid w:val="00322DE9"/>
    <w:rsid w:val="003767F8"/>
    <w:rsid w:val="0038225E"/>
    <w:rsid w:val="003D5132"/>
    <w:rsid w:val="007D6C9C"/>
    <w:rsid w:val="00BF2F2B"/>
    <w:rsid w:val="00C0711F"/>
    <w:rsid w:val="00C218AA"/>
    <w:rsid w:val="00E25B6F"/>
    <w:rsid w:val="00E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C37F"/>
  <w15:chartTrackingRefBased/>
  <w15:docId w15:val="{C47EA334-2AAB-4E78-B086-49FDBDBB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0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0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0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0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0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0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0A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0A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0A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0A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0A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0A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0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0A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0A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0A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0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0A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0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1635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6</cp:revision>
  <dcterms:created xsi:type="dcterms:W3CDTF">2025-11-15T20:06:00Z</dcterms:created>
  <dcterms:modified xsi:type="dcterms:W3CDTF">2025-11-16T09:04:00Z</dcterms:modified>
</cp:coreProperties>
</file>