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78CB" w14:textId="77777777"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4C1001EE" wp14:editId="1D26E01B">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14:paraId="36A5CFE0"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14:paraId="12248CD5"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14:paraId="1F3B93A9" w14:textId="77777777"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r w:rsidR="00AD613E" w:rsidRPr="004C31F2">
        <w:rPr>
          <w:rFonts w:asciiTheme="majorHAnsi" w:hAnsiTheme="majorHAnsi"/>
          <w:b/>
          <w:bCs/>
          <w:i/>
          <w:iCs/>
          <w:sz w:val="28"/>
          <w:szCs w:val="28"/>
          <w:lang w:val="en-US"/>
        </w:rPr>
        <w:t xml:space="preserve"> B</w:t>
      </w:r>
      <w:r w:rsidRPr="004C31F2">
        <w:rPr>
          <w:rFonts w:asciiTheme="majorHAnsi" w:hAnsiTheme="majorHAnsi"/>
          <w:b/>
          <w:bCs/>
          <w:i/>
          <w:iCs/>
          <w:sz w:val="28"/>
          <w:szCs w:val="28"/>
          <w:lang w:val="en-US"/>
        </w:rPr>
        <w:t xml:space="preserve">oussouf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14:paraId="4B9C6A6C" w14:textId="77777777"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14:paraId="4AAB9BA2" w14:textId="77777777"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14:paraId="347E6CFF" w14:textId="77777777" w:rsidR="008F6039" w:rsidRDefault="008F6039" w:rsidP="004644B3">
      <w:pPr>
        <w:spacing w:after="120" w:line="240" w:lineRule="auto"/>
        <w:rPr>
          <w:rFonts w:asciiTheme="majorHAnsi" w:hAnsiTheme="majorHAnsi"/>
          <w:b/>
          <w:bCs/>
          <w:i/>
          <w:iCs/>
          <w:sz w:val="28"/>
          <w:szCs w:val="28"/>
          <w:lang w:val="en-US"/>
        </w:rPr>
      </w:pPr>
    </w:p>
    <w:p w14:paraId="71282FA0" w14:textId="77777777" w:rsidR="008F6039" w:rsidRDefault="008F6039" w:rsidP="004644B3">
      <w:pPr>
        <w:spacing w:after="120" w:line="240" w:lineRule="auto"/>
        <w:rPr>
          <w:rFonts w:asciiTheme="majorHAnsi" w:hAnsiTheme="majorHAnsi"/>
          <w:b/>
          <w:bCs/>
          <w:i/>
          <w:iCs/>
          <w:sz w:val="28"/>
          <w:szCs w:val="28"/>
          <w:lang w:val="en-US"/>
        </w:rPr>
      </w:pPr>
    </w:p>
    <w:p w14:paraId="2DB807C9" w14:textId="77777777" w:rsidR="008F6039" w:rsidRDefault="008F6039" w:rsidP="004644B3">
      <w:pPr>
        <w:spacing w:after="120" w:line="240" w:lineRule="auto"/>
        <w:rPr>
          <w:rFonts w:asciiTheme="majorHAnsi" w:hAnsiTheme="majorHAnsi"/>
          <w:b/>
          <w:bCs/>
          <w:i/>
          <w:iCs/>
          <w:sz w:val="28"/>
          <w:szCs w:val="28"/>
          <w:lang w:val="en-US"/>
        </w:rPr>
      </w:pPr>
    </w:p>
    <w:p w14:paraId="080F6AD6" w14:textId="77777777" w:rsidR="008F6039" w:rsidRDefault="008F6039" w:rsidP="004644B3">
      <w:pPr>
        <w:spacing w:after="120" w:line="240" w:lineRule="auto"/>
        <w:rPr>
          <w:rFonts w:asciiTheme="majorHAnsi" w:hAnsiTheme="majorHAnsi"/>
          <w:b/>
          <w:bCs/>
          <w:i/>
          <w:iCs/>
          <w:sz w:val="28"/>
          <w:szCs w:val="28"/>
          <w:lang w:val="en-US"/>
        </w:rPr>
      </w:pPr>
    </w:p>
    <w:p w14:paraId="52824BCA" w14:textId="77777777" w:rsidR="008F6039" w:rsidRDefault="008F6039" w:rsidP="004644B3">
      <w:pPr>
        <w:spacing w:after="120" w:line="240" w:lineRule="auto"/>
        <w:rPr>
          <w:rFonts w:asciiTheme="majorHAnsi" w:hAnsiTheme="majorHAnsi"/>
          <w:b/>
          <w:bCs/>
          <w:i/>
          <w:iCs/>
          <w:sz w:val="28"/>
          <w:szCs w:val="28"/>
          <w:lang w:val="en-US"/>
        </w:rPr>
      </w:pPr>
    </w:p>
    <w:p w14:paraId="6BA25920" w14:textId="77777777"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77701AB6" wp14:editId="22BDAD15">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14:paraId="4E420B2C" w14:textId="77777777"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14:paraId="56B37C36" w14:textId="77777777"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14:paraId="3EB10CAB" w14:textId="77777777" w:rsidR="00AD613E" w:rsidRDefault="00AD613E" w:rsidP="00AD613E">
      <w:pPr>
        <w:rPr>
          <w:lang w:val="en-US"/>
        </w:rPr>
      </w:pPr>
    </w:p>
    <w:p w14:paraId="293FC8ED" w14:textId="77777777" w:rsidR="00AD613E" w:rsidRDefault="00AD613E" w:rsidP="00AD613E">
      <w:pPr>
        <w:rPr>
          <w:lang w:val="en-US"/>
        </w:rPr>
      </w:pPr>
    </w:p>
    <w:p w14:paraId="0F0BE68C" w14:textId="77777777" w:rsidR="00AD613E" w:rsidRDefault="00AD613E" w:rsidP="00AD613E">
      <w:pPr>
        <w:rPr>
          <w:lang w:val="en-US"/>
        </w:rPr>
      </w:pPr>
    </w:p>
    <w:p w14:paraId="5698300C" w14:textId="77777777" w:rsidR="00AD613E" w:rsidRDefault="00AD613E" w:rsidP="00AD613E">
      <w:pPr>
        <w:rPr>
          <w:lang w:val="en-US"/>
        </w:rPr>
      </w:pPr>
    </w:p>
    <w:p w14:paraId="27781620" w14:textId="77777777" w:rsidR="00AD613E" w:rsidRDefault="00AD613E" w:rsidP="00AD613E">
      <w:pPr>
        <w:rPr>
          <w:lang w:val="en-US"/>
        </w:rPr>
      </w:pPr>
    </w:p>
    <w:p w14:paraId="44F59454" w14:textId="77777777" w:rsidR="00AD613E" w:rsidRDefault="00AD613E" w:rsidP="00AD613E">
      <w:pPr>
        <w:rPr>
          <w:lang w:val="en-US"/>
        </w:rPr>
      </w:pPr>
    </w:p>
    <w:p w14:paraId="1C483807" w14:textId="77777777"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14:paraId="199A3265" w14:textId="77777777"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Dr. Imane Mayouf</w:t>
      </w:r>
    </w:p>
    <w:p w14:paraId="4B8C1BF7" w14:textId="77777777" w:rsidR="008F6039" w:rsidRDefault="008F6039" w:rsidP="00AD613E">
      <w:pPr>
        <w:rPr>
          <w:lang w:val="en-US"/>
        </w:rPr>
      </w:pPr>
    </w:p>
    <w:p w14:paraId="5919B350" w14:textId="77777777" w:rsidR="008F6039" w:rsidRDefault="008F6039" w:rsidP="00AD613E">
      <w:pPr>
        <w:rPr>
          <w:lang w:val="en-US"/>
        </w:rPr>
      </w:pPr>
    </w:p>
    <w:p w14:paraId="4A00E312" w14:textId="77777777" w:rsidR="008F6039" w:rsidRDefault="008F6039" w:rsidP="00AD613E">
      <w:pPr>
        <w:rPr>
          <w:lang w:val="en-US"/>
        </w:rPr>
      </w:pPr>
    </w:p>
    <w:p w14:paraId="1F140FAB" w14:textId="77777777" w:rsidR="008F6039" w:rsidRDefault="008F6039" w:rsidP="00AD613E">
      <w:pPr>
        <w:rPr>
          <w:lang w:val="en-US"/>
        </w:rPr>
      </w:pPr>
    </w:p>
    <w:p w14:paraId="5FA9DCB3" w14:textId="77777777" w:rsidR="008F6039" w:rsidRDefault="008F6039" w:rsidP="00AD613E">
      <w:pPr>
        <w:rPr>
          <w:lang w:val="en-US"/>
        </w:rPr>
      </w:pPr>
    </w:p>
    <w:p w14:paraId="1284A71B" w14:textId="77777777" w:rsidR="008F6039" w:rsidRDefault="008F6039" w:rsidP="00AD613E">
      <w:pPr>
        <w:rPr>
          <w:lang w:val="en-US"/>
        </w:rPr>
      </w:pPr>
    </w:p>
    <w:p w14:paraId="060B75C1" w14:textId="15AE7234"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w:t>
      </w:r>
      <w:r w:rsidR="00096515">
        <w:rPr>
          <w:rFonts w:asciiTheme="majorHAnsi" w:hAnsiTheme="majorHAnsi"/>
          <w:b/>
          <w:bCs/>
          <w:i/>
          <w:iCs/>
          <w:sz w:val="28"/>
          <w:szCs w:val="28"/>
          <w:lang w:val="en-US"/>
        </w:rPr>
        <w:t>4</w:t>
      </w:r>
      <w:r w:rsidRPr="008F6039">
        <w:rPr>
          <w:rFonts w:asciiTheme="majorHAnsi" w:hAnsiTheme="majorHAnsi"/>
          <w:b/>
          <w:bCs/>
          <w:i/>
          <w:iCs/>
          <w:sz w:val="28"/>
          <w:szCs w:val="28"/>
          <w:lang w:val="en-US"/>
        </w:rPr>
        <w:t xml:space="preserve"> - 202</w:t>
      </w:r>
      <w:r w:rsidR="00096515">
        <w:rPr>
          <w:rFonts w:asciiTheme="majorHAnsi" w:hAnsiTheme="majorHAnsi"/>
          <w:b/>
          <w:bCs/>
          <w:i/>
          <w:iCs/>
          <w:sz w:val="28"/>
          <w:szCs w:val="28"/>
          <w:lang w:val="en-US"/>
        </w:rPr>
        <w:t>5</w:t>
      </w:r>
    </w:p>
    <w:p w14:paraId="00B11069" w14:textId="77777777"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14:paraId="23CF2E77" w14:textId="77777777"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 xml:space="preserve">Chapter 1: Drugs/medicine </w:t>
      </w:r>
    </w:p>
    <w:p w14:paraId="5E36460D"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Introduction</w:t>
      </w:r>
    </w:p>
    <w:p w14:paraId="632A3640"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Definitions</w:t>
      </w:r>
    </w:p>
    <w:p w14:paraId="65702F62"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stages of drug development</w:t>
      </w:r>
    </w:p>
    <w:p w14:paraId="1BD69F4A"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Different classifications of drugs</w:t>
      </w:r>
    </w:p>
    <w:p w14:paraId="13A9A7D0"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Active ingredients</w:t>
      </w:r>
    </w:p>
    <w:p w14:paraId="6E978670"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Excipients</w:t>
      </w:r>
    </w:p>
    <w:p w14:paraId="460D7983"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conditioning</w:t>
      </w:r>
    </w:p>
    <w:p w14:paraId="0DFB7620"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Drug activity and toxicity</w:t>
      </w:r>
    </w:p>
    <w:p w14:paraId="02EF73CF"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Become active ingredients in the body</w:t>
      </w:r>
    </w:p>
    <w:p w14:paraId="373A78EF" w14:textId="77777777"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Chapter 2: synthesis operations</w:t>
      </w:r>
    </w:p>
    <w:p w14:paraId="593E2D29"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Sources of active ingredients</w:t>
      </w:r>
    </w:p>
    <w:p w14:paraId="4157618D"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Methods for obtaining natural substances</w:t>
      </w:r>
    </w:p>
    <w:p w14:paraId="50462807"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Synthetic methods</w:t>
      </w:r>
    </w:p>
    <w:p w14:paraId="2E7A6B29"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Biotechnological methods</w:t>
      </w:r>
    </w:p>
    <w:p w14:paraId="296DDCD6" w14:textId="77777777" w:rsidR="008F6039" w:rsidRPr="008F6039" w:rsidRDefault="008F6039" w:rsidP="008F6039">
      <w:pPr>
        <w:rPr>
          <w:rFonts w:asciiTheme="majorHAnsi" w:hAnsiTheme="majorHAnsi"/>
          <w:b/>
          <w:bCs/>
          <w:color w:val="1F3864" w:themeColor="accent5" w:themeShade="80"/>
          <w:sz w:val="28"/>
          <w:szCs w:val="28"/>
          <w:lang w:val="en-US"/>
        </w:rPr>
      </w:pPr>
      <w:r w:rsidRPr="008F6039">
        <w:rPr>
          <w:rFonts w:asciiTheme="majorHAnsi" w:hAnsiTheme="majorHAnsi"/>
          <w:b/>
          <w:bCs/>
          <w:color w:val="1F3864" w:themeColor="accent5" w:themeShade="80"/>
          <w:sz w:val="28"/>
          <w:szCs w:val="28"/>
          <w:lang w:val="en-US"/>
        </w:rPr>
        <w:t xml:space="preserve">Chapter 3: Preformulation </w:t>
      </w:r>
    </w:p>
    <w:p w14:paraId="76BDC885"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Routes of administration</w:t>
      </w:r>
    </w:p>
    <w:p w14:paraId="69C27ACB"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Choice of dosage forms</w:t>
      </w:r>
    </w:p>
    <w:p w14:paraId="64EDADE9"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Biopharmaceutical classification (solubility, permeability)</w:t>
      </w:r>
    </w:p>
    <w:p w14:paraId="0D35C0A1"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Dissociation coefficient, partition coefficient</w:t>
      </w:r>
    </w:p>
    <w:p w14:paraId="622B9310" w14:textId="77777777"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 xml:space="preserve">Chapter 4: Manufacturing Environment </w:t>
      </w:r>
    </w:p>
    <w:p w14:paraId="3CB5BDF4"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Pharmaceutical company</w:t>
      </w:r>
    </w:p>
    <w:p w14:paraId="23451E1F"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Manufacturing of pharmaceutical water</w:t>
      </w:r>
    </w:p>
    <w:p w14:paraId="2DA154FE"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Air treatment</w:t>
      </w:r>
    </w:p>
    <w:p w14:paraId="214663ED" w14:textId="77777777" w:rsidR="00AD613E"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Concept of quality in the pharmaceutical industry</w:t>
      </w:r>
    </w:p>
    <w:p w14:paraId="247431CC" w14:textId="77777777" w:rsidR="004C31F2" w:rsidRDefault="004C31F2" w:rsidP="00AD613E">
      <w:pPr>
        <w:rPr>
          <w:lang w:val="en-US"/>
        </w:rPr>
      </w:pPr>
    </w:p>
    <w:p w14:paraId="18A72984" w14:textId="77777777" w:rsidR="00A16798" w:rsidRPr="00730ACE" w:rsidRDefault="00A16798" w:rsidP="00D26CB3">
      <w:pPr>
        <w:autoSpaceDE w:val="0"/>
        <w:autoSpaceDN w:val="0"/>
        <w:adjustRightInd w:val="0"/>
        <w:spacing w:before="120" w:after="240" w:line="360" w:lineRule="auto"/>
        <w:ind w:firstLine="708"/>
        <w:jc w:val="center"/>
        <w:rPr>
          <w:rFonts w:asciiTheme="majorHAnsi" w:hAnsiTheme="majorHAnsi"/>
          <w:b/>
          <w:bCs/>
          <w:i/>
          <w:iCs/>
          <w:color w:val="1F3864" w:themeColor="accent5" w:themeShade="80"/>
          <w:sz w:val="32"/>
          <w:szCs w:val="32"/>
          <w:u w:val="single"/>
          <w:lang w:val="en-US"/>
        </w:rPr>
      </w:pPr>
      <w:r w:rsidRPr="00730ACE">
        <w:rPr>
          <w:rFonts w:asciiTheme="majorHAnsi" w:hAnsiTheme="majorHAnsi"/>
          <w:b/>
          <w:bCs/>
          <w:i/>
          <w:iCs/>
          <w:color w:val="1F3864" w:themeColor="accent5" w:themeShade="80"/>
          <w:sz w:val="32"/>
          <w:szCs w:val="32"/>
          <w:u w:val="single"/>
          <w:lang w:val="en-US"/>
        </w:rPr>
        <w:lastRenderedPageBreak/>
        <w:t xml:space="preserve">Chapter 3: </w:t>
      </w:r>
      <w:r w:rsidR="00D26CB3" w:rsidRPr="00730ACE">
        <w:rPr>
          <w:rFonts w:asciiTheme="majorHAnsi" w:hAnsiTheme="majorHAnsi"/>
          <w:b/>
          <w:bCs/>
          <w:i/>
          <w:iCs/>
          <w:color w:val="1F3864" w:themeColor="accent5" w:themeShade="80"/>
          <w:sz w:val="28"/>
          <w:szCs w:val="28"/>
          <w:u w:val="single"/>
          <w:lang w:val="en-US"/>
        </w:rPr>
        <w:t>Pre-formulation</w:t>
      </w:r>
    </w:p>
    <w:p w14:paraId="5FF06E97" w14:textId="77777777" w:rsidR="005E6C4A" w:rsidRDefault="005E6C4A" w:rsidP="005E6C4A">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 xml:space="preserve">01/ </w:t>
      </w:r>
      <w:r>
        <w:rPr>
          <w:rFonts w:asciiTheme="majorHAnsi" w:hAnsiTheme="majorHAnsi"/>
          <w:b/>
          <w:bCs/>
          <w:i/>
          <w:iCs/>
          <w:color w:val="1F3864" w:themeColor="accent5" w:themeShade="80"/>
          <w:sz w:val="28"/>
          <w:szCs w:val="28"/>
          <w:u w:val="single"/>
          <w:lang w:val="en-US"/>
        </w:rPr>
        <w:t>Routes of administration</w:t>
      </w:r>
    </w:p>
    <w:p w14:paraId="25CF7531" w14:textId="77777777"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There are several routes of drug administration, all of which have advantages and disadvantages.</w:t>
      </w:r>
    </w:p>
    <w:p w14:paraId="22CFA694" w14:textId="77777777"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When a general effect is sought, the drug is administered orally or parenteral. If we want to obtain a local effect, we use special preparations such as eye drops, ointments…</w:t>
      </w:r>
    </w:p>
    <w:p w14:paraId="13364413" w14:textId="77777777"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Absorption is the process by which any substance brought from the exterior enters the blood or lymph:</w:t>
      </w:r>
    </w:p>
    <w:p w14:paraId="23DE4B3F" w14:textId="77777777" w:rsidR="007D4526" w:rsidRPr="007D4526" w:rsidRDefault="007D4526" w:rsidP="007D4526">
      <w:pPr>
        <w:spacing w:after="0" w:line="276" w:lineRule="auto"/>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 It is direct when the drug penetrates directly into the body (routes intravenous, intramuscular, subcutaneous, etc.);</w:t>
      </w:r>
    </w:p>
    <w:p w14:paraId="21F96829" w14:textId="77777777" w:rsidR="007D4526" w:rsidRPr="007D4526" w:rsidRDefault="007D4526" w:rsidP="00286D9D">
      <w:pPr>
        <w:spacing w:after="240" w:line="276" w:lineRule="auto"/>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 xml:space="preserve"> • It is indirect when the drug must cross a barrier before passing into the general circulation (oral route, application to the skin).</w:t>
      </w:r>
    </w:p>
    <w:p w14:paraId="781DB02D" w14:textId="77777777" w:rsidR="00286D9D" w:rsidRDefault="00286D9D" w:rsidP="00286D9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01</w:t>
      </w:r>
      <w:r>
        <w:rPr>
          <w:rFonts w:asciiTheme="majorHAnsi" w:hAnsiTheme="majorHAnsi"/>
          <w:b/>
          <w:bCs/>
          <w:i/>
          <w:iCs/>
          <w:color w:val="1F3864" w:themeColor="accent5" w:themeShade="80"/>
          <w:sz w:val="28"/>
          <w:szCs w:val="28"/>
          <w:u w:val="single"/>
          <w:lang w:val="en-US"/>
        </w:rPr>
        <w:t>-01</w:t>
      </w:r>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Oral (</w:t>
      </w:r>
      <w:r w:rsidRPr="00286D9D">
        <w:rPr>
          <w:rFonts w:asciiTheme="majorHAnsi" w:hAnsiTheme="majorHAnsi"/>
          <w:b/>
          <w:bCs/>
          <w:i/>
          <w:iCs/>
          <w:color w:val="1F3864" w:themeColor="accent5" w:themeShade="80"/>
          <w:sz w:val="28"/>
          <w:szCs w:val="28"/>
          <w:u w:val="single"/>
          <w:lang w:val="en-US"/>
        </w:rPr>
        <w:t>buccal</w:t>
      </w:r>
      <w:r>
        <w:rPr>
          <w:rFonts w:asciiTheme="majorHAnsi" w:hAnsiTheme="majorHAnsi"/>
          <w:b/>
          <w:bCs/>
          <w:i/>
          <w:iCs/>
          <w:color w:val="1F3864" w:themeColor="accent5" w:themeShade="80"/>
          <w:sz w:val="28"/>
          <w:szCs w:val="28"/>
          <w:u w:val="single"/>
          <w:lang w:val="en-US"/>
        </w:rPr>
        <w:t>)</w:t>
      </w:r>
      <w:r w:rsidRPr="00286D9D">
        <w:rPr>
          <w:rFonts w:asciiTheme="majorHAnsi" w:hAnsiTheme="majorHAnsi"/>
          <w:b/>
          <w:bCs/>
          <w:i/>
          <w:iCs/>
          <w:color w:val="1F3864" w:themeColor="accent5" w:themeShade="80"/>
          <w:sz w:val="28"/>
          <w:szCs w:val="28"/>
          <w:u w:val="single"/>
          <w:lang w:val="en-US"/>
        </w:rPr>
        <w:t xml:space="preserve"> route (per os)</w:t>
      </w:r>
    </w:p>
    <w:p w14:paraId="25FCB2E6" w14:textId="77777777" w:rsidR="007D4526" w:rsidRDefault="00286D9D" w:rsidP="00286D9D">
      <w:pPr>
        <w:ind w:firstLine="567"/>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This is the most used route (70 to 80% of medications). After oral administration, the drug crosses the intestinal barrier then the liver before reaching the general circulation and hence the organs for its therapeutic action.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6"/>
        <w:gridCol w:w="4802"/>
      </w:tblGrid>
      <w:tr w:rsidR="00286D9D" w14:paraId="24426202" w14:textId="77777777" w:rsidTr="004513CE">
        <w:tc>
          <w:tcPr>
            <w:tcW w:w="4814" w:type="dxa"/>
            <w:tcBorders>
              <w:top w:val="double" w:sz="4" w:space="0" w:color="auto"/>
              <w:left w:val="double" w:sz="4" w:space="0" w:color="auto"/>
              <w:bottom w:val="double" w:sz="4" w:space="0" w:color="auto"/>
              <w:right w:val="double" w:sz="4" w:space="0" w:color="auto"/>
            </w:tcBorders>
          </w:tcPr>
          <w:p w14:paraId="6A67E177" w14:textId="77777777" w:rsidR="00286D9D" w:rsidRPr="00286D9D" w:rsidRDefault="00286D9D" w:rsidP="004513CE">
            <w:pPr>
              <w:pStyle w:val="ListParagraph"/>
              <w:numPr>
                <w:ilvl w:val="0"/>
                <w:numId w:val="15"/>
              </w:numPr>
              <w:spacing w:before="240" w:after="240"/>
              <w:jc w:val="both"/>
              <w:rPr>
                <w:rFonts w:asciiTheme="majorHAnsi" w:hAnsiTheme="majorHAnsi" w:cs="Times New Roman"/>
                <w:b/>
                <w:bCs/>
                <w:color w:val="000000"/>
                <w:sz w:val="24"/>
                <w:szCs w:val="24"/>
                <w:lang w:val="en-US"/>
              </w:rPr>
            </w:pPr>
            <w:r w:rsidRPr="004513CE">
              <w:rPr>
                <w:rFonts w:asciiTheme="majorHAnsi" w:hAnsiTheme="majorHAnsi" w:cs="Times New Roman"/>
                <w:b/>
                <w:bCs/>
                <w:color w:val="00B050"/>
                <w:sz w:val="28"/>
                <w:szCs w:val="28"/>
                <w:lang w:val="en-US"/>
              </w:rPr>
              <w:t>Advantages</w:t>
            </w:r>
          </w:p>
        </w:tc>
        <w:tc>
          <w:tcPr>
            <w:tcW w:w="4814" w:type="dxa"/>
            <w:tcBorders>
              <w:top w:val="double" w:sz="4" w:space="0" w:color="auto"/>
              <w:left w:val="double" w:sz="4" w:space="0" w:color="auto"/>
              <w:bottom w:val="double" w:sz="4" w:space="0" w:color="auto"/>
              <w:right w:val="double" w:sz="4" w:space="0" w:color="auto"/>
            </w:tcBorders>
          </w:tcPr>
          <w:p w14:paraId="2E41901D" w14:textId="77777777" w:rsidR="00286D9D" w:rsidRDefault="00286D9D" w:rsidP="004513CE">
            <w:pPr>
              <w:spacing w:before="240" w:after="240"/>
              <w:ind w:firstLine="890"/>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FF0000"/>
                <w:sz w:val="24"/>
                <w:szCs w:val="24"/>
                <w:lang w:val="en-US"/>
              </w:rPr>
              <w:t>X</w:t>
            </w:r>
            <w:r w:rsidRPr="00286D9D">
              <w:rPr>
                <w:rFonts w:asciiTheme="majorHAnsi" w:hAnsiTheme="majorHAnsi" w:cs="Times New Roman"/>
                <w:b/>
                <w:bCs/>
                <w:color w:val="000000"/>
                <w:sz w:val="24"/>
                <w:szCs w:val="24"/>
                <w:lang w:val="en-US"/>
              </w:rPr>
              <w:t xml:space="preserve"> </w:t>
            </w:r>
            <w:r>
              <w:rPr>
                <w:rFonts w:asciiTheme="majorHAnsi" w:hAnsiTheme="majorHAnsi" w:cs="Times New Roman"/>
                <w:b/>
                <w:bCs/>
                <w:color w:val="000000"/>
                <w:sz w:val="24"/>
                <w:szCs w:val="24"/>
                <w:lang w:val="en-US"/>
              </w:rPr>
              <w:t xml:space="preserve">   </w:t>
            </w:r>
            <w:r w:rsidRPr="004513CE">
              <w:rPr>
                <w:rFonts w:asciiTheme="majorHAnsi" w:hAnsiTheme="majorHAnsi" w:cs="Times New Roman"/>
                <w:b/>
                <w:bCs/>
                <w:color w:val="FF0000"/>
                <w:sz w:val="28"/>
                <w:szCs w:val="28"/>
                <w:lang w:val="en-US"/>
              </w:rPr>
              <w:t>Disadvantages</w:t>
            </w:r>
          </w:p>
        </w:tc>
      </w:tr>
      <w:tr w:rsidR="00286D9D" w:rsidRPr="00096515" w14:paraId="65AD6FE1" w14:textId="77777777" w:rsidTr="004513CE">
        <w:tc>
          <w:tcPr>
            <w:tcW w:w="4814" w:type="dxa"/>
            <w:tcBorders>
              <w:top w:val="double" w:sz="4" w:space="0" w:color="auto"/>
              <w:left w:val="double" w:sz="4" w:space="0" w:color="auto"/>
              <w:bottom w:val="double" w:sz="4" w:space="0" w:color="auto"/>
              <w:right w:val="double" w:sz="4" w:space="0" w:color="auto"/>
            </w:tcBorders>
          </w:tcPr>
          <w:p w14:paraId="21B6A66B" w14:textId="77777777"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Administration of drugs by this route is easy.</w:t>
            </w:r>
          </w:p>
        </w:tc>
        <w:tc>
          <w:tcPr>
            <w:tcW w:w="4814" w:type="dxa"/>
            <w:tcBorders>
              <w:top w:val="double" w:sz="4" w:space="0" w:color="auto"/>
              <w:left w:val="double" w:sz="4" w:space="0" w:color="auto"/>
              <w:bottom w:val="double" w:sz="4" w:space="0" w:color="auto"/>
              <w:right w:val="double" w:sz="4" w:space="0" w:color="auto"/>
            </w:tcBorders>
          </w:tcPr>
          <w:p w14:paraId="771B197B"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Drugs travel through the portal vein and pass through the liver where they can be broken down by various enzymes or excreted through the bile</w:t>
            </w:r>
            <w:r>
              <w:rPr>
                <w:rFonts w:asciiTheme="majorHAnsi" w:hAnsiTheme="majorHAnsi" w:cs="Times New Roman"/>
                <w:b/>
                <w:bCs/>
                <w:color w:val="000000"/>
                <w:sz w:val="24"/>
                <w:szCs w:val="24"/>
                <w:lang w:val="en-US"/>
              </w:rPr>
              <w:t>.</w:t>
            </w:r>
          </w:p>
        </w:tc>
      </w:tr>
      <w:tr w:rsidR="00286D9D" w:rsidRPr="00096515" w14:paraId="491B80E5" w14:textId="77777777" w:rsidTr="004513CE">
        <w:tc>
          <w:tcPr>
            <w:tcW w:w="4814" w:type="dxa"/>
            <w:tcBorders>
              <w:top w:val="double" w:sz="4" w:space="0" w:color="auto"/>
              <w:left w:val="double" w:sz="4" w:space="0" w:color="auto"/>
              <w:bottom w:val="double" w:sz="4" w:space="0" w:color="auto"/>
              <w:right w:val="double" w:sz="4" w:space="0" w:color="auto"/>
            </w:tcBorders>
          </w:tcPr>
          <w:p w14:paraId="49A9EFAB" w14:textId="77777777"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It is well accepted by the patient.</w:t>
            </w:r>
          </w:p>
        </w:tc>
        <w:tc>
          <w:tcPr>
            <w:tcW w:w="4814" w:type="dxa"/>
            <w:tcBorders>
              <w:top w:val="double" w:sz="4" w:space="0" w:color="auto"/>
              <w:left w:val="double" w:sz="4" w:space="0" w:color="auto"/>
              <w:bottom w:val="double" w:sz="4" w:space="0" w:color="auto"/>
              <w:right w:val="double" w:sz="4" w:space="0" w:color="auto"/>
            </w:tcBorders>
          </w:tcPr>
          <w:p w14:paraId="175C404D" w14:textId="77777777" w:rsidR="00286D9D" w:rsidRDefault="00286D9D"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There is irritation of the digestive tract by certain medications (anti-inflammatories, corticosteroids, etc.). The oral route should therefore be avoided in the event of peptic ulcer or gastritis.</w:t>
            </w:r>
          </w:p>
        </w:tc>
      </w:tr>
      <w:tr w:rsidR="00286D9D" w:rsidRPr="00096515" w14:paraId="4005B18F" w14:textId="77777777" w:rsidTr="004513CE">
        <w:tc>
          <w:tcPr>
            <w:tcW w:w="4814" w:type="dxa"/>
            <w:tcBorders>
              <w:top w:val="double" w:sz="4" w:space="0" w:color="auto"/>
              <w:left w:val="double" w:sz="4" w:space="0" w:color="auto"/>
              <w:bottom w:val="double" w:sz="4" w:space="0" w:color="auto"/>
              <w:right w:val="double" w:sz="4" w:space="0" w:color="auto"/>
            </w:tcBorders>
          </w:tcPr>
          <w:p w14:paraId="3F2CB080" w14:textId="77777777"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High doses can be taken at one time.</w:t>
            </w:r>
          </w:p>
        </w:tc>
        <w:tc>
          <w:tcPr>
            <w:tcW w:w="4814" w:type="dxa"/>
            <w:tcBorders>
              <w:top w:val="double" w:sz="4" w:space="0" w:color="auto"/>
              <w:left w:val="double" w:sz="4" w:space="0" w:color="auto"/>
              <w:bottom w:val="double" w:sz="4" w:space="0" w:color="auto"/>
              <w:right w:val="double" w:sz="4" w:space="0" w:color="auto"/>
            </w:tcBorders>
          </w:tcPr>
          <w:p w14:paraId="307BFA23" w14:textId="77777777" w:rsidR="004513CE" w:rsidRP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action only appears after a latency period corresponding to the absorption time</w:t>
            </w:r>
          </w:p>
          <w:p w14:paraId="1F37F02D"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(absorption is faster on an empty stomach).</w:t>
            </w:r>
          </w:p>
        </w:tc>
      </w:tr>
      <w:tr w:rsidR="00286D9D" w:rsidRPr="00096515" w14:paraId="7639074D" w14:textId="77777777" w:rsidTr="004513CE">
        <w:tc>
          <w:tcPr>
            <w:tcW w:w="4814" w:type="dxa"/>
            <w:tcBorders>
              <w:top w:val="double" w:sz="4" w:space="0" w:color="auto"/>
              <w:left w:val="double" w:sz="4" w:space="0" w:color="auto"/>
              <w:bottom w:val="double" w:sz="4" w:space="0" w:color="auto"/>
              <w:right w:val="double" w:sz="4" w:space="0" w:color="auto"/>
            </w:tcBorders>
          </w:tcPr>
          <w:p w14:paraId="3579922B" w14:textId="77777777"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14:paraId="13E93F96"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Sometimes absorption is incomplete, or even zero (certain sulfonamides, metal salts).</w:t>
            </w:r>
          </w:p>
        </w:tc>
      </w:tr>
      <w:tr w:rsidR="00286D9D" w:rsidRPr="00096515" w14:paraId="2D82C629" w14:textId="77777777" w:rsidTr="004513CE">
        <w:tc>
          <w:tcPr>
            <w:tcW w:w="4814" w:type="dxa"/>
            <w:tcBorders>
              <w:top w:val="double" w:sz="4" w:space="0" w:color="auto"/>
              <w:left w:val="double" w:sz="4" w:space="0" w:color="auto"/>
              <w:bottom w:val="double" w:sz="4" w:space="0" w:color="auto"/>
              <w:right w:val="double" w:sz="4" w:space="0" w:color="auto"/>
            </w:tcBorders>
          </w:tcPr>
          <w:p w14:paraId="04D9FC74" w14:textId="77777777"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14:paraId="39B69BC6"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smell and taste of medicines are sometimes unpleasant (hence the use of flavorings).</w:t>
            </w:r>
          </w:p>
        </w:tc>
      </w:tr>
      <w:tr w:rsidR="004513CE" w:rsidRPr="00096515" w14:paraId="073333EA" w14:textId="77777777" w:rsidTr="004513CE">
        <w:tc>
          <w:tcPr>
            <w:tcW w:w="4814" w:type="dxa"/>
            <w:tcBorders>
              <w:top w:val="double" w:sz="4" w:space="0" w:color="auto"/>
              <w:left w:val="double" w:sz="4" w:space="0" w:color="auto"/>
              <w:bottom w:val="double" w:sz="4" w:space="0" w:color="auto"/>
              <w:right w:val="double" w:sz="4" w:space="0" w:color="auto"/>
            </w:tcBorders>
          </w:tcPr>
          <w:p w14:paraId="0CF8D476" w14:textId="77777777" w:rsidR="004513CE" w:rsidRDefault="004513CE"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14:paraId="40FB63DF" w14:textId="77777777" w:rsidR="004513CE" w:rsidRP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It cannot be used for drugs destroyed by the digestive tract (peptide hormones such as insulin).</w:t>
            </w:r>
          </w:p>
        </w:tc>
      </w:tr>
      <w:tr w:rsidR="00286D9D" w:rsidRPr="00096515" w14:paraId="3004815E" w14:textId="77777777" w:rsidTr="004513CE">
        <w:tc>
          <w:tcPr>
            <w:tcW w:w="4814" w:type="dxa"/>
            <w:tcBorders>
              <w:top w:val="double" w:sz="4" w:space="0" w:color="auto"/>
              <w:left w:val="double" w:sz="4" w:space="0" w:color="auto"/>
              <w:bottom w:val="double" w:sz="4" w:space="0" w:color="auto"/>
              <w:right w:val="double" w:sz="4" w:space="0" w:color="auto"/>
            </w:tcBorders>
          </w:tcPr>
          <w:p w14:paraId="525B3993" w14:textId="77777777"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14:paraId="10BCA4A1"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oral route is difficult to use in case of nausea and vomiting.</w:t>
            </w:r>
          </w:p>
        </w:tc>
      </w:tr>
      <w:tr w:rsidR="00286D9D" w:rsidRPr="00096515" w14:paraId="5A1F7029" w14:textId="77777777" w:rsidTr="004513CE">
        <w:tc>
          <w:tcPr>
            <w:tcW w:w="4814" w:type="dxa"/>
            <w:tcBorders>
              <w:top w:val="double" w:sz="4" w:space="0" w:color="auto"/>
              <w:left w:val="double" w:sz="4" w:space="0" w:color="auto"/>
              <w:bottom w:val="double" w:sz="4" w:space="0" w:color="auto"/>
              <w:right w:val="double" w:sz="4" w:space="0" w:color="auto"/>
            </w:tcBorders>
          </w:tcPr>
          <w:p w14:paraId="37E3B490" w14:textId="77777777"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14:paraId="3592C1BE" w14:textId="77777777"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It cannot be used in an unconscious patient…</w:t>
            </w:r>
          </w:p>
        </w:tc>
      </w:tr>
    </w:tbl>
    <w:p w14:paraId="031EC272" w14:textId="77777777" w:rsidR="004513CE" w:rsidRPr="00D26CB3" w:rsidRDefault="004513CE" w:rsidP="004C6708">
      <w:pPr>
        <w:jc w:val="both"/>
        <w:rPr>
          <w:rFonts w:asciiTheme="majorHAnsi" w:hAnsiTheme="majorHAnsi"/>
          <w:b/>
          <w:bCs/>
          <w:i/>
          <w:iCs/>
          <w:color w:val="1F3864" w:themeColor="accent5" w:themeShade="80"/>
          <w:sz w:val="28"/>
          <w:szCs w:val="28"/>
          <w:u w:val="single"/>
          <w:lang w:val="en-US"/>
        </w:rPr>
      </w:pPr>
      <w:r w:rsidRPr="00D26CB3">
        <w:rPr>
          <w:rFonts w:asciiTheme="majorHAnsi" w:hAnsiTheme="majorHAnsi"/>
          <w:b/>
          <w:bCs/>
          <w:i/>
          <w:iCs/>
          <w:color w:val="1F3864" w:themeColor="accent5" w:themeShade="80"/>
          <w:sz w:val="28"/>
          <w:szCs w:val="28"/>
          <w:u w:val="single"/>
          <w:lang w:val="en-US"/>
        </w:rPr>
        <w:lastRenderedPageBreak/>
        <w:t xml:space="preserve">01-02/ </w:t>
      </w:r>
      <w:r w:rsidR="004C6708" w:rsidRPr="004C6708">
        <w:rPr>
          <w:rFonts w:asciiTheme="majorHAnsi" w:hAnsiTheme="majorHAnsi"/>
          <w:b/>
          <w:bCs/>
          <w:i/>
          <w:iCs/>
          <w:color w:val="1F3864" w:themeColor="accent5" w:themeShade="80"/>
          <w:sz w:val="28"/>
          <w:szCs w:val="28"/>
          <w:u w:val="single"/>
          <w:lang w:val="en-GB"/>
        </w:rPr>
        <w:t>Parenteral</w:t>
      </w:r>
      <w:r w:rsidR="004C6708" w:rsidRPr="00D26CB3">
        <w:rPr>
          <w:rFonts w:asciiTheme="majorHAnsi" w:hAnsiTheme="majorHAnsi"/>
          <w:b/>
          <w:bCs/>
          <w:i/>
          <w:iCs/>
          <w:color w:val="1F3864" w:themeColor="accent5" w:themeShade="80"/>
          <w:sz w:val="28"/>
          <w:szCs w:val="28"/>
          <w:u w:val="single"/>
          <w:lang w:val="en-US"/>
        </w:rPr>
        <w:t xml:space="preserve"> or injectable route</w:t>
      </w:r>
    </w:p>
    <w:p w14:paraId="4E1631F5" w14:textId="77777777" w:rsidR="004513CE" w:rsidRPr="004C6708" w:rsidRDefault="004C6708" w:rsidP="00743F94">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4C6708">
        <w:rPr>
          <w:rFonts w:asciiTheme="majorHAnsi" w:hAnsiTheme="majorHAnsi" w:cs="Times New Roman"/>
          <w:b/>
          <w:bCs/>
          <w:color w:val="000000"/>
          <w:sz w:val="24"/>
          <w:szCs w:val="24"/>
          <w:lang w:val="en-US"/>
        </w:rPr>
        <w:t>This is the most direct route, because it puts the medication directly in contact with the blood or interstitial fluids and avoids the digestive tract. Medications administered by parenteral are liquid injectable preparations (solutions, emulsions, suspensions) or</w:t>
      </w:r>
      <w:r>
        <w:rPr>
          <w:rFonts w:asciiTheme="majorHAnsi" w:hAnsiTheme="majorHAnsi" w:cs="Times New Roman"/>
          <w:b/>
          <w:bCs/>
          <w:color w:val="000000"/>
          <w:sz w:val="24"/>
          <w:szCs w:val="24"/>
          <w:lang w:val="en-US"/>
        </w:rPr>
        <w:t xml:space="preserve"> </w:t>
      </w:r>
      <w:r w:rsidRPr="004C6708">
        <w:rPr>
          <w:rFonts w:asciiTheme="majorHAnsi" w:hAnsiTheme="majorHAnsi" w:cs="Times New Roman"/>
          <w:b/>
          <w:bCs/>
          <w:color w:val="000000"/>
          <w:sz w:val="24"/>
          <w:szCs w:val="24"/>
          <w:lang w:val="en-US"/>
        </w:rPr>
        <w:t>solid (the implants).</w:t>
      </w:r>
    </w:p>
    <w:p w14:paraId="448753BB" w14:textId="77777777" w:rsidR="004513CE" w:rsidRPr="004C6708" w:rsidRDefault="004513CE" w:rsidP="005E6C4A">
      <w:pPr>
        <w:autoSpaceDE w:val="0"/>
        <w:autoSpaceDN w:val="0"/>
        <w:adjustRightInd w:val="0"/>
        <w:spacing w:after="0" w:line="240" w:lineRule="auto"/>
        <w:rPr>
          <w:rFonts w:ascii="Times New Roman" w:hAnsi="Times New Roman" w:cs="Times New Roman"/>
          <w:b/>
          <w:bCs/>
          <w:color w:val="000000"/>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5"/>
        <w:gridCol w:w="4803"/>
      </w:tblGrid>
      <w:tr w:rsidR="004C6708" w:rsidRPr="00743F94" w14:paraId="685D81E0" w14:textId="77777777" w:rsidTr="00D67C62">
        <w:tc>
          <w:tcPr>
            <w:tcW w:w="4805" w:type="dxa"/>
            <w:tcBorders>
              <w:top w:val="double" w:sz="4" w:space="0" w:color="auto"/>
              <w:left w:val="double" w:sz="4" w:space="0" w:color="auto"/>
              <w:bottom w:val="double" w:sz="4" w:space="0" w:color="auto"/>
              <w:right w:val="double" w:sz="4" w:space="0" w:color="auto"/>
            </w:tcBorders>
          </w:tcPr>
          <w:p w14:paraId="16A4019B" w14:textId="77777777" w:rsidR="004C6708" w:rsidRPr="00743F94" w:rsidRDefault="004C6708" w:rsidP="002A2473">
            <w:pPr>
              <w:pStyle w:val="ListParagraph"/>
              <w:numPr>
                <w:ilvl w:val="0"/>
                <w:numId w:val="15"/>
              </w:numPr>
              <w:spacing w:before="240" w:after="24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B050"/>
                <w:sz w:val="28"/>
                <w:szCs w:val="28"/>
                <w:lang w:val="en-US"/>
              </w:rPr>
              <w:t>Advantages</w:t>
            </w:r>
          </w:p>
        </w:tc>
        <w:tc>
          <w:tcPr>
            <w:tcW w:w="4803" w:type="dxa"/>
            <w:tcBorders>
              <w:top w:val="double" w:sz="4" w:space="0" w:color="auto"/>
              <w:left w:val="double" w:sz="4" w:space="0" w:color="auto"/>
              <w:bottom w:val="double" w:sz="4" w:space="0" w:color="auto"/>
              <w:right w:val="double" w:sz="4" w:space="0" w:color="auto"/>
            </w:tcBorders>
          </w:tcPr>
          <w:p w14:paraId="2CDE5487" w14:textId="77777777" w:rsidR="004C6708" w:rsidRPr="00743F94" w:rsidRDefault="004C6708" w:rsidP="002A2473">
            <w:pPr>
              <w:spacing w:before="240" w:after="240"/>
              <w:ind w:firstLine="89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FF0000"/>
                <w:sz w:val="24"/>
                <w:szCs w:val="24"/>
                <w:lang w:val="en-US"/>
              </w:rPr>
              <w:t>X</w:t>
            </w:r>
            <w:r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FF0000"/>
                <w:sz w:val="28"/>
                <w:szCs w:val="28"/>
                <w:lang w:val="en-US"/>
              </w:rPr>
              <w:t>Disadvantages</w:t>
            </w:r>
          </w:p>
        </w:tc>
      </w:tr>
      <w:tr w:rsidR="004C6708" w:rsidRPr="00096515" w14:paraId="479EC6EC"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664C6F79" w14:textId="77777777"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Rapid effect, especially after intravenous administration.</w:t>
            </w:r>
          </w:p>
        </w:tc>
        <w:tc>
          <w:tcPr>
            <w:tcW w:w="4803" w:type="dxa"/>
          </w:tcPr>
          <w:p w14:paraId="1D5D73E3" w14:textId="77777777" w:rsidR="00D67C62"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 injection is sometimes painful,</w:t>
            </w:r>
          </w:p>
          <w:p w14:paraId="253399C4" w14:textId="77777777" w:rsidR="004C6708" w:rsidRPr="00743F94" w:rsidRDefault="004C6708" w:rsidP="004C6708">
            <w:pPr>
              <w:jc w:val="both"/>
              <w:rPr>
                <w:rFonts w:asciiTheme="majorHAnsi" w:hAnsiTheme="majorHAnsi" w:cs="Times New Roman"/>
                <w:b/>
                <w:bCs/>
                <w:color w:val="000000"/>
                <w:sz w:val="24"/>
                <w:szCs w:val="24"/>
                <w:lang w:val="en-US"/>
              </w:rPr>
            </w:pPr>
          </w:p>
        </w:tc>
      </w:tr>
      <w:tr w:rsidR="004C6708" w:rsidRPr="00096515" w14:paraId="6AFF168D"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314239F5" w14:textId="77777777"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Immediate passage into the body.</w:t>
            </w:r>
          </w:p>
        </w:tc>
        <w:tc>
          <w:tcPr>
            <w:tcW w:w="4803" w:type="dxa"/>
          </w:tcPr>
          <w:p w14:paraId="54B626E6" w14:textId="77777777" w:rsidR="004C6708" w:rsidRPr="00743F94" w:rsidRDefault="00D67C62" w:rsidP="005E6C4A">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It can cause a risk of infection,</w:t>
            </w:r>
          </w:p>
        </w:tc>
      </w:tr>
      <w:tr w:rsidR="004C6708" w:rsidRPr="00096515" w14:paraId="54C1C8A5"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5711069F" w14:textId="77777777"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No destruction by the enzymes of the digestive </w:t>
            </w:r>
            <w:r w:rsidR="000C30A2" w:rsidRPr="00743F94">
              <w:rPr>
                <w:rFonts w:asciiTheme="majorHAnsi" w:hAnsiTheme="majorHAnsi" w:cs="Times New Roman"/>
                <w:b/>
                <w:bCs/>
                <w:color w:val="000000"/>
                <w:sz w:val="24"/>
                <w:szCs w:val="24"/>
                <w:lang w:val="en-US"/>
              </w:rPr>
              <w:t>tract, which</w:t>
            </w:r>
            <w:r w:rsidRPr="00743F94">
              <w:rPr>
                <w:rFonts w:asciiTheme="majorHAnsi" w:hAnsiTheme="majorHAnsi" w:cs="Times New Roman"/>
                <w:b/>
                <w:bCs/>
                <w:color w:val="000000"/>
                <w:sz w:val="24"/>
                <w:szCs w:val="24"/>
                <w:lang w:val="en-US"/>
              </w:rPr>
              <w:t xml:space="preserve"> it helps to avoid.</w:t>
            </w:r>
          </w:p>
        </w:tc>
        <w:tc>
          <w:tcPr>
            <w:tcW w:w="4803" w:type="dxa"/>
          </w:tcPr>
          <w:p w14:paraId="4337F514" w14:textId="77777777" w:rsidR="004C6708"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There are difficulties with repeated injections because the number of injection points is limited.</w:t>
            </w:r>
          </w:p>
        </w:tc>
      </w:tr>
      <w:tr w:rsidR="004C6708" w:rsidRPr="00096515" w14:paraId="782796E1"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293B4D9D" w14:textId="77777777"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Injection possible at the desired location (for example intracardiac injection).</w:t>
            </w:r>
          </w:p>
        </w:tc>
        <w:tc>
          <w:tcPr>
            <w:tcW w:w="4803" w:type="dxa"/>
          </w:tcPr>
          <w:p w14:paraId="631D5A8C" w14:textId="77777777" w:rsidR="004C6708"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w:t>
            </w:r>
            <w:r w:rsidR="00F643A0">
              <w:rPr>
                <w:rFonts w:asciiTheme="majorHAnsi" w:hAnsiTheme="majorHAnsi" w:cs="Times New Roman"/>
                <w:b/>
                <w:bCs/>
                <w:color w:val="000000"/>
                <w:sz w:val="24"/>
                <w:szCs w:val="24"/>
                <w:lang w:val="en-US"/>
              </w:rPr>
              <w:t xml:space="preserve">Injectable suspensions can only </w:t>
            </w:r>
            <w:r w:rsidRPr="00743F94">
              <w:rPr>
                <w:rFonts w:asciiTheme="majorHAnsi" w:hAnsiTheme="majorHAnsi" w:cs="Times New Roman"/>
                <w:b/>
                <w:bCs/>
                <w:color w:val="000000"/>
                <w:sz w:val="24"/>
                <w:szCs w:val="24"/>
                <w:lang w:val="en-US"/>
              </w:rPr>
              <w:t>be administered intramuscularly.</w:t>
            </w:r>
          </w:p>
        </w:tc>
      </w:tr>
      <w:tr w:rsidR="004C6708" w:rsidRPr="00096515" w14:paraId="422120A3"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21D436C4" w14:textId="77777777" w:rsidR="004C6708" w:rsidRPr="00743F94" w:rsidRDefault="004C6708" w:rsidP="005E6C4A">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Useful for a patient who is unconscious or unable to swallow.</w:t>
            </w:r>
          </w:p>
        </w:tc>
        <w:tc>
          <w:tcPr>
            <w:tcW w:w="4803" w:type="dxa"/>
          </w:tcPr>
          <w:p w14:paraId="6545CEF3" w14:textId="77777777"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You should not inject irritating </w:t>
            </w:r>
            <w:r w:rsidR="00743F94" w:rsidRPr="00743F94">
              <w:rPr>
                <w:rFonts w:asciiTheme="majorHAnsi" w:hAnsiTheme="majorHAnsi" w:cs="Times New Roman"/>
                <w:b/>
                <w:bCs/>
                <w:color w:val="000000"/>
                <w:sz w:val="24"/>
                <w:szCs w:val="24"/>
                <w:lang w:val="en-US"/>
              </w:rPr>
              <w:t>products, which</w:t>
            </w:r>
            <w:r w:rsidRPr="00743F94">
              <w:rPr>
                <w:rFonts w:asciiTheme="majorHAnsi" w:hAnsiTheme="majorHAnsi" w:cs="Times New Roman"/>
                <w:b/>
                <w:bCs/>
                <w:color w:val="000000"/>
                <w:sz w:val="24"/>
                <w:szCs w:val="24"/>
                <w:lang w:val="en-US"/>
              </w:rPr>
              <w:t xml:space="preserve"> could damage the vein.</w:t>
            </w:r>
          </w:p>
        </w:tc>
      </w:tr>
      <w:tr w:rsidR="004C6708" w:rsidRPr="00096515" w14:paraId="0AE36FD5"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0BEDD753" w14:textId="77777777" w:rsidR="004C6708" w:rsidRPr="00743F94" w:rsidRDefault="004C6708" w:rsidP="005E6C4A">
            <w:pPr>
              <w:jc w:val="both"/>
              <w:rPr>
                <w:rFonts w:asciiTheme="majorHAnsi" w:hAnsiTheme="majorHAnsi" w:cs="Times New Roman"/>
                <w:b/>
                <w:bCs/>
                <w:color w:val="000000"/>
                <w:sz w:val="24"/>
                <w:szCs w:val="24"/>
                <w:lang w:val="en-US"/>
              </w:rPr>
            </w:pPr>
          </w:p>
        </w:tc>
        <w:tc>
          <w:tcPr>
            <w:tcW w:w="4803" w:type="dxa"/>
          </w:tcPr>
          <w:p w14:paraId="3E6A30EB" w14:textId="77777777"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 duration of drug action is generally short, especially after administration</w:t>
            </w:r>
            <w:r w:rsidR="00743F94"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000000"/>
                <w:sz w:val="24"/>
                <w:szCs w:val="24"/>
                <w:lang w:val="en-US"/>
              </w:rPr>
              <w:t>intravenously.</w:t>
            </w:r>
          </w:p>
        </w:tc>
      </w:tr>
      <w:tr w:rsidR="004C6708" w:rsidRPr="00096515" w14:paraId="53EA429D" w14:textId="77777777"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5245E44B" w14:textId="77777777" w:rsidR="004C6708" w:rsidRPr="00743F94" w:rsidRDefault="004C6708" w:rsidP="005E6C4A">
            <w:pPr>
              <w:jc w:val="both"/>
              <w:rPr>
                <w:rFonts w:asciiTheme="majorHAnsi" w:hAnsiTheme="majorHAnsi" w:cs="Times New Roman"/>
                <w:b/>
                <w:bCs/>
                <w:color w:val="000000"/>
                <w:sz w:val="24"/>
                <w:szCs w:val="24"/>
                <w:lang w:val="en-US"/>
              </w:rPr>
            </w:pPr>
          </w:p>
        </w:tc>
        <w:tc>
          <w:tcPr>
            <w:tcW w:w="4803" w:type="dxa"/>
          </w:tcPr>
          <w:p w14:paraId="5E53E7A3" w14:textId="77777777"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Drugs administered parenterally must be sterile and nonpyrogenic…</w:t>
            </w:r>
          </w:p>
        </w:tc>
      </w:tr>
    </w:tbl>
    <w:p w14:paraId="5D0A582D" w14:textId="77777777" w:rsidR="00743F94" w:rsidRPr="00D26CB3" w:rsidRDefault="00743F94" w:rsidP="005E6C4A">
      <w:pPr>
        <w:jc w:val="both"/>
        <w:rPr>
          <w:rFonts w:asciiTheme="majorHAnsi" w:hAnsiTheme="majorHAnsi"/>
          <w:lang w:val="en-US"/>
        </w:rPr>
      </w:pPr>
    </w:p>
    <w:p w14:paraId="70E599B3" w14:textId="77777777" w:rsidR="00743F94" w:rsidRPr="00743F94" w:rsidRDefault="00743F94" w:rsidP="00743F94">
      <w:pPr>
        <w:ind w:firstLine="567"/>
        <w:jc w:val="both"/>
        <w:rPr>
          <w:rFonts w:asciiTheme="majorHAnsi" w:hAnsiTheme="majorHAnsi"/>
          <w:b/>
          <w:bCs/>
          <w:sz w:val="24"/>
          <w:szCs w:val="24"/>
          <w:lang w:val="en-US"/>
        </w:rPr>
      </w:pPr>
      <w:r w:rsidRPr="00743F94">
        <w:rPr>
          <w:rFonts w:asciiTheme="majorHAnsi" w:hAnsiTheme="majorHAnsi"/>
          <w:b/>
          <w:bCs/>
          <w:sz w:val="24"/>
          <w:szCs w:val="24"/>
          <w:lang w:val="en-US"/>
        </w:rPr>
        <w:t>The following table summarizes the different modes of parenteral penetration</w:t>
      </w:r>
      <w:r>
        <w:rPr>
          <w:rFonts w:asciiTheme="majorHAnsi" w:hAnsiTheme="majorHAnsi"/>
          <w:b/>
          <w:bCs/>
          <w:sz w:val="24"/>
          <w:szCs w:val="24"/>
          <w:lang w:val="en-US"/>
        </w:rPr>
        <w:t xml:space="preserve">: </w:t>
      </w:r>
    </w:p>
    <w:tbl>
      <w:tblPr>
        <w:tblStyle w:val="TableGrid"/>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1457"/>
        <w:gridCol w:w="6059"/>
      </w:tblGrid>
      <w:tr w:rsidR="00743F94" w:rsidRPr="00937D55" w14:paraId="7ED397A3" w14:textId="77777777" w:rsidTr="00D9534E">
        <w:tc>
          <w:tcPr>
            <w:tcW w:w="2250" w:type="dxa"/>
          </w:tcPr>
          <w:p w14:paraId="334662B0" w14:textId="77777777" w:rsidR="00743F94" w:rsidRPr="00937D55" w:rsidRDefault="00507394" w:rsidP="00937D55">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Mode</w:t>
            </w:r>
          </w:p>
        </w:tc>
        <w:tc>
          <w:tcPr>
            <w:tcW w:w="1457" w:type="dxa"/>
          </w:tcPr>
          <w:p w14:paraId="2E44BAC0" w14:textId="77777777" w:rsidR="00743F94" w:rsidRPr="00937D55" w:rsidRDefault="00D9534E" w:rsidP="00D9534E">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A</w:t>
            </w:r>
            <w:r w:rsidR="00507394" w:rsidRPr="00937D55">
              <w:rPr>
                <w:rFonts w:asciiTheme="majorHAnsi" w:hAnsiTheme="majorHAnsi"/>
                <w:b/>
                <w:bCs/>
                <w:i/>
                <w:iCs/>
                <w:sz w:val="24"/>
                <w:szCs w:val="24"/>
                <w:lang w:val="en-US"/>
              </w:rPr>
              <w:t>bbreviation</w:t>
            </w:r>
          </w:p>
        </w:tc>
        <w:tc>
          <w:tcPr>
            <w:tcW w:w="6059" w:type="dxa"/>
          </w:tcPr>
          <w:p w14:paraId="1DBD3629" w14:textId="77777777" w:rsidR="00743F94" w:rsidRPr="00937D55" w:rsidRDefault="00D9534E" w:rsidP="00937D55">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I</w:t>
            </w:r>
            <w:r w:rsidR="00507394" w:rsidRPr="00937D55">
              <w:rPr>
                <w:rFonts w:asciiTheme="majorHAnsi" w:hAnsiTheme="majorHAnsi"/>
                <w:b/>
                <w:bCs/>
                <w:i/>
                <w:iCs/>
                <w:sz w:val="24"/>
                <w:szCs w:val="24"/>
                <w:lang w:val="en-US"/>
              </w:rPr>
              <w:t>njection site</w:t>
            </w:r>
          </w:p>
        </w:tc>
      </w:tr>
      <w:tr w:rsidR="00743F94" w:rsidRPr="00096515" w14:paraId="7E7A8705" w14:textId="77777777" w:rsidTr="00D9534E">
        <w:tc>
          <w:tcPr>
            <w:tcW w:w="2250" w:type="dxa"/>
          </w:tcPr>
          <w:p w14:paraId="166D32C4" w14:textId="77777777" w:rsidR="00743F94" w:rsidRPr="00507394" w:rsidRDefault="00507394" w:rsidP="00D47CD7">
            <w:pPr>
              <w:spacing w:before="120" w:line="276" w:lineRule="auto"/>
              <w:jc w:val="both"/>
              <w:rPr>
                <w:rFonts w:asciiTheme="majorHAnsi" w:hAnsiTheme="majorHAnsi"/>
                <w:b/>
                <w:bCs/>
                <w:sz w:val="24"/>
                <w:szCs w:val="24"/>
                <w:lang w:val="en-US"/>
              </w:rPr>
            </w:pPr>
            <w:r w:rsidRPr="00507394">
              <w:rPr>
                <w:rFonts w:asciiTheme="majorHAnsi" w:hAnsiTheme="majorHAnsi"/>
                <w:b/>
                <w:bCs/>
                <w:sz w:val="24"/>
                <w:szCs w:val="24"/>
                <w:lang w:val="en-US"/>
              </w:rPr>
              <w:t>Intravenous</w:t>
            </w:r>
            <w:r>
              <w:rPr>
                <w:rFonts w:asciiTheme="majorHAnsi" w:hAnsiTheme="majorHAnsi"/>
                <w:b/>
                <w:bCs/>
                <w:sz w:val="24"/>
                <w:szCs w:val="24"/>
                <w:lang w:val="en-US"/>
              </w:rPr>
              <w:t xml:space="preserve"> </w:t>
            </w:r>
            <w:r w:rsidRPr="00507394">
              <w:rPr>
                <w:rFonts w:asciiTheme="majorHAnsi" w:hAnsiTheme="majorHAnsi"/>
                <w:b/>
                <w:bCs/>
                <w:sz w:val="24"/>
                <w:szCs w:val="24"/>
                <w:lang w:val="en-US"/>
              </w:rPr>
              <w:t>route</w:t>
            </w:r>
          </w:p>
        </w:tc>
        <w:tc>
          <w:tcPr>
            <w:tcW w:w="1457" w:type="dxa"/>
          </w:tcPr>
          <w:p w14:paraId="76414811" w14:textId="77777777" w:rsidR="00743F94" w:rsidRPr="00507394" w:rsidRDefault="00507394" w:rsidP="00D9534E">
            <w:pPr>
              <w:spacing w:before="120" w:line="276" w:lineRule="auto"/>
              <w:jc w:val="center"/>
              <w:rPr>
                <w:rFonts w:asciiTheme="majorHAnsi" w:hAnsiTheme="majorHAnsi"/>
                <w:b/>
                <w:bCs/>
                <w:sz w:val="24"/>
                <w:szCs w:val="24"/>
                <w:lang w:val="en-US"/>
              </w:rPr>
            </w:pPr>
            <w:r w:rsidRPr="00507394">
              <w:rPr>
                <w:rFonts w:asciiTheme="majorHAnsi" w:hAnsiTheme="majorHAnsi"/>
                <w:b/>
                <w:bCs/>
                <w:sz w:val="24"/>
                <w:szCs w:val="24"/>
                <w:lang w:val="en-US"/>
              </w:rPr>
              <w:t>IV</w:t>
            </w:r>
          </w:p>
        </w:tc>
        <w:tc>
          <w:tcPr>
            <w:tcW w:w="6059" w:type="dxa"/>
          </w:tcPr>
          <w:p w14:paraId="41769D3A" w14:textId="77777777"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V</w:t>
            </w:r>
            <w:r w:rsidR="00507394" w:rsidRPr="00507394">
              <w:rPr>
                <w:rFonts w:asciiTheme="majorHAnsi" w:hAnsiTheme="majorHAnsi"/>
                <w:b/>
                <w:bCs/>
                <w:sz w:val="24"/>
                <w:szCs w:val="24"/>
                <w:lang w:val="en-US"/>
              </w:rPr>
              <w:t>ein in the elbow, hand, wrist</w:t>
            </w:r>
          </w:p>
        </w:tc>
      </w:tr>
      <w:tr w:rsidR="00743F94" w:rsidRPr="00507394" w14:paraId="6605EF62" w14:textId="77777777" w:rsidTr="00D9534E">
        <w:tc>
          <w:tcPr>
            <w:tcW w:w="2250" w:type="dxa"/>
          </w:tcPr>
          <w:p w14:paraId="3D9AB990" w14:textId="77777777" w:rsidR="00743F94" w:rsidRPr="00507394" w:rsidRDefault="00507394" w:rsidP="00D47CD7">
            <w:pPr>
              <w:spacing w:before="120" w:line="276" w:lineRule="auto"/>
              <w:jc w:val="both"/>
              <w:rPr>
                <w:rFonts w:asciiTheme="majorHAnsi" w:hAnsiTheme="majorHAnsi"/>
                <w:b/>
                <w:bCs/>
                <w:sz w:val="24"/>
                <w:szCs w:val="24"/>
                <w:lang w:val="en-US"/>
              </w:rPr>
            </w:pPr>
            <w:r w:rsidRPr="00507394">
              <w:rPr>
                <w:rFonts w:asciiTheme="majorHAnsi" w:hAnsiTheme="majorHAnsi"/>
                <w:b/>
                <w:bCs/>
                <w:sz w:val="24"/>
                <w:szCs w:val="24"/>
                <w:lang w:val="en-US"/>
              </w:rPr>
              <w:t>Intramuscular route</w:t>
            </w:r>
          </w:p>
        </w:tc>
        <w:tc>
          <w:tcPr>
            <w:tcW w:w="1457" w:type="dxa"/>
          </w:tcPr>
          <w:p w14:paraId="73CD8EC5" w14:textId="77777777" w:rsidR="00743F94" w:rsidRPr="00507394" w:rsidRDefault="00507394"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IM</w:t>
            </w:r>
          </w:p>
        </w:tc>
        <w:tc>
          <w:tcPr>
            <w:tcW w:w="6059" w:type="dxa"/>
          </w:tcPr>
          <w:p w14:paraId="2FEB0405" w14:textId="77777777"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G</w:t>
            </w:r>
            <w:r w:rsidRPr="00D47CD7">
              <w:rPr>
                <w:rFonts w:asciiTheme="majorHAnsi" w:hAnsiTheme="majorHAnsi"/>
                <w:b/>
                <w:bCs/>
                <w:sz w:val="24"/>
                <w:szCs w:val="24"/>
                <w:lang w:val="en-US"/>
              </w:rPr>
              <w:t>luteal muscle</w:t>
            </w:r>
          </w:p>
        </w:tc>
      </w:tr>
      <w:tr w:rsidR="00743F94" w:rsidRPr="00507394" w14:paraId="2DF02BC8" w14:textId="77777777" w:rsidTr="00D9534E">
        <w:tc>
          <w:tcPr>
            <w:tcW w:w="2250" w:type="dxa"/>
          </w:tcPr>
          <w:p w14:paraId="0CBD6BF4" w14:textId="77777777"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47CD7">
              <w:rPr>
                <w:rFonts w:asciiTheme="majorHAnsi" w:hAnsiTheme="majorHAnsi"/>
                <w:b/>
                <w:bCs/>
                <w:sz w:val="24"/>
                <w:szCs w:val="24"/>
                <w:lang w:val="en-US"/>
              </w:rPr>
              <w:t>ntra-arterial</w:t>
            </w:r>
          </w:p>
        </w:tc>
        <w:tc>
          <w:tcPr>
            <w:tcW w:w="1457" w:type="dxa"/>
          </w:tcPr>
          <w:p w14:paraId="59E331F3" w14:textId="77777777" w:rsidR="00743F94" w:rsidRPr="00507394" w:rsidRDefault="00D47CD7"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IA</w:t>
            </w:r>
          </w:p>
        </w:tc>
        <w:tc>
          <w:tcPr>
            <w:tcW w:w="6059" w:type="dxa"/>
          </w:tcPr>
          <w:p w14:paraId="7C002DF6" w14:textId="77777777"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F</w:t>
            </w:r>
            <w:r w:rsidRPr="00D06828">
              <w:rPr>
                <w:rFonts w:asciiTheme="majorHAnsi" w:hAnsiTheme="majorHAnsi"/>
                <w:b/>
                <w:bCs/>
                <w:sz w:val="24"/>
                <w:szCs w:val="24"/>
                <w:lang w:val="en-US"/>
              </w:rPr>
              <w:t>emoral artery</w:t>
            </w:r>
          </w:p>
        </w:tc>
      </w:tr>
      <w:tr w:rsidR="00743F94" w:rsidRPr="00507394" w14:paraId="5B7E84B3" w14:textId="77777777" w:rsidTr="00D9534E">
        <w:tc>
          <w:tcPr>
            <w:tcW w:w="2250" w:type="dxa"/>
          </w:tcPr>
          <w:p w14:paraId="71CC6368" w14:textId="77777777"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06828">
              <w:rPr>
                <w:rFonts w:asciiTheme="majorHAnsi" w:hAnsiTheme="majorHAnsi"/>
                <w:b/>
                <w:bCs/>
                <w:sz w:val="24"/>
                <w:szCs w:val="24"/>
                <w:lang w:val="en-US"/>
              </w:rPr>
              <w:t>ntra</w:t>
            </w:r>
            <w:r>
              <w:rPr>
                <w:rFonts w:asciiTheme="majorHAnsi" w:hAnsiTheme="majorHAnsi"/>
                <w:b/>
                <w:bCs/>
                <w:sz w:val="24"/>
                <w:szCs w:val="24"/>
                <w:lang w:val="en-US"/>
              </w:rPr>
              <w:t>-</w:t>
            </w:r>
            <w:r w:rsidRPr="00D06828">
              <w:rPr>
                <w:rFonts w:asciiTheme="majorHAnsi" w:hAnsiTheme="majorHAnsi"/>
                <w:b/>
                <w:bCs/>
                <w:sz w:val="24"/>
                <w:szCs w:val="24"/>
                <w:lang w:val="en-US"/>
              </w:rPr>
              <w:t>cardiac</w:t>
            </w:r>
          </w:p>
        </w:tc>
        <w:tc>
          <w:tcPr>
            <w:tcW w:w="1457" w:type="dxa"/>
          </w:tcPr>
          <w:p w14:paraId="490E7F1F" w14:textId="77777777"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IC</w:t>
            </w:r>
          </w:p>
        </w:tc>
        <w:tc>
          <w:tcPr>
            <w:tcW w:w="6059" w:type="dxa"/>
          </w:tcPr>
          <w:p w14:paraId="4C2FA94B" w14:textId="77777777"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H</w:t>
            </w:r>
            <w:r w:rsidRPr="00D06828">
              <w:rPr>
                <w:rFonts w:asciiTheme="majorHAnsi" w:hAnsiTheme="majorHAnsi"/>
                <w:b/>
                <w:bCs/>
                <w:sz w:val="24"/>
                <w:szCs w:val="24"/>
                <w:lang w:val="en-US"/>
              </w:rPr>
              <w:t>eart muscle</w:t>
            </w:r>
          </w:p>
        </w:tc>
      </w:tr>
      <w:tr w:rsidR="00743F94" w:rsidRPr="00096515" w14:paraId="4E853618" w14:textId="77777777" w:rsidTr="00D9534E">
        <w:tc>
          <w:tcPr>
            <w:tcW w:w="2250" w:type="dxa"/>
          </w:tcPr>
          <w:p w14:paraId="1FB5BACB" w14:textId="77777777"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S</w:t>
            </w:r>
            <w:r w:rsidRPr="00D06828">
              <w:rPr>
                <w:rFonts w:asciiTheme="majorHAnsi" w:hAnsiTheme="majorHAnsi"/>
                <w:b/>
                <w:bCs/>
                <w:sz w:val="24"/>
                <w:szCs w:val="24"/>
                <w:lang w:val="en-US"/>
              </w:rPr>
              <w:t>ub</w:t>
            </w:r>
            <w:r>
              <w:rPr>
                <w:rFonts w:asciiTheme="majorHAnsi" w:hAnsiTheme="majorHAnsi"/>
                <w:b/>
                <w:bCs/>
                <w:sz w:val="24"/>
                <w:szCs w:val="24"/>
                <w:lang w:val="en-US"/>
              </w:rPr>
              <w:t>-</w:t>
            </w:r>
            <w:r w:rsidRPr="00D06828">
              <w:rPr>
                <w:rFonts w:asciiTheme="majorHAnsi" w:hAnsiTheme="majorHAnsi"/>
                <w:b/>
                <w:bCs/>
                <w:sz w:val="24"/>
                <w:szCs w:val="24"/>
                <w:lang w:val="en-US"/>
              </w:rPr>
              <w:t>cutaneous</w:t>
            </w:r>
          </w:p>
        </w:tc>
        <w:tc>
          <w:tcPr>
            <w:tcW w:w="1457" w:type="dxa"/>
          </w:tcPr>
          <w:p w14:paraId="19CBC994" w14:textId="77777777"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SC</w:t>
            </w:r>
          </w:p>
        </w:tc>
        <w:tc>
          <w:tcPr>
            <w:tcW w:w="6059" w:type="dxa"/>
          </w:tcPr>
          <w:p w14:paraId="3A00DF59" w14:textId="77777777" w:rsidR="00743F94" w:rsidRPr="00507394" w:rsidRDefault="00D06828" w:rsidP="00D06828">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U</w:t>
            </w:r>
            <w:r w:rsidRPr="00D06828">
              <w:rPr>
                <w:rFonts w:asciiTheme="majorHAnsi" w:hAnsiTheme="majorHAnsi"/>
                <w:b/>
                <w:bCs/>
                <w:sz w:val="24"/>
                <w:szCs w:val="24"/>
                <w:lang w:val="en-US"/>
              </w:rPr>
              <w:t>nder the skin in the connective tissue</w:t>
            </w:r>
          </w:p>
        </w:tc>
      </w:tr>
      <w:tr w:rsidR="00743F94" w:rsidRPr="00096515" w14:paraId="70AA9902" w14:textId="77777777" w:rsidTr="00D9534E">
        <w:tc>
          <w:tcPr>
            <w:tcW w:w="2250" w:type="dxa"/>
          </w:tcPr>
          <w:p w14:paraId="67790B9C" w14:textId="77777777"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06828">
              <w:rPr>
                <w:rFonts w:asciiTheme="majorHAnsi" w:hAnsiTheme="majorHAnsi"/>
                <w:b/>
                <w:bCs/>
                <w:sz w:val="24"/>
                <w:szCs w:val="24"/>
                <w:lang w:val="en-US"/>
              </w:rPr>
              <w:t>ntradermal</w:t>
            </w:r>
          </w:p>
        </w:tc>
        <w:tc>
          <w:tcPr>
            <w:tcW w:w="1457" w:type="dxa"/>
          </w:tcPr>
          <w:p w14:paraId="29BF5829" w14:textId="77777777"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ID</w:t>
            </w:r>
          </w:p>
        </w:tc>
        <w:tc>
          <w:tcPr>
            <w:tcW w:w="6059" w:type="dxa"/>
          </w:tcPr>
          <w:p w14:paraId="2CA5D35E" w14:textId="77777777" w:rsidR="00743F94" w:rsidRPr="00507394" w:rsidRDefault="00D9534E"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U</w:t>
            </w:r>
            <w:r w:rsidRPr="00D9534E">
              <w:rPr>
                <w:rFonts w:asciiTheme="majorHAnsi" w:hAnsiTheme="majorHAnsi"/>
                <w:b/>
                <w:bCs/>
                <w:sz w:val="24"/>
                <w:szCs w:val="24"/>
                <w:lang w:val="en-US"/>
              </w:rPr>
              <w:t>nder the skin, at the boundary of the epidermis and dermis</w:t>
            </w:r>
          </w:p>
        </w:tc>
      </w:tr>
    </w:tbl>
    <w:p w14:paraId="5BBCD617" w14:textId="77777777" w:rsidR="00743F94" w:rsidRDefault="00743F94" w:rsidP="005E6C4A">
      <w:pPr>
        <w:jc w:val="both"/>
        <w:rPr>
          <w:rFonts w:asciiTheme="majorHAnsi" w:hAnsiTheme="majorHAnsi"/>
          <w:lang w:val="en-US"/>
        </w:rPr>
      </w:pPr>
    </w:p>
    <w:p w14:paraId="766E0DA3" w14:textId="77777777" w:rsidR="00D9534E" w:rsidRPr="000C30A2" w:rsidRDefault="00D9534E" w:rsidP="00937D55">
      <w:pPr>
        <w:spacing w:after="120"/>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a) Intravenous route</w:t>
      </w:r>
      <w:r w:rsidR="00937D55" w:rsidRPr="000C30A2">
        <w:rPr>
          <w:rFonts w:asciiTheme="majorHAnsi" w:hAnsiTheme="majorHAnsi"/>
          <w:b/>
          <w:bCs/>
          <w:i/>
          <w:iCs/>
          <w:color w:val="1F3864" w:themeColor="accent5" w:themeShade="80"/>
          <w:sz w:val="28"/>
          <w:szCs w:val="28"/>
          <w:u w:val="single"/>
          <w:lang w:val="en-US"/>
        </w:rPr>
        <w:t xml:space="preserve"> (IV)</w:t>
      </w:r>
    </w:p>
    <w:p w14:paraId="770E2BE2" w14:textId="77777777" w:rsidR="003C3021" w:rsidRDefault="00D9534E" w:rsidP="003C3021">
      <w:pPr>
        <w:ind w:firstLine="567"/>
        <w:jc w:val="both"/>
        <w:rPr>
          <w:rFonts w:asciiTheme="majorHAnsi" w:hAnsiTheme="majorHAnsi"/>
          <w:b/>
          <w:bCs/>
          <w:sz w:val="24"/>
          <w:szCs w:val="24"/>
          <w:lang w:val="en-US"/>
        </w:rPr>
      </w:pPr>
      <w:r w:rsidRPr="00937D55">
        <w:rPr>
          <w:rFonts w:asciiTheme="majorHAnsi" w:hAnsiTheme="majorHAnsi"/>
          <w:b/>
          <w:bCs/>
          <w:sz w:val="24"/>
          <w:szCs w:val="24"/>
          <w:lang w:val="en-US"/>
        </w:rPr>
        <w:t xml:space="preserve">This is the emergency route because there is direct penetration into the blood, which allows almost immediate effects to be obtained (around 15 seconds). </w:t>
      </w:r>
    </w:p>
    <w:p w14:paraId="75B67F19" w14:textId="77777777" w:rsidR="00D9534E" w:rsidRPr="00937D55" w:rsidRDefault="00D9534E" w:rsidP="003C3021">
      <w:pPr>
        <w:ind w:firstLine="567"/>
        <w:jc w:val="both"/>
        <w:rPr>
          <w:rFonts w:asciiTheme="majorHAnsi" w:hAnsiTheme="majorHAnsi"/>
          <w:b/>
          <w:bCs/>
          <w:sz w:val="24"/>
          <w:szCs w:val="24"/>
          <w:lang w:val="en-US"/>
        </w:rPr>
      </w:pPr>
      <w:r w:rsidRPr="00937D55">
        <w:rPr>
          <w:rFonts w:asciiTheme="majorHAnsi" w:hAnsiTheme="majorHAnsi"/>
          <w:b/>
          <w:bCs/>
          <w:sz w:val="24"/>
          <w:szCs w:val="24"/>
          <w:lang w:val="en-US"/>
        </w:rPr>
        <w:t xml:space="preserve">The injection is </w:t>
      </w:r>
      <w:r w:rsidR="003C3021">
        <w:rPr>
          <w:rFonts w:asciiTheme="majorHAnsi" w:hAnsiTheme="majorHAnsi"/>
          <w:b/>
          <w:bCs/>
          <w:sz w:val="24"/>
          <w:szCs w:val="24"/>
          <w:lang w:val="en-US"/>
        </w:rPr>
        <w:t xml:space="preserve">done by syringe or by infusion </w:t>
      </w:r>
      <w:r w:rsidRPr="00937D55">
        <w:rPr>
          <w:rFonts w:asciiTheme="majorHAnsi" w:hAnsiTheme="majorHAnsi"/>
          <w:b/>
          <w:bCs/>
          <w:sz w:val="24"/>
          <w:szCs w:val="24"/>
          <w:lang w:val="en-US"/>
        </w:rPr>
        <w:t>when the volumes are large. The dosage is precise and controllable because the injection can be stopped at any ti</w:t>
      </w:r>
      <w:r w:rsidR="003C3021">
        <w:rPr>
          <w:rFonts w:asciiTheme="majorHAnsi" w:hAnsiTheme="majorHAnsi"/>
          <w:b/>
          <w:bCs/>
          <w:sz w:val="24"/>
          <w:szCs w:val="24"/>
          <w:lang w:val="en-US"/>
        </w:rPr>
        <w:t xml:space="preserve">me if the patient reacts badly. </w:t>
      </w:r>
      <w:r w:rsidR="00F643A0" w:rsidRPr="00937D55">
        <w:rPr>
          <w:rFonts w:asciiTheme="majorHAnsi" w:hAnsiTheme="majorHAnsi"/>
          <w:b/>
          <w:bCs/>
          <w:sz w:val="24"/>
          <w:szCs w:val="24"/>
          <w:lang w:val="en-US"/>
        </w:rPr>
        <w:t>This route can administer only aqueous solutions or emulsions</w:t>
      </w:r>
      <w:r w:rsidRPr="00937D55">
        <w:rPr>
          <w:rFonts w:asciiTheme="majorHAnsi" w:hAnsiTheme="majorHAnsi"/>
          <w:b/>
          <w:bCs/>
          <w:sz w:val="24"/>
          <w:szCs w:val="24"/>
          <w:lang w:val="en-US"/>
        </w:rPr>
        <w:t>.</w:t>
      </w:r>
    </w:p>
    <w:p w14:paraId="7536E7FA" w14:textId="77777777" w:rsidR="00D9534E" w:rsidRPr="003C3021" w:rsidRDefault="00D9534E" w:rsidP="003C3021">
      <w:pPr>
        <w:ind w:firstLine="567"/>
        <w:jc w:val="both"/>
        <w:rPr>
          <w:rFonts w:asciiTheme="majorHAnsi" w:hAnsiTheme="majorHAnsi"/>
          <w:b/>
          <w:bCs/>
          <w:sz w:val="24"/>
          <w:szCs w:val="24"/>
          <w:lang w:val="en-US"/>
        </w:rPr>
      </w:pPr>
      <w:r w:rsidRPr="003C3021">
        <w:rPr>
          <w:rFonts w:asciiTheme="majorHAnsi" w:hAnsiTheme="majorHAnsi"/>
          <w:b/>
          <w:bCs/>
          <w:sz w:val="24"/>
          <w:szCs w:val="24"/>
          <w:lang w:val="en-US"/>
        </w:rPr>
        <w:lastRenderedPageBreak/>
        <w:t>Intravenous injection is indicated when a drug is not tolerated subcutaneously or intramuscularly, when it is not absorbed through the digestive tract, and finally in emergency treatments (when action must be taken quickly).</w:t>
      </w:r>
      <w:r w:rsidR="003C3021">
        <w:rPr>
          <w:rFonts w:asciiTheme="majorHAnsi" w:hAnsiTheme="majorHAnsi"/>
          <w:b/>
          <w:bCs/>
          <w:sz w:val="24"/>
          <w:szCs w:val="24"/>
          <w:lang w:val="en-US"/>
        </w:rPr>
        <w:t xml:space="preserve"> </w:t>
      </w:r>
      <w:r w:rsidRPr="003C3021">
        <w:rPr>
          <w:rFonts w:asciiTheme="majorHAnsi" w:hAnsiTheme="majorHAnsi"/>
          <w:b/>
          <w:bCs/>
          <w:sz w:val="24"/>
          <w:szCs w:val="24"/>
          <w:lang w:val="en-US"/>
        </w:rPr>
        <w:t>The most common injection site is the vein in the elbow, back of the hand or wrist.</w:t>
      </w:r>
    </w:p>
    <w:p w14:paraId="566E5270" w14:textId="77777777" w:rsidR="00D9534E" w:rsidRPr="000C30A2" w:rsidRDefault="00D9534E" w:rsidP="003C3021">
      <w:pPr>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b) Intramuscular route</w:t>
      </w:r>
      <w:r w:rsidR="003C3021" w:rsidRPr="000C30A2">
        <w:rPr>
          <w:rFonts w:asciiTheme="majorHAnsi" w:hAnsiTheme="majorHAnsi"/>
          <w:b/>
          <w:bCs/>
          <w:i/>
          <w:iCs/>
          <w:color w:val="1F3864" w:themeColor="accent5" w:themeShade="80"/>
          <w:sz w:val="28"/>
          <w:szCs w:val="28"/>
          <w:u w:val="single"/>
          <w:lang w:val="en-US"/>
        </w:rPr>
        <w:t xml:space="preserve"> (IM)</w:t>
      </w:r>
    </w:p>
    <w:p w14:paraId="615D6CD3" w14:textId="77777777" w:rsidR="00D9534E" w:rsidRPr="00C46B19" w:rsidRDefault="00D9534E" w:rsidP="00C46B19">
      <w:pPr>
        <w:ind w:firstLine="567"/>
        <w:jc w:val="both"/>
        <w:rPr>
          <w:rFonts w:asciiTheme="majorHAnsi" w:hAnsiTheme="majorHAnsi"/>
          <w:b/>
          <w:bCs/>
          <w:sz w:val="24"/>
          <w:szCs w:val="24"/>
          <w:lang w:val="en-US"/>
        </w:rPr>
      </w:pPr>
      <w:r w:rsidRPr="00C46B19">
        <w:rPr>
          <w:rFonts w:asciiTheme="majorHAnsi" w:hAnsiTheme="majorHAnsi"/>
          <w:b/>
          <w:bCs/>
          <w:sz w:val="24"/>
          <w:szCs w:val="24"/>
          <w:lang w:val="en-US"/>
        </w:rPr>
        <w:t>Intramuscular injection (in the upper outer quadrant of the buttock) allows painful preparations to be injected subcutaneously, in particular oily solutions and suspensions. A long bevel needle is used.</w:t>
      </w:r>
      <w:r w:rsidR="00C46B19">
        <w:rPr>
          <w:rFonts w:asciiTheme="majorHAnsi" w:hAnsiTheme="majorHAnsi"/>
          <w:b/>
          <w:bCs/>
          <w:sz w:val="24"/>
          <w:szCs w:val="24"/>
          <w:lang w:val="en-US"/>
        </w:rPr>
        <w:t xml:space="preserve"> </w:t>
      </w:r>
      <w:r w:rsidRPr="00C46B19">
        <w:rPr>
          <w:rFonts w:asciiTheme="majorHAnsi" w:hAnsiTheme="majorHAnsi"/>
          <w:b/>
          <w:bCs/>
          <w:sz w:val="24"/>
          <w:szCs w:val="24"/>
          <w:lang w:val="en-US"/>
        </w:rPr>
        <w:t>The speed of resorption of drugs administered intra</w:t>
      </w:r>
      <w:r w:rsidR="00C46B19">
        <w:rPr>
          <w:rFonts w:asciiTheme="majorHAnsi" w:hAnsiTheme="majorHAnsi"/>
          <w:b/>
          <w:bCs/>
          <w:sz w:val="24"/>
          <w:szCs w:val="24"/>
          <w:lang w:val="en-US"/>
        </w:rPr>
        <w:t>-</w:t>
      </w:r>
      <w:r w:rsidRPr="00C46B19">
        <w:rPr>
          <w:rFonts w:asciiTheme="majorHAnsi" w:hAnsiTheme="majorHAnsi"/>
          <w:b/>
          <w:bCs/>
          <w:sz w:val="24"/>
          <w:szCs w:val="24"/>
          <w:lang w:val="en-US"/>
        </w:rPr>
        <w:t>muscularly and subcutaneously is very similar.</w:t>
      </w:r>
    </w:p>
    <w:p w14:paraId="5824C832" w14:textId="77777777" w:rsidR="00D9534E" w:rsidRPr="000C30A2" w:rsidRDefault="00D9534E" w:rsidP="00D9534E">
      <w:pPr>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c) Sub</w:t>
      </w:r>
      <w:r w:rsidR="003C3021" w:rsidRPr="000C30A2">
        <w:rPr>
          <w:rFonts w:asciiTheme="majorHAnsi" w:hAnsiTheme="majorHAnsi"/>
          <w:b/>
          <w:bCs/>
          <w:i/>
          <w:iCs/>
          <w:color w:val="1F3864" w:themeColor="accent5" w:themeShade="80"/>
          <w:sz w:val="28"/>
          <w:szCs w:val="28"/>
          <w:u w:val="single"/>
          <w:lang w:val="en-US"/>
        </w:rPr>
        <w:t>-</w:t>
      </w:r>
      <w:r w:rsidRPr="000C30A2">
        <w:rPr>
          <w:rFonts w:asciiTheme="majorHAnsi" w:hAnsiTheme="majorHAnsi"/>
          <w:b/>
          <w:bCs/>
          <w:i/>
          <w:iCs/>
          <w:color w:val="1F3864" w:themeColor="accent5" w:themeShade="80"/>
          <w:sz w:val="28"/>
          <w:szCs w:val="28"/>
          <w:u w:val="single"/>
          <w:lang w:val="en-US"/>
        </w:rPr>
        <w:t>cutaneous route (SC)</w:t>
      </w:r>
    </w:p>
    <w:p w14:paraId="1621156F" w14:textId="77777777" w:rsidR="00D9534E" w:rsidRPr="00C46B19" w:rsidRDefault="00D9534E" w:rsidP="00C46B19">
      <w:pPr>
        <w:jc w:val="both"/>
        <w:rPr>
          <w:rFonts w:asciiTheme="majorHAnsi" w:hAnsiTheme="majorHAnsi"/>
          <w:b/>
          <w:bCs/>
          <w:sz w:val="24"/>
          <w:szCs w:val="24"/>
          <w:lang w:val="en-US"/>
        </w:rPr>
      </w:pPr>
      <w:r w:rsidRPr="00C46B19">
        <w:rPr>
          <w:rFonts w:asciiTheme="majorHAnsi" w:hAnsiTheme="majorHAnsi"/>
          <w:b/>
          <w:bCs/>
          <w:sz w:val="24"/>
          <w:szCs w:val="24"/>
          <w:lang w:val="en-US"/>
        </w:rPr>
        <w:t>By this route, drugs are mainly administered in isotonic aqueous solution in</w:t>
      </w:r>
      <w:r w:rsidR="00C46B19">
        <w:rPr>
          <w:rFonts w:asciiTheme="majorHAnsi" w:hAnsiTheme="majorHAnsi"/>
          <w:b/>
          <w:bCs/>
          <w:sz w:val="24"/>
          <w:szCs w:val="24"/>
          <w:lang w:val="en-US"/>
        </w:rPr>
        <w:t xml:space="preserve"> </w:t>
      </w:r>
      <w:r w:rsidRPr="00C46B19">
        <w:rPr>
          <w:rFonts w:asciiTheme="majorHAnsi" w:hAnsiTheme="majorHAnsi"/>
          <w:b/>
          <w:bCs/>
          <w:sz w:val="24"/>
          <w:szCs w:val="24"/>
          <w:lang w:val="en-US"/>
        </w:rPr>
        <w:t>administration under the skin, into the connective tissue (belly, shoulder, thigh), with a short bevel needle. This route is used to achieve slow action of the drug. In particular, insulin, adrenaline, low molecular weight heparin and calcium, and vaccines are administered subcutaneously.</w:t>
      </w:r>
    </w:p>
    <w:p w14:paraId="0E40130D" w14:textId="77777777" w:rsidR="00743F94" w:rsidRDefault="00C46B19" w:rsidP="00C46B19">
      <w:pPr>
        <w:pStyle w:val="ListParagraph"/>
        <w:numPr>
          <w:ilvl w:val="0"/>
          <w:numId w:val="3"/>
        </w:numPr>
        <w:tabs>
          <w:tab w:val="left" w:pos="993"/>
        </w:tabs>
        <w:ind w:left="0" w:firstLine="567"/>
        <w:jc w:val="both"/>
        <w:rPr>
          <w:rFonts w:asciiTheme="majorHAnsi" w:hAnsiTheme="majorHAnsi"/>
          <w:b/>
          <w:bCs/>
          <w:sz w:val="24"/>
          <w:szCs w:val="24"/>
          <w:lang w:val="en-US"/>
        </w:rPr>
      </w:pPr>
      <w:r w:rsidRPr="00C46B19">
        <w:rPr>
          <w:rFonts w:asciiTheme="majorHAnsi" w:hAnsiTheme="majorHAnsi"/>
          <w:b/>
          <w:bCs/>
          <w:sz w:val="24"/>
          <w:szCs w:val="24"/>
          <w:lang w:val="en-US"/>
        </w:rPr>
        <w:t>There are other very important routes of administration such as the intraspinal route, which is used whenever it is necessary to obtain local action (meningitis). It is also used during spinal anesthesia.</w:t>
      </w:r>
      <w:r>
        <w:rPr>
          <w:rFonts w:asciiTheme="majorHAnsi" w:hAnsiTheme="majorHAnsi"/>
          <w:b/>
          <w:bCs/>
          <w:sz w:val="24"/>
          <w:szCs w:val="24"/>
          <w:lang w:val="en-US"/>
        </w:rPr>
        <w:t xml:space="preserve"> </w:t>
      </w:r>
      <w:r w:rsidRPr="00C46B19">
        <w:rPr>
          <w:rFonts w:asciiTheme="majorHAnsi" w:hAnsiTheme="majorHAnsi"/>
          <w:b/>
          <w:bCs/>
          <w:sz w:val="24"/>
          <w:szCs w:val="24"/>
          <w:lang w:val="en-US"/>
        </w:rPr>
        <w:t>This route allows anesthesia to be carried out in the region of the small pelvis and lower limbs.</w:t>
      </w:r>
    </w:p>
    <w:p w14:paraId="4B279763" w14:textId="77777777" w:rsidR="00A07529" w:rsidRPr="00D26CB3" w:rsidRDefault="00A07529" w:rsidP="00662034">
      <w:pPr>
        <w:jc w:val="both"/>
        <w:rPr>
          <w:rFonts w:asciiTheme="majorHAnsi" w:hAnsiTheme="majorHAnsi"/>
          <w:b/>
          <w:bCs/>
          <w:i/>
          <w:iCs/>
          <w:color w:val="1F3864" w:themeColor="accent5" w:themeShade="80"/>
          <w:sz w:val="28"/>
          <w:szCs w:val="28"/>
          <w:u w:val="single"/>
          <w:lang w:val="en-US"/>
        </w:rPr>
      </w:pPr>
      <w:r w:rsidRPr="00D26CB3">
        <w:rPr>
          <w:rFonts w:asciiTheme="majorHAnsi" w:hAnsiTheme="majorHAnsi"/>
          <w:b/>
          <w:bCs/>
          <w:i/>
          <w:iCs/>
          <w:color w:val="1F3864" w:themeColor="accent5" w:themeShade="80"/>
          <w:sz w:val="28"/>
          <w:szCs w:val="28"/>
          <w:u w:val="single"/>
          <w:lang w:val="en-US"/>
        </w:rPr>
        <w:t xml:space="preserve">01-03/ </w:t>
      </w:r>
      <w:r w:rsidRPr="00A07529">
        <w:rPr>
          <w:rFonts w:asciiTheme="majorHAnsi" w:hAnsiTheme="majorHAnsi"/>
          <w:b/>
          <w:bCs/>
          <w:i/>
          <w:iCs/>
          <w:color w:val="1F3864" w:themeColor="accent5" w:themeShade="80"/>
          <w:sz w:val="28"/>
          <w:szCs w:val="28"/>
          <w:u w:val="single"/>
          <w:lang w:val="en-GB"/>
        </w:rPr>
        <w:t xml:space="preserve">Transmucosal </w:t>
      </w:r>
      <w:r w:rsidRPr="00D26CB3">
        <w:rPr>
          <w:rFonts w:asciiTheme="majorHAnsi" w:hAnsiTheme="majorHAnsi"/>
          <w:b/>
          <w:bCs/>
          <w:i/>
          <w:iCs/>
          <w:color w:val="1F3864" w:themeColor="accent5" w:themeShade="80"/>
          <w:sz w:val="28"/>
          <w:szCs w:val="28"/>
          <w:u w:val="single"/>
          <w:lang w:val="en-US"/>
        </w:rPr>
        <w:t>route</w:t>
      </w:r>
    </w:p>
    <w:p w14:paraId="48E79D9C" w14:textId="77777777" w:rsidR="00EE642C" w:rsidRPr="00EE642C" w:rsidRDefault="00EE642C" w:rsidP="00EE642C">
      <w:pPr>
        <w:jc w:val="both"/>
        <w:rPr>
          <w:rFonts w:asciiTheme="majorHAnsi" w:hAnsiTheme="majorHAnsi"/>
          <w:b/>
          <w:bCs/>
          <w:i/>
          <w:iCs/>
          <w:color w:val="1F3864" w:themeColor="accent5" w:themeShade="80"/>
          <w:sz w:val="28"/>
          <w:szCs w:val="28"/>
          <w:u w:val="single"/>
          <w:lang w:val="en-US"/>
        </w:rPr>
      </w:pPr>
      <w:r w:rsidRPr="00EE642C">
        <w:rPr>
          <w:rFonts w:asciiTheme="majorHAnsi" w:hAnsiTheme="majorHAnsi"/>
          <w:b/>
          <w:bCs/>
          <w:i/>
          <w:iCs/>
          <w:color w:val="1F3864" w:themeColor="accent5" w:themeShade="80"/>
          <w:sz w:val="28"/>
          <w:szCs w:val="28"/>
          <w:u w:val="single"/>
          <w:lang w:val="en-US"/>
        </w:rPr>
        <w:t>a) Perlingual route:</w:t>
      </w:r>
    </w:p>
    <w:p w14:paraId="7896520B" w14:textId="77777777" w:rsidR="00EE642C" w:rsidRPr="00EE642C" w:rsidRDefault="00EE642C" w:rsidP="00E729F0">
      <w:pPr>
        <w:ind w:firstLine="567"/>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It corresponds to the lingual mucosa and the mucous membranes of the lower part of the mouth, the mouth, and the inner side of the cheeks. Small tablets that are placed under the tongue, aqueous or alcoholic solutions, and granules (homeopathy) are administered this way. It is an easy, practical and rapid route of administration allowing direct penetration of the drug into the general circulation, without passing through the liver, which avoids the first pass hepatic effect. Only drugs with powerful pharmacological effects can be used by this route (adrenaline, estrogens, androgens, etc.). For example, it is an emergency option in the treatment of angina attacks</w:t>
      </w:r>
      <w:r w:rsidR="00E729F0">
        <w:rPr>
          <w:rFonts w:asciiTheme="majorHAnsi" w:hAnsiTheme="majorHAnsi"/>
          <w:b/>
          <w:bCs/>
          <w:color w:val="0D0D0D" w:themeColor="text1" w:themeTint="F2"/>
          <w:sz w:val="24"/>
          <w:szCs w:val="24"/>
          <w:lang w:val="en-US"/>
        </w:rPr>
        <w:t>.</w:t>
      </w:r>
    </w:p>
    <w:p w14:paraId="39D6712C" w14:textId="77777777" w:rsidR="00EE642C" w:rsidRPr="00E729F0" w:rsidRDefault="00EE642C" w:rsidP="00EE642C">
      <w:pPr>
        <w:jc w:val="both"/>
        <w:rPr>
          <w:rFonts w:asciiTheme="majorHAnsi" w:hAnsiTheme="majorHAnsi"/>
          <w:b/>
          <w:bCs/>
          <w:i/>
          <w:iCs/>
          <w:color w:val="1F3864" w:themeColor="accent5" w:themeShade="80"/>
          <w:sz w:val="28"/>
          <w:szCs w:val="28"/>
          <w:u w:val="single"/>
          <w:lang w:val="en-US"/>
        </w:rPr>
      </w:pPr>
      <w:r w:rsidRPr="00E729F0">
        <w:rPr>
          <w:rFonts w:asciiTheme="majorHAnsi" w:hAnsiTheme="majorHAnsi"/>
          <w:b/>
          <w:bCs/>
          <w:i/>
          <w:iCs/>
          <w:color w:val="1F3864" w:themeColor="accent5" w:themeShade="80"/>
          <w:sz w:val="28"/>
          <w:szCs w:val="28"/>
          <w:u w:val="single"/>
          <w:lang w:val="en-US"/>
        </w:rPr>
        <w:t>b) Rectal route</w:t>
      </w:r>
    </w:p>
    <w:p w14:paraId="72C08484" w14:textId="77777777" w:rsidR="00EE642C" w:rsidRDefault="00EE642C" w:rsidP="00E729F0">
      <w:pPr>
        <w:ind w:firstLine="567"/>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As the rectal mucosa is very vascularized, it makes it possible to obtain a general or local action depending on the type of medication. Suppositories, enemas and rectal ointments are administered this way. Suppositories are used to obtain a local effect (hemorrhoids, proctitis, constipation) or a general action.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5"/>
        <w:gridCol w:w="4803"/>
      </w:tblGrid>
      <w:tr w:rsidR="00E34345" w:rsidRPr="00743F94" w14:paraId="5D9B1CDF" w14:textId="77777777" w:rsidTr="002A2473">
        <w:tc>
          <w:tcPr>
            <w:tcW w:w="4805" w:type="dxa"/>
            <w:tcBorders>
              <w:top w:val="double" w:sz="4" w:space="0" w:color="auto"/>
              <w:left w:val="double" w:sz="4" w:space="0" w:color="auto"/>
              <w:bottom w:val="double" w:sz="4" w:space="0" w:color="auto"/>
              <w:right w:val="double" w:sz="4" w:space="0" w:color="auto"/>
            </w:tcBorders>
          </w:tcPr>
          <w:p w14:paraId="5EA8AC7E" w14:textId="77777777" w:rsidR="00E34345" w:rsidRPr="00743F94" w:rsidRDefault="00E34345" w:rsidP="002A2473">
            <w:pPr>
              <w:pStyle w:val="ListParagraph"/>
              <w:numPr>
                <w:ilvl w:val="0"/>
                <w:numId w:val="15"/>
              </w:numPr>
              <w:spacing w:before="240" w:after="24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B050"/>
                <w:sz w:val="28"/>
                <w:szCs w:val="28"/>
                <w:lang w:val="en-US"/>
              </w:rPr>
              <w:t>Advantages</w:t>
            </w:r>
          </w:p>
        </w:tc>
        <w:tc>
          <w:tcPr>
            <w:tcW w:w="4803" w:type="dxa"/>
            <w:tcBorders>
              <w:top w:val="double" w:sz="4" w:space="0" w:color="auto"/>
              <w:left w:val="double" w:sz="4" w:space="0" w:color="auto"/>
              <w:bottom w:val="double" w:sz="4" w:space="0" w:color="auto"/>
              <w:right w:val="double" w:sz="4" w:space="0" w:color="auto"/>
            </w:tcBorders>
          </w:tcPr>
          <w:p w14:paraId="07EE5763" w14:textId="77777777" w:rsidR="00E34345" w:rsidRPr="00743F94" w:rsidRDefault="00E34345" w:rsidP="002A2473">
            <w:pPr>
              <w:spacing w:before="240" w:after="240"/>
              <w:ind w:firstLine="89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FF0000"/>
                <w:sz w:val="24"/>
                <w:szCs w:val="24"/>
                <w:lang w:val="en-US"/>
              </w:rPr>
              <w:t>X</w:t>
            </w:r>
            <w:r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FF0000"/>
                <w:sz w:val="28"/>
                <w:szCs w:val="28"/>
                <w:lang w:val="en-US"/>
              </w:rPr>
              <w:t>Disadvantages</w:t>
            </w:r>
          </w:p>
        </w:tc>
      </w:tr>
      <w:tr w:rsidR="00E34345" w:rsidRPr="00096515" w14:paraId="66B49553" w14:textId="77777777"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22AF81C9" w14:textId="77777777" w:rsidR="00E34345" w:rsidRPr="00E34345" w:rsidRDefault="00E34345" w:rsidP="00E34345">
            <w:pPr>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 The drug is neither affected by the action of digestive enzymes nor that of gastric hydrochloric acid.</w:t>
            </w:r>
          </w:p>
        </w:tc>
        <w:tc>
          <w:tcPr>
            <w:tcW w:w="4803" w:type="dxa"/>
          </w:tcPr>
          <w:p w14:paraId="4212CFA4" w14:textId="77777777" w:rsidR="00E34345" w:rsidRPr="00743F94" w:rsidRDefault="00E34345" w:rsidP="002A2473">
            <w:pPr>
              <w:jc w:val="both"/>
              <w:rPr>
                <w:rFonts w:asciiTheme="majorHAnsi" w:hAnsiTheme="majorHAnsi" w:cs="Times New Roman"/>
                <w:b/>
                <w:bCs/>
                <w:color w:val="000000"/>
                <w:sz w:val="24"/>
                <w:szCs w:val="24"/>
                <w:lang w:val="en-US"/>
              </w:rPr>
            </w:pPr>
            <w:r w:rsidRPr="00EE642C">
              <w:rPr>
                <w:rFonts w:asciiTheme="majorHAnsi" w:hAnsiTheme="majorHAnsi"/>
                <w:b/>
                <w:bCs/>
                <w:color w:val="0D0D0D" w:themeColor="text1" w:themeTint="F2"/>
                <w:sz w:val="24"/>
                <w:szCs w:val="24"/>
                <w:lang w:val="en-US"/>
              </w:rPr>
              <w:t>• It can cause irritation or even ulceration of the rectal mucosa.</w:t>
            </w:r>
          </w:p>
        </w:tc>
      </w:tr>
      <w:tr w:rsidR="00E34345" w:rsidRPr="00096515" w14:paraId="491A97AE" w14:textId="77777777"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38D18DAF" w14:textId="77777777" w:rsidR="00E34345" w:rsidRPr="00E34345" w:rsidRDefault="00E34345" w:rsidP="00E34345">
            <w:pPr>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lastRenderedPageBreak/>
              <w:t>• This route is convenient in children and infants, in patients who are nauseous, unconscious or unable to swallow.</w:t>
            </w:r>
          </w:p>
        </w:tc>
        <w:tc>
          <w:tcPr>
            <w:tcW w:w="4803" w:type="dxa"/>
          </w:tcPr>
          <w:p w14:paraId="5A354811" w14:textId="77777777" w:rsidR="00E34345" w:rsidRPr="00743F94" w:rsidRDefault="00E34345" w:rsidP="002A2473">
            <w:pPr>
              <w:jc w:val="both"/>
              <w:rPr>
                <w:rFonts w:asciiTheme="majorHAnsi" w:hAnsiTheme="majorHAnsi" w:cs="Times New Roman"/>
                <w:b/>
                <w:bCs/>
                <w:color w:val="000000"/>
                <w:sz w:val="24"/>
                <w:szCs w:val="24"/>
                <w:lang w:val="en-US"/>
              </w:rPr>
            </w:pPr>
            <w:r w:rsidRPr="00EE642C">
              <w:rPr>
                <w:rFonts w:asciiTheme="majorHAnsi" w:hAnsiTheme="majorHAnsi"/>
                <w:b/>
                <w:bCs/>
                <w:color w:val="0D0D0D" w:themeColor="text1" w:themeTint="F2"/>
                <w:sz w:val="24"/>
                <w:szCs w:val="24"/>
                <w:lang w:val="en-US"/>
              </w:rPr>
              <w:t>• It may be considered unpleasant by the patient.</w:t>
            </w:r>
          </w:p>
        </w:tc>
      </w:tr>
      <w:tr w:rsidR="00E34345" w:rsidRPr="00096515" w14:paraId="69658BD5" w14:textId="77777777"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14:paraId="1C39D072" w14:textId="77777777" w:rsidR="00E34345" w:rsidRPr="00743F94" w:rsidRDefault="00E34345" w:rsidP="002A2473">
            <w:pPr>
              <w:jc w:val="both"/>
              <w:rPr>
                <w:rFonts w:asciiTheme="majorHAnsi" w:hAnsiTheme="majorHAnsi" w:cs="Times New Roman"/>
                <w:b/>
                <w:bCs/>
                <w:color w:val="000000"/>
                <w:sz w:val="24"/>
                <w:szCs w:val="24"/>
                <w:lang w:val="en-US"/>
              </w:rPr>
            </w:pPr>
          </w:p>
        </w:tc>
        <w:tc>
          <w:tcPr>
            <w:tcW w:w="4803" w:type="dxa"/>
          </w:tcPr>
          <w:p w14:paraId="70FE5DE8" w14:textId="77777777" w:rsidR="00E34345" w:rsidRPr="00E34345" w:rsidRDefault="00E34345" w:rsidP="00E34345">
            <w:pPr>
              <w:jc w:val="both"/>
              <w:rPr>
                <w:rFonts w:asciiTheme="majorHAnsi" w:hAnsiTheme="majorHAnsi"/>
                <w:b/>
                <w:bCs/>
                <w:i/>
                <w:iCs/>
                <w:color w:val="0D0D0D" w:themeColor="text1" w:themeTint="F2"/>
                <w:sz w:val="24"/>
                <w:szCs w:val="24"/>
                <w:u w:val="single"/>
                <w:lang w:val="en-US"/>
              </w:rPr>
            </w:pPr>
            <w:r w:rsidRPr="00EE642C">
              <w:rPr>
                <w:rFonts w:asciiTheme="majorHAnsi" w:hAnsiTheme="majorHAnsi"/>
                <w:b/>
                <w:bCs/>
                <w:color w:val="0D0D0D" w:themeColor="text1" w:themeTint="F2"/>
                <w:sz w:val="24"/>
                <w:szCs w:val="24"/>
                <w:lang w:val="en-US"/>
              </w:rPr>
              <w:t>• It does not allow the hepatic barrier to be avoided because resorption takes place via the superior hemorrhoidal veins which lead to the portal vein and therefore to the liver (first-pass hepatic effect).</w:t>
            </w:r>
            <w:r w:rsidRPr="00EE642C">
              <w:rPr>
                <w:rFonts w:asciiTheme="majorHAnsi" w:hAnsiTheme="majorHAnsi"/>
                <w:b/>
                <w:bCs/>
                <w:i/>
                <w:iCs/>
                <w:color w:val="0D0D0D" w:themeColor="text1" w:themeTint="F2"/>
                <w:sz w:val="24"/>
                <w:szCs w:val="24"/>
                <w:u w:val="single"/>
                <w:lang w:val="en-US"/>
              </w:rPr>
              <w:t xml:space="preserve"> </w:t>
            </w:r>
          </w:p>
        </w:tc>
      </w:tr>
    </w:tbl>
    <w:p w14:paraId="77B262A3" w14:textId="77777777" w:rsidR="00EE642C"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sidRPr="006956C2">
        <w:rPr>
          <w:rFonts w:asciiTheme="majorHAnsi" w:hAnsiTheme="majorHAnsi"/>
          <w:b/>
          <w:bCs/>
          <w:i/>
          <w:iCs/>
          <w:color w:val="1F3864" w:themeColor="accent5" w:themeShade="80"/>
          <w:sz w:val="28"/>
          <w:szCs w:val="28"/>
          <w:u w:val="single"/>
          <w:lang w:val="en-US"/>
        </w:rPr>
        <w:t>c) Vaginal route</w:t>
      </w:r>
    </w:p>
    <w:p w14:paraId="117EF583" w14:textId="77777777" w:rsidR="006956C2" w:rsidRPr="006956C2" w:rsidRDefault="006956C2" w:rsidP="006956C2">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The drugs used by this route are intended for local action because the vaginal mucosa is poorly permeable. Eggs, vaginal tablets, creams and vaginal capsules are used for antibacterial, antiseptic, antiparasitic and antifungal treatments, as well as for hormonal indications.</w:t>
      </w:r>
    </w:p>
    <w:p w14:paraId="4E9D6474" w14:textId="77777777" w:rsidR="006956C2"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d</w:t>
      </w:r>
      <w:r w:rsidRPr="006956C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Nasal</w:t>
      </w:r>
      <w:r w:rsidRPr="006956C2">
        <w:rPr>
          <w:rFonts w:asciiTheme="majorHAnsi" w:hAnsiTheme="majorHAnsi"/>
          <w:b/>
          <w:bCs/>
          <w:i/>
          <w:iCs/>
          <w:color w:val="1F3864" w:themeColor="accent5" w:themeShade="80"/>
          <w:sz w:val="28"/>
          <w:szCs w:val="28"/>
          <w:u w:val="single"/>
          <w:lang w:val="en-US"/>
        </w:rPr>
        <w:t xml:space="preserve"> route</w:t>
      </w:r>
    </w:p>
    <w:p w14:paraId="07238305" w14:textId="77777777" w:rsidR="006956C2" w:rsidRPr="006956C2" w:rsidRDefault="006956C2" w:rsidP="006956C2">
      <w:pPr>
        <w:autoSpaceDE w:val="0"/>
        <w:autoSpaceDN w:val="0"/>
        <w:adjustRightInd w:val="0"/>
        <w:spacing w:after="0" w:line="240" w:lineRule="auto"/>
        <w:ind w:left="360"/>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It is used to locally treat conditions of the nasal area (powders, ointments, solutions).</w:t>
      </w:r>
    </w:p>
    <w:p w14:paraId="7866183A" w14:textId="77777777" w:rsidR="006956C2"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e</w:t>
      </w:r>
      <w:r w:rsidRPr="006956C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Ocular</w:t>
      </w:r>
      <w:r w:rsidRPr="006956C2">
        <w:rPr>
          <w:rFonts w:asciiTheme="majorHAnsi" w:hAnsiTheme="majorHAnsi"/>
          <w:b/>
          <w:bCs/>
          <w:i/>
          <w:iCs/>
          <w:color w:val="1F3864" w:themeColor="accent5" w:themeShade="80"/>
          <w:sz w:val="28"/>
          <w:szCs w:val="28"/>
          <w:u w:val="single"/>
          <w:lang w:val="en-US"/>
        </w:rPr>
        <w:t xml:space="preserve"> route</w:t>
      </w:r>
    </w:p>
    <w:p w14:paraId="7FBC58DC" w14:textId="77777777" w:rsidR="00755A39" w:rsidRPr="006956C2" w:rsidRDefault="006956C2" w:rsidP="006956C2">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The fragility and sensitivity of the ocular mucosa require the use of perfectly controlled and sterile medications (eye drops and ophthalmic ointments).</w:t>
      </w:r>
    </w:p>
    <w:p w14:paraId="77A9F06C" w14:textId="77777777" w:rsidR="006956C2" w:rsidRPr="006956C2" w:rsidRDefault="006956C2" w:rsidP="00755A39">
      <w:pPr>
        <w:autoSpaceDE w:val="0"/>
        <w:autoSpaceDN w:val="0"/>
        <w:adjustRightInd w:val="0"/>
        <w:spacing w:after="0" w:line="240" w:lineRule="auto"/>
        <w:ind w:left="360"/>
        <w:rPr>
          <w:rFonts w:ascii="Times New Roman" w:hAnsi="Times New Roman" w:cs="Times New Roman"/>
          <w:b/>
          <w:bCs/>
          <w:color w:val="000000"/>
          <w:sz w:val="24"/>
          <w:szCs w:val="24"/>
          <w:lang w:val="en-US"/>
        </w:rPr>
      </w:pPr>
    </w:p>
    <w:p w14:paraId="4D794CDB" w14:textId="77777777" w:rsidR="00050123" w:rsidRPr="00050123" w:rsidRDefault="00050123" w:rsidP="00050123">
      <w:pPr>
        <w:jc w:val="both"/>
        <w:rPr>
          <w:rFonts w:asciiTheme="majorHAnsi" w:hAnsiTheme="majorHAnsi"/>
          <w:b/>
          <w:bCs/>
          <w:i/>
          <w:iCs/>
          <w:color w:val="1F3864" w:themeColor="accent5" w:themeShade="80"/>
          <w:sz w:val="28"/>
          <w:szCs w:val="28"/>
          <w:u w:val="single"/>
          <w:lang w:val="en-US"/>
        </w:rPr>
      </w:pPr>
      <w:r w:rsidRPr="00050123">
        <w:rPr>
          <w:rFonts w:asciiTheme="majorHAnsi" w:hAnsiTheme="majorHAnsi"/>
          <w:b/>
          <w:bCs/>
          <w:i/>
          <w:iCs/>
          <w:color w:val="1F3864" w:themeColor="accent5" w:themeShade="80"/>
          <w:sz w:val="28"/>
          <w:szCs w:val="28"/>
          <w:u w:val="single"/>
          <w:lang w:val="en-US"/>
        </w:rPr>
        <w:t xml:space="preserve">01-04/ </w:t>
      </w:r>
      <w:r>
        <w:rPr>
          <w:rFonts w:asciiTheme="majorHAnsi" w:hAnsiTheme="majorHAnsi"/>
          <w:b/>
          <w:bCs/>
          <w:i/>
          <w:iCs/>
          <w:color w:val="1F3864" w:themeColor="accent5" w:themeShade="80"/>
          <w:sz w:val="28"/>
          <w:szCs w:val="28"/>
          <w:u w:val="single"/>
          <w:lang w:val="en-GB"/>
        </w:rPr>
        <w:t>Pulmonary</w:t>
      </w:r>
      <w:r w:rsidRPr="00A07529">
        <w:rPr>
          <w:rFonts w:asciiTheme="majorHAnsi" w:hAnsiTheme="majorHAnsi"/>
          <w:b/>
          <w:bCs/>
          <w:i/>
          <w:iCs/>
          <w:color w:val="1F3864" w:themeColor="accent5" w:themeShade="80"/>
          <w:sz w:val="28"/>
          <w:szCs w:val="28"/>
          <w:u w:val="single"/>
          <w:lang w:val="en-GB"/>
        </w:rPr>
        <w:t xml:space="preserve"> </w:t>
      </w:r>
      <w:r w:rsidRPr="00050123">
        <w:rPr>
          <w:rFonts w:asciiTheme="majorHAnsi" w:hAnsiTheme="majorHAnsi"/>
          <w:b/>
          <w:bCs/>
          <w:i/>
          <w:iCs/>
          <w:color w:val="1F3864" w:themeColor="accent5" w:themeShade="80"/>
          <w:sz w:val="28"/>
          <w:szCs w:val="28"/>
          <w:u w:val="single"/>
          <w:lang w:val="en-US"/>
        </w:rPr>
        <w:t>route</w:t>
      </w:r>
    </w:p>
    <w:p w14:paraId="41863D82" w14:textId="77777777"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The pulmonary tree, which has a surface area of ​​100 m² in adult humans and significant vascularization, allows rapid absorption of drugs.</w:t>
      </w:r>
    </w:p>
    <w:p w14:paraId="55F276CC" w14:textId="77777777"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This pathway is used to absorb gases (oxygen, chloroform, ether, etc.).</w:t>
      </w:r>
      <w:r>
        <w:rPr>
          <w:rFonts w:asciiTheme="majorHAnsi" w:hAnsiTheme="majorHAnsi" w:cs="Times New Roman"/>
          <w:b/>
          <w:bCs/>
          <w:color w:val="000000"/>
          <w:sz w:val="24"/>
          <w:szCs w:val="24"/>
          <w:lang w:val="en-US"/>
        </w:rPr>
        <w:t xml:space="preserve"> </w:t>
      </w:r>
      <w:r w:rsidRPr="00050123">
        <w:rPr>
          <w:rFonts w:asciiTheme="majorHAnsi" w:hAnsiTheme="majorHAnsi" w:cs="Times New Roman"/>
          <w:b/>
          <w:bCs/>
          <w:color w:val="000000"/>
          <w:sz w:val="24"/>
          <w:szCs w:val="24"/>
          <w:lang w:val="en-US"/>
        </w:rPr>
        <w:t>A large number of medications (sulphonamides, antibiotics, anti-asthmatics, etc.) can be administered using aerosols, which are mist of fine medicinal particles.</w:t>
      </w:r>
    </w:p>
    <w:p w14:paraId="51C45064" w14:textId="77777777" w:rsidR="00050123" w:rsidRDefault="00050123" w:rsidP="00050123">
      <w:pPr>
        <w:autoSpaceDE w:val="0"/>
        <w:autoSpaceDN w:val="0"/>
        <w:adjustRightInd w:val="0"/>
        <w:spacing w:after="0" w:line="240" w:lineRule="auto"/>
        <w:rPr>
          <w:rFonts w:ascii="Times New Roman" w:hAnsi="Times New Roman" w:cs="Times New Roman"/>
          <w:b/>
          <w:bCs/>
          <w:color w:val="000000"/>
          <w:sz w:val="24"/>
          <w:szCs w:val="24"/>
          <w:lang w:val="en-US"/>
        </w:rPr>
      </w:pPr>
    </w:p>
    <w:p w14:paraId="734CF5D3" w14:textId="77777777" w:rsidR="00050123" w:rsidRPr="00050123" w:rsidRDefault="00050123" w:rsidP="00050123">
      <w:pPr>
        <w:jc w:val="both"/>
        <w:rPr>
          <w:rFonts w:asciiTheme="majorHAnsi" w:hAnsiTheme="majorHAnsi"/>
          <w:b/>
          <w:bCs/>
          <w:i/>
          <w:iCs/>
          <w:color w:val="1F3864" w:themeColor="accent5" w:themeShade="80"/>
          <w:sz w:val="28"/>
          <w:szCs w:val="28"/>
          <w:u w:val="single"/>
          <w:lang w:val="en-US"/>
        </w:rPr>
      </w:pPr>
      <w:r w:rsidRPr="00050123">
        <w:rPr>
          <w:rFonts w:asciiTheme="majorHAnsi" w:hAnsiTheme="majorHAnsi"/>
          <w:b/>
          <w:bCs/>
          <w:i/>
          <w:iCs/>
          <w:color w:val="1F3864" w:themeColor="accent5" w:themeShade="80"/>
          <w:sz w:val="28"/>
          <w:szCs w:val="28"/>
          <w:u w:val="single"/>
          <w:lang w:val="en-US"/>
        </w:rPr>
        <w:t>01-0</w:t>
      </w:r>
      <w:r>
        <w:rPr>
          <w:rFonts w:asciiTheme="majorHAnsi" w:hAnsiTheme="majorHAnsi"/>
          <w:b/>
          <w:bCs/>
          <w:i/>
          <w:iCs/>
          <w:color w:val="1F3864" w:themeColor="accent5" w:themeShade="80"/>
          <w:sz w:val="28"/>
          <w:szCs w:val="28"/>
          <w:u w:val="single"/>
          <w:lang w:val="en-US"/>
        </w:rPr>
        <w:t>5</w:t>
      </w:r>
      <w:r w:rsidRPr="0005012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GB"/>
        </w:rPr>
        <w:t>Cutaneous and percutaneous</w:t>
      </w:r>
      <w:r w:rsidRPr="00A07529">
        <w:rPr>
          <w:rFonts w:asciiTheme="majorHAnsi" w:hAnsiTheme="majorHAnsi"/>
          <w:b/>
          <w:bCs/>
          <w:i/>
          <w:iCs/>
          <w:color w:val="1F3864" w:themeColor="accent5" w:themeShade="80"/>
          <w:sz w:val="28"/>
          <w:szCs w:val="28"/>
          <w:u w:val="single"/>
          <w:lang w:val="en-GB"/>
        </w:rPr>
        <w:t xml:space="preserve"> </w:t>
      </w:r>
      <w:r w:rsidRPr="00050123">
        <w:rPr>
          <w:rFonts w:asciiTheme="majorHAnsi" w:hAnsiTheme="majorHAnsi"/>
          <w:b/>
          <w:bCs/>
          <w:i/>
          <w:iCs/>
          <w:color w:val="1F3864" w:themeColor="accent5" w:themeShade="80"/>
          <w:sz w:val="28"/>
          <w:szCs w:val="28"/>
          <w:u w:val="single"/>
          <w:lang w:val="en-US"/>
        </w:rPr>
        <w:t>route</w:t>
      </w:r>
      <w:r>
        <w:rPr>
          <w:rFonts w:asciiTheme="majorHAnsi" w:hAnsiTheme="majorHAnsi"/>
          <w:b/>
          <w:bCs/>
          <w:i/>
          <w:iCs/>
          <w:color w:val="1F3864" w:themeColor="accent5" w:themeShade="80"/>
          <w:sz w:val="28"/>
          <w:szCs w:val="28"/>
          <w:u w:val="single"/>
          <w:lang w:val="en-US"/>
        </w:rPr>
        <w:t>s</w:t>
      </w:r>
    </w:p>
    <w:p w14:paraId="6A7F9643" w14:textId="77777777"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It involves the direct application of a medication to the skin by different means. The action is local if the components cannot penetrate through the skin. It is general if the components can cross the skin barrier.</w:t>
      </w:r>
    </w:p>
    <w:p w14:paraId="3BB476DC" w14:textId="77777777"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Only healthy skin is an effective barrier between interior and exterior environments. Otherwise (lesions, burns, eczema), any medication applied to the skin will be significantly reabsorbed.</w:t>
      </w:r>
    </w:p>
    <w:p w14:paraId="1540ACB1" w14:textId="77777777"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Forms of percutaneous administration are ointments, gels, lotions, patches, etc.</w:t>
      </w:r>
    </w:p>
    <w:p w14:paraId="6D2DC2D0" w14:textId="77777777" w:rsidR="00050123" w:rsidRPr="00050123" w:rsidRDefault="00050123" w:rsidP="00050123">
      <w:pPr>
        <w:autoSpaceDE w:val="0"/>
        <w:autoSpaceDN w:val="0"/>
        <w:adjustRightInd w:val="0"/>
        <w:spacing w:after="0" w:line="240" w:lineRule="auto"/>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The main disadvantage of the cutaneous route is a hypersensitivity reaction when using patches, due to the adhesive.</w:t>
      </w:r>
    </w:p>
    <w:p w14:paraId="0F978E77" w14:textId="77777777" w:rsidR="00050123" w:rsidRDefault="00050123" w:rsidP="00050123">
      <w:pPr>
        <w:autoSpaceDE w:val="0"/>
        <w:autoSpaceDN w:val="0"/>
        <w:adjustRightInd w:val="0"/>
        <w:spacing w:after="0" w:line="240" w:lineRule="auto"/>
        <w:rPr>
          <w:rFonts w:ascii="Times New Roman" w:hAnsi="Times New Roman" w:cs="Times New Roman"/>
          <w:b/>
          <w:bCs/>
          <w:color w:val="000000"/>
          <w:sz w:val="24"/>
          <w:szCs w:val="24"/>
          <w:lang w:val="en-US"/>
        </w:rPr>
      </w:pPr>
    </w:p>
    <w:p w14:paraId="44412A18" w14:textId="77777777" w:rsidR="004C6708" w:rsidRPr="004C5EFE" w:rsidRDefault="000C30A2" w:rsidP="004C5EFE">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sidR="007035FD">
        <w:rPr>
          <w:rFonts w:asciiTheme="majorHAnsi" w:hAnsiTheme="majorHAnsi"/>
          <w:b/>
          <w:bCs/>
          <w:i/>
          <w:iCs/>
          <w:color w:val="1F3864" w:themeColor="accent5" w:themeShade="80"/>
          <w:sz w:val="28"/>
          <w:szCs w:val="28"/>
          <w:u w:val="single"/>
          <w:lang w:val="en-US"/>
        </w:rPr>
        <w:t>1-06</w:t>
      </w:r>
      <w:r w:rsidRPr="00A05863">
        <w:rPr>
          <w:rFonts w:asciiTheme="majorHAnsi" w:hAnsiTheme="majorHAnsi"/>
          <w:b/>
          <w:bCs/>
          <w:i/>
          <w:iCs/>
          <w:color w:val="1F3864" w:themeColor="accent5" w:themeShade="80"/>
          <w:sz w:val="28"/>
          <w:szCs w:val="28"/>
          <w:u w:val="single"/>
          <w:lang w:val="en-US"/>
        </w:rPr>
        <w:t xml:space="preserve">/ </w:t>
      </w:r>
      <w:r w:rsidR="00931983" w:rsidRPr="00931983">
        <w:rPr>
          <w:rFonts w:asciiTheme="majorHAnsi" w:hAnsiTheme="majorHAnsi"/>
          <w:b/>
          <w:bCs/>
          <w:i/>
          <w:iCs/>
          <w:color w:val="1F3864" w:themeColor="accent5" w:themeShade="80"/>
          <w:sz w:val="28"/>
          <w:szCs w:val="28"/>
          <w:u w:val="single"/>
          <w:lang w:val="en-US"/>
        </w:rPr>
        <w:t>Criteria for choosing a route of administration</w:t>
      </w:r>
    </w:p>
    <w:p w14:paraId="12F8C3C5" w14:textId="77777777" w:rsidR="004C5EFE" w:rsidRPr="004C5EFE" w:rsidRDefault="004C5EFE" w:rsidP="004C5EFE">
      <w:pPr>
        <w:pStyle w:val="ListParagraph"/>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Depending on the type of action desired: local or systemic.</w:t>
      </w:r>
    </w:p>
    <w:p w14:paraId="6C7B295E" w14:textId="77777777" w:rsidR="004C5EFE" w:rsidRPr="004C5EFE" w:rsidRDefault="004C5EFE" w:rsidP="004C5EFE">
      <w:pPr>
        <w:pStyle w:val="ListParagraph"/>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Depending on the desired action time: crisis treatment (emergency) or basic treatment (daily).</w:t>
      </w:r>
    </w:p>
    <w:p w14:paraId="4BEEDBF5" w14:textId="77777777" w:rsidR="004C5EFE" w:rsidRPr="004C5EFE" w:rsidRDefault="004C5EFE" w:rsidP="004C5EFE">
      <w:pPr>
        <w:pStyle w:val="ListParagraph"/>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Depending on the volume to be administered: large (&gt;20ml), less large (5-20ml).</w:t>
      </w:r>
    </w:p>
    <w:p w14:paraId="2579138E" w14:textId="77777777" w:rsidR="004C5EFE" w:rsidRDefault="004C5EFE" w:rsidP="004C5EFE">
      <w:pPr>
        <w:pStyle w:val="ListParagraph"/>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Age-related factors: adult, child, old</w:t>
      </w:r>
    </w:p>
    <w:p w14:paraId="30F0085A" w14:textId="77777777" w:rsidR="001A497F" w:rsidRPr="004C5EFE" w:rsidRDefault="004C5EFE" w:rsidP="004C5EFE">
      <w:pPr>
        <w:pStyle w:val="ListParagraph"/>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lastRenderedPageBreak/>
        <w:t>Factors linked to the</w:t>
      </w:r>
      <w:r>
        <w:rPr>
          <w:rFonts w:asciiTheme="majorHAnsi" w:hAnsiTheme="majorHAnsi" w:cs="Times New Roman"/>
          <w:b/>
          <w:bCs/>
          <w:color w:val="000000"/>
          <w:sz w:val="24"/>
          <w:szCs w:val="24"/>
          <w:lang w:val="en-US"/>
        </w:rPr>
        <w:t xml:space="preserve"> a</w:t>
      </w:r>
      <w:r w:rsidRPr="004C5EFE">
        <w:rPr>
          <w:rFonts w:asciiTheme="majorHAnsi" w:hAnsiTheme="majorHAnsi" w:cs="Times New Roman"/>
          <w:b/>
          <w:bCs/>
          <w:color w:val="000000"/>
          <w:sz w:val="24"/>
          <w:szCs w:val="24"/>
          <w:lang w:val="en-US"/>
        </w:rPr>
        <w:t>dministered substance: interaction with physiological constituents.</w:t>
      </w:r>
    </w:p>
    <w:p w14:paraId="037D2F67" w14:textId="77777777" w:rsidR="001A497F" w:rsidRDefault="001A497F" w:rsidP="007035F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sidR="007035FD">
        <w:rPr>
          <w:rFonts w:asciiTheme="majorHAnsi" w:hAnsiTheme="majorHAnsi"/>
          <w:b/>
          <w:bCs/>
          <w:i/>
          <w:iCs/>
          <w:color w:val="1F3864" w:themeColor="accent5" w:themeShade="80"/>
          <w:sz w:val="28"/>
          <w:szCs w:val="28"/>
          <w:u w:val="single"/>
          <w:lang w:val="en-US"/>
        </w:rPr>
        <w:t>2</w:t>
      </w:r>
      <w:r w:rsidRPr="00A05863">
        <w:rPr>
          <w:rFonts w:asciiTheme="majorHAnsi" w:hAnsiTheme="majorHAnsi"/>
          <w:b/>
          <w:bCs/>
          <w:i/>
          <w:iCs/>
          <w:color w:val="1F3864" w:themeColor="accent5" w:themeShade="80"/>
          <w:sz w:val="28"/>
          <w:szCs w:val="28"/>
          <w:u w:val="single"/>
          <w:lang w:val="en-US"/>
        </w:rPr>
        <w:t xml:space="preserve">/ </w:t>
      </w:r>
      <w:r w:rsidRPr="001A497F">
        <w:rPr>
          <w:rFonts w:asciiTheme="majorHAnsi" w:hAnsiTheme="majorHAnsi"/>
          <w:b/>
          <w:bCs/>
          <w:i/>
          <w:iCs/>
          <w:color w:val="1F3864" w:themeColor="accent5" w:themeShade="80"/>
          <w:sz w:val="28"/>
          <w:szCs w:val="28"/>
          <w:u w:val="single"/>
          <w:lang w:val="en-US"/>
        </w:rPr>
        <w:t>Galenic forms</w:t>
      </w:r>
    </w:p>
    <w:p w14:paraId="74903990" w14:textId="77777777" w:rsidR="001A497F" w:rsidRDefault="001A497F" w:rsidP="00DE62AD">
      <w:pPr>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 xml:space="preserve">The medicine can take different forms; the latter are </w:t>
      </w:r>
      <w:r w:rsidR="002A13B7" w:rsidRPr="001A497F">
        <w:rPr>
          <w:rFonts w:asciiTheme="majorHAnsi" w:hAnsiTheme="majorHAnsi"/>
          <w:b/>
          <w:bCs/>
          <w:color w:val="0D0D0D" w:themeColor="text1" w:themeTint="F2"/>
          <w:sz w:val="24"/>
          <w:szCs w:val="24"/>
          <w:lang w:val="en-US"/>
        </w:rPr>
        <w:t>called</w:t>
      </w:r>
      <w:r w:rsidRPr="001A497F">
        <w:rPr>
          <w:rFonts w:asciiTheme="majorHAnsi" w:hAnsiTheme="majorHAnsi"/>
          <w:b/>
          <w:bCs/>
          <w:color w:val="0D0D0D" w:themeColor="text1" w:themeTint="F2"/>
          <w:sz w:val="24"/>
          <w:szCs w:val="24"/>
          <w:lang w:val="en-US"/>
        </w:rPr>
        <w:t xml:space="preserve"> </w:t>
      </w:r>
      <w:r w:rsidR="002A13B7">
        <w:rPr>
          <w:rFonts w:asciiTheme="majorHAnsi" w:hAnsiTheme="majorHAnsi"/>
          <w:b/>
          <w:bCs/>
          <w:color w:val="0D0D0D" w:themeColor="text1" w:themeTint="F2"/>
          <w:sz w:val="24"/>
          <w:szCs w:val="24"/>
          <w:lang w:val="en-US"/>
        </w:rPr>
        <w:t>“</w:t>
      </w:r>
      <w:r w:rsidR="00DE62AD" w:rsidRPr="00DE62AD">
        <w:rPr>
          <w:rFonts w:asciiTheme="majorHAnsi" w:hAnsiTheme="majorHAnsi"/>
          <w:b/>
          <w:bCs/>
          <w:i/>
          <w:iCs/>
          <w:color w:val="0D0D0D" w:themeColor="text1" w:themeTint="F2"/>
          <w:sz w:val="24"/>
          <w:szCs w:val="24"/>
          <w:lang w:val="en-US"/>
        </w:rPr>
        <w:t>G</w:t>
      </w:r>
      <w:r w:rsidR="002A13B7" w:rsidRPr="00DE62AD">
        <w:rPr>
          <w:rFonts w:asciiTheme="majorHAnsi" w:hAnsiTheme="majorHAnsi"/>
          <w:b/>
          <w:bCs/>
          <w:i/>
          <w:iCs/>
          <w:color w:val="0D0D0D" w:themeColor="text1" w:themeTint="F2"/>
          <w:sz w:val="24"/>
          <w:szCs w:val="24"/>
          <w:lang w:val="en-US"/>
        </w:rPr>
        <w:t>alenic forms</w:t>
      </w:r>
      <w:r w:rsidR="002A13B7">
        <w:rPr>
          <w:rFonts w:asciiTheme="majorHAnsi" w:hAnsiTheme="majorHAnsi"/>
          <w:b/>
          <w:bCs/>
          <w:color w:val="0D0D0D" w:themeColor="text1" w:themeTint="F2"/>
          <w:sz w:val="24"/>
          <w:szCs w:val="24"/>
          <w:lang w:val="en-US"/>
        </w:rPr>
        <w:t>”.</w:t>
      </w:r>
    </w:p>
    <w:p w14:paraId="5BFD3D86" w14:textId="77777777" w:rsidR="001A497F" w:rsidRPr="00DB1814" w:rsidRDefault="001A497F" w:rsidP="001A497F">
      <w:pPr>
        <w:jc w:val="both"/>
        <w:rPr>
          <w:rFonts w:asciiTheme="majorHAnsi" w:hAnsiTheme="majorHAnsi"/>
          <w:b/>
          <w:bCs/>
          <w:i/>
          <w:iCs/>
          <w:color w:val="1F3864" w:themeColor="accent5" w:themeShade="80"/>
          <w:sz w:val="24"/>
          <w:szCs w:val="24"/>
          <w:u w:val="single"/>
          <w:lang w:val="en-US"/>
        </w:rPr>
      </w:pPr>
      <w:r w:rsidRPr="00DB1814">
        <w:rPr>
          <w:rFonts w:asciiTheme="majorHAnsi" w:hAnsiTheme="majorHAnsi"/>
          <w:b/>
          <w:bCs/>
          <w:i/>
          <w:iCs/>
          <w:color w:val="1F3864" w:themeColor="accent5" w:themeShade="80"/>
          <w:sz w:val="24"/>
          <w:szCs w:val="24"/>
          <w:u w:val="single"/>
          <w:lang w:val="en-US"/>
        </w:rPr>
        <w:t>a) Capsules</w:t>
      </w:r>
      <w:r w:rsidR="00DB1814">
        <w:rPr>
          <w:rFonts w:asciiTheme="majorHAnsi" w:hAnsiTheme="majorHAnsi"/>
          <w:b/>
          <w:bCs/>
          <w:i/>
          <w:iCs/>
          <w:color w:val="1F3864" w:themeColor="accent5" w:themeShade="80"/>
          <w:sz w:val="24"/>
          <w:szCs w:val="24"/>
          <w:u w:val="single"/>
          <w:lang w:val="en-US"/>
        </w:rPr>
        <w:t xml:space="preserve"> (type I)</w:t>
      </w:r>
    </w:p>
    <w:p w14:paraId="1D2E3365" w14:textId="77777777"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 capsule is made up of two nested, hollow, cylindrical-spherical capsules made up of</w:t>
      </w:r>
      <w:r w:rsidR="002A13B7">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gelatin. The active ingredient and excipients, in powder form, are contained inside the container.</w:t>
      </w:r>
    </w:p>
    <w:p w14:paraId="10766AE2" w14:textId="77777777"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There are several sizes of capsules which vary from size 0 (very large) to size 3 (very small).</w:t>
      </w:r>
      <w:r w:rsidR="002A13B7">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The presence of dyes (iron salts, titanium oxide) makes it possible to differentiate them. In the stomach,</w:t>
      </w:r>
      <w:r w:rsidR="00CB1B69">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the capsule dissolves and releases the active ingredient.</w:t>
      </w:r>
    </w:p>
    <w:p w14:paraId="29EF14A1" w14:textId="77777777" w:rsidR="001A497F" w:rsidRPr="00CB1B69" w:rsidRDefault="001A497F"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 xml:space="preserve">b) </w:t>
      </w:r>
      <w:r w:rsidR="00CB1B69" w:rsidRPr="00CB1B69">
        <w:rPr>
          <w:rFonts w:asciiTheme="majorHAnsi" w:hAnsiTheme="majorHAnsi"/>
          <w:b/>
          <w:bCs/>
          <w:i/>
          <w:iCs/>
          <w:color w:val="1F3864" w:themeColor="accent5" w:themeShade="80"/>
          <w:sz w:val="24"/>
          <w:szCs w:val="24"/>
          <w:u w:val="single"/>
          <w:lang w:val="en-US"/>
        </w:rPr>
        <w:t>C</w:t>
      </w:r>
      <w:r w:rsidRPr="00CB1B69">
        <w:rPr>
          <w:rFonts w:asciiTheme="majorHAnsi" w:hAnsiTheme="majorHAnsi"/>
          <w:b/>
          <w:bCs/>
          <w:i/>
          <w:iCs/>
          <w:color w:val="1F3864" w:themeColor="accent5" w:themeShade="80"/>
          <w:sz w:val="24"/>
          <w:szCs w:val="24"/>
          <w:u w:val="single"/>
          <w:lang w:val="en-US"/>
        </w:rPr>
        <w:t>apsules</w:t>
      </w:r>
      <w:r w:rsidR="00CB1B69" w:rsidRPr="00CB1B69">
        <w:rPr>
          <w:rFonts w:asciiTheme="majorHAnsi" w:hAnsiTheme="majorHAnsi"/>
          <w:b/>
          <w:bCs/>
          <w:i/>
          <w:iCs/>
          <w:color w:val="1F3864" w:themeColor="accent5" w:themeShade="80"/>
          <w:sz w:val="24"/>
          <w:szCs w:val="24"/>
          <w:u w:val="single"/>
          <w:lang w:val="en-US"/>
        </w:rPr>
        <w:t xml:space="preserve"> (Type II)</w:t>
      </w:r>
    </w:p>
    <w:p w14:paraId="53F724A0" w14:textId="77777777"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 capsules are soft in consistency, and are most often intended to contain a liquid</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(such as vitamins) sealed in an airtight manner.</w:t>
      </w:r>
    </w:p>
    <w:p w14:paraId="4B44FA8C" w14:textId="77777777"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c) Pills</w:t>
      </w:r>
    </w:p>
    <w:p w14:paraId="304CA055" w14:textId="77777777"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 pill is a spherical mass (Ø = 5-10 mm) made up of active ingredients associated with</w:t>
      </w:r>
      <w:r w:rsidR="00A8454B">
        <w:rPr>
          <w:rFonts w:asciiTheme="majorHAnsi" w:hAnsiTheme="majorHAnsi"/>
          <w:b/>
          <w:bCs/>
          <w:color w:val="0D0D0D" w:themeColor="text1" w:themeTint="F2"/>
          <w:sz w:val="24"/>
          <w:szCs w:val="24"/>
          <w:lang w:val="en-US"/>
        </w:rPr>
        <w:t xml:space="preserve"> </w:t>
      </w:r>
      <w:r w:rsidR="00CB1B69">
        <w:rPr>
          <w:rFonts w:asciiTheme="majorHAnsi" w:hAnsiTheme="majorHAnsi"/>
          <w:b/>
          <w:bCs/>
          <w:color w:val="0D0D0D" w:themeColor="text1" w:themeTint="F2"/>
          <w:sz w:val="24"/>
          <w:szCs w:val="24"/>
          <w:lang w:val="en-US"/>
        </w:rPr>
        <w:t xml:space="preserve">gum </w:t>
      </w:r>
      <w:r w:rsidRPr="001A497F">
        <w:rPr>
          <w:rFonts w:asciiTheme="majorHAnsi" w:hAnsiTheme="majorHAnsi"/>
          <w:b/>
          <w:bCs/>
          <w:color w:val="0D0D0D" w:themeColor="text1" w:themeTint="F2"/>
          <w:sz w:val="24"/>
          <w:szCs w:val="24"/>
          <w:lang w:val="en-US"/>
        </w:rPr>
        <w:t>arabic and simple syrup as binders. These pharmaceutical forms are increasingly</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little used anymore.</w:t>
      </w:r>
    </w:p>
    <w:p w14:paraId="06AF9DB2" w14:textId="77777777"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d) Tablets</w:t>
      </w:r>
    </w:p>
    <w:p w14:paraId="1A416DB7" w14:textId="77777777"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Are hard, discoid or ovoid masses obtained by compression of a mixture of</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powders consisting of active ingredient(s) and excipients. These latter can be</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coated with a thin film (film-coated or coated tablet).</w:t>
      </w:r>
    </w:p>
    <w:p w14:paraId="5B1AB3DC" w14:textId="77777777" w:rsidR="001A497F" w:rsidRPr="00CB1B69" w:rsidRDefault="001A497F" w:rsidP="00CB1B69">
      <w:pPr>
        <w:ind w:left="1134" w:right="566"/>
        <w:jc w:val="both"/>
        <w:rPr>
          <w:rFonts w:asciiTheme="majorHAnsi" w:hAnsiTheme="majorHAnsi"/>
          <w:b/>
          <w:bCs/>
          <w:color w:val="FF0000"/>
          <w:sz w:val="24"/>
          <w:szCs w:val="24"/>
          <w:lang w:val="en-US"/>
        </w:rPr>
      </w:pPr>
      <w:r w:rsidRPr="00CB1B69">
        <w:rPr>
          <w:rFonts w:asciiTheme="majorHAnsi" w:hAnsiTheme="majorHAnsi"/>
          <w:b/>
          <w:bCs/>
          <w:color w:val="FF0000"/>
          <w:sz w:val="24"/>
          <w:szCs w:val="24"/>
          <w:lang w:val="en-US"/>
        </w:rPr>
        <w:t>NB: The scored tablet can be cut in half or in quarters. Coated tablets or</w:t>
      </w:r>
      <w:r w:rsidR="00A8454B" w:rsidRPr="00CB1B69">
        <w:rPr>
          <w:rFonts w:asciiTheme="majorHAnsi" w:hAnsiTheme="majorHAnsi"/>
          <w:b/>
          <w:bCs/>
          <w:color w:val="FF0000"/>
          <w:sz w:val="24"/>
          <w:szCs w:val="24"/>
          <w:lang w:val="en-US"/>
        </w:rPr>
        <w:t xml:space="preserve"> </w:t>
      </w:r>
      <w:r w:rsidR="00CB1B69" w:rsidRPr="00CB1B69">
        <w:rPr>
          <w:rFonts w:asciiTheme="majorHAnsi" w:hAnsiTheme="majorHAnsi"/>
          <w:b/>
          <w:bCs/>
          <w:color w:val="FF0000"/>
          <w:sz w:val="24"/>
          <w:szCs w:val="24"/>
          <w:lang w:val="en-US"/>
        </w:rPr>
        <w:t xml:space="preserve">extended release can never </w:t>
      </w:r>
      <w:r w:rsidRPr="00CB1B69">
        <w:rPr>
          <w:rFonts w:asciiTheme="majorHAnsi" w:hAnsiTheme="majorHAnsi"/>
          <w:b/>
          <w:bCs/>
          <w:color w:val="FF0000"/>
          <w:sz w:val="24"/>
          <w:szCs w:val="24"/>
          <w:lang w:val="en-US"/>
        </w:rPr>
        <w:t>be cut or chewed.</w:t>
      </w:r>
    </w:p>
    <w:p w14:paraId="2A72E979" w14:textId="77777777"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e) Liquid oral forms</w:t>
      </w:r>
    </w:p>
    <w:p w14:paraId="157385AD" w14:textId="77777777" w:rsid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Syrup: It is a viscous liquid made from simple syrup. The simple syrup consists of 1.8 kg</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of sucrose dissolved in 1 liter of water.</w:t>
      </w:r>
    </w:p>
    <w:p w14:paraId="0BDBF29A"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Suspension: This is the result of the dispersion of a solid in a liquid phase.</w:t>
      </w:r>
    </w:p>
    <w:p w14:paraId="0FF6ACA1"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Emulsion: It is the result of the dispersion of a liquid phase in another immiscible phase.</w:t>
      </w:r>
    </w:p>
    <w:p w14:paraId="05495630" w14:textId="77777777" w:rsidR="00CB1B69" w:rsidRPr="00CB1B69" w:rsidRDefault="00CB1B69"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f) Dermatological forms</w:t>
      </w:r>
    </w:p>
    <w:p w14:paraId="697C1DAB"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Ointment: Medicine for external use of an ordinarily soft consistency, having as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base of fatty substances (lanolin, vaseline, oil, etc.) in which the principles are incorporated</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active ingredients in the form of powder, resin, essential oil, etc.</w:t>
      </w:r>
    </w:p>
    <w:p w14:paraId="598B05BB"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Cream: Medicine for external use of an ordinarily soft consistency, having as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base of fatty substances (oil) emulsified in an aqueous phase (oil in water), or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vice versa (water in oil). The active ingredients are dissolved or dispersed in these phases.</w:t>
      </w:r>
    </w:p>
    <w:p w14:paraId="4567C441"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Gel: Medicine for external use of an ordinarily soft consistency, having as a base</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an aqueous phase. It is a non-greasy preparation. The gel may be translucent. The active principle</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is dispe</w:t>
      </w:r>
      <w:r>
        <w:rPr>
          <w:rFonts w:asciiTheme="majorHAnsi" w:hAnsiTheme="majorHAnsi"/>
          <w:b/>
          <w:bCs/>
          <w:color w:val="0D0D0D" w:themeColor="text1" w:themeTint="F2"/>
          <w:sz w:val="24"/>
          <w:szCs w:val="24"/>
          <w:lang w:val="en-US"/>
        </w:rPr>
        <w:t xml:space="preserve">rsed or </w:t>
      </w:r>
      <w:r w:rsidRPr="00CB1B69">
        <w:rPr>
          <w:rFonts w:asciiTheme="majorHAnsi" w:hAnsiTheme="majorHAnsi"/>
          <w:b/>
          <w:bCs/>
          <w:color w:val="0D0D0D" w:themeColor="text1" w:themeTint="F2"/>
          <w:sz w:val="24"/>
          <w:szCs w:val="24"/>
          <w:lang w:val="en-US"/>
        </w:rPr>
        <w:t>solubilized in this phase.</w:t>
      </w:r>
    </w:p>
    <w:p w14:paraId="38E0CBFA"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lastRenderedPageBreak/>
        <w:t>Lotion: Liquid medication for external use intended to be applied to the skin or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hair.</w:t>
      </w:r>
    </w:p>
    <w:p w14:paraId="22FE11E9"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Shampoo: Liquid medicine for external use intended to be applied to the hair,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before being eliminated by rinsing. (e.g. treatment of pediculosis, baldness, etc.).</w:t>
      </w:r>
    </w:p>
    <w:p w14:paraId="0801D431" w14:textId="77777777" w:rsidR="00CB1B69" w:rsidRDefault="00CB1B69" w:rsidP="00CB1B69">
      <w:pPr>
        <w:jc w:val="both"/>
        <w:rPr>
          <w:rFonts w:asciiTheme="majorHAnsi" w:hAnsiTheme="majorHAnsi"/>
          <w:b/>
          <w:bCs/>
          <w:color w:val="0D0D0D" w:themeColor="text1" w:themeTint="F2"/>
          <w:sz w:val="24"/>
          <w:szCs w:val="24"/>
          <w:lang w:val="en-US"/>
        </w:rPr>
      </w:pPr>
      <w:r>
        <w:rPr>
          <w:rFonts w:asciiTheme="majorHAnsi" w:hAnsiTheme="majorHAnsi"/>
          <w:b/>
          <w:bCs/>
          <w:i/>
          <w:iCs/>
          <w:color w:val="1F3864" w:themeColor="accent5" w:themeShade="80"/>
          <w:sz w:val="24"/>
          <w:szCs w:val="24"/>
          <w:u w:val="single"/>
          <w:lang w:val="en-US"/>
        </w:rPr>
        <w:t>g) The suppository</w:t>
      </w:r>
    </w:p>
    <w:p w14:paraId="49360649"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It is a medicine for rectal use with a solid</w:t>
      </w:r>
      <w:r>
        <w:rPr>
          <w:rFonts w:asciiTheme="majorHAnsi" w:hAnsiTheme="majorHAnsi"/>
          <w:b/>
          <w:bCs/>
          <w:color w:val="0D0D0D" w:themeColor="text1" w:themeTint="F2"/>
          <w:sz w:val="24"/>
          <w:szCs w:val="24"/>
          <w:lang w:val="en-US"/>
        </w:rPr>
        <w:t xml:space="preserve"> consistency and an ovoid shape or conical (1 to 3 g). </w:t>
      </w:r>
      <w:r w:rsidRPr="00CB1B69">
        <w:rPr>
          <w:rFonts w:asciiTheme="majorHAnsi" w:hAnsiTheme="majorHAnsi"/>
          <w:b/>
          <w:bCs/>
          <w:color w:val="0D0D0D" w:themeColor="text1" w:themeTint="F2"/>
          <w:sz w:val="24"/>
          <w:szCs w:val="24"/>
          <w:lang w:val="en-US"/>
        </w:rPr>
        <w:t>It is made up either of a mixture of glycerin and gelatin, or of a mass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oily. The active ingredient is dissolved or dispersed in the molten suppository mass, which is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then poured into a mold. The active ingredient is resorbed and distributed throughout the body.</w:t>
      </w:r>
    </w:p>
    <w:p w14:paraId="389BF7FC" w14:textId="77777777" w:rsidR="00CB1B69" w:rsidRPr="00CB1B69" w:rsidRDefault="00CB1B69"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 xml:space="preserve">h) Eggs: </w:t>
      </w:r>
    </w:p>
    <w:p w14:paraId="528553BD" w14:textId="77777777"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It is a medication for vaginal use of soft (glycerin) or solid consistency</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(fat mass), olive-shaped. The active principle has an essentially local action</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(antibiotic, antifungal, etc.).</w:t>
      </w:r>
    </w:p>
    <w:p w14:paraId="5FEA67A7" w14:textId="77777777" w:rsidR="00CB1B69" w:rsidRPr="00CB1B69" w:rsidRDefault="00CB1B69"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i) Drops</w:t>
      </w:r>
    </w:p>
    <w:p w14:paraId="3E976462" w14:textId="77777777"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Eye drops:</w:t>
      </w:r>
      <w:r>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Liquid medicine intended to be administered in the form of</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drops in the eye.</w:t>
      </w:r>
    </w:p>
    <w:p w14:paraId="50F2E0F6" w14:textId="77777777"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Nasal drop: Medicine in the form of a drop, liquid spray, powder spray</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administer nasally. The action is either local (e.g.: decongestant, disinfectant), or</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systemic (hormones….)</w:t>
      </w:r>
    </w:p>
    <w:p w14:paraId="10AD23A6" w14:textId="77777777" w:rsidR="007035FD" w:rsidRDefault="007035FD" w:rsidP="007035FD">
      <w:pPr>
        <w:ind w:firstLine="567"/>
        <w:jc w:val="both"/>
        <w:rPr>
          <w:rFonts w:asciiTheme="majorHAnsi" w:hAnsiTheme="majorHAnsi"/>
          <w:b/>
          <w:bCs/>
          <w:color w:val="0D0D0D" w:themeColor="text1" w:themeTint="F2"/>
          <w:sz w:val="24"/>
          <w:szCs w:val="24"/>
          <w:lang w:val="en-US"/>
        </w:rPr>
      </w:pPr>
      <w:r>
        <w:rPr>
          <w:rFonts w:asciiTheme="majorHAnsi" w:hAnsiTheme="majorHAnsi"/>
          <w:b/>
          <w:bCs/>
          <w:color w:val="0D0D0D" w:themeColor="text1" w:themeTint="F2"/>
          <w:sz w:val="24"/>
          <w:szCs w:val="24"/>
          <w:lang w:val="en-US"/>
        </w:rPr>
        <w:t xml:space="preserve">Ear </w:t>
      </w:r>
      <w:r w:rsidR="00024501" w:rsidRPr="00024501">
        <w:rPr>
          <w:rFonts w:asciiTheme="majorHAnsi" w:hAnsiTheme="majorHAnsi"/>
          <w:b/>
          <w:bCs/>
          <w:color w:val="0D0D0D" w:themeColor="text1" w:themeTint="F2"/>
          <w:sz w:val="24"/>
          <w:szCs w:val="24"/>
          <w:lang w:val="en-US"/>
        </w:rPr>
        <w:t>drop: Liquid medication to be administered into the ears.</w:t>
      </w:r>
      <w:r>
        <w:rPr>
          <w:rFonts w:asciiTheme="majorHAnsi" w:hAnsiTheme="majorHAnsi"/>
          <w:b/>
          <w:bCs/>
          <w:color w:val="0D0D0D" w:themeColor="text1" w:themeTint="F2"/>
          <w:sz w:val="24"/>
          <w:szCs w:val="24"/>
          <w:lang w:val="en-US"/>
        </w:rPr>
        <w:t xml:space="preserve"> </w:t>
      </w:r>
    </w:p>
    <w:p w14:paraId="5D3D4875" w14:textId="77777777" w:rsidR="007035FD" w:rsidRDefault="007035FD" w:rsidP="007035FD">
      <w:pPr>
        <w:ind w:firstLine="567"/>
        <w:jc w:val="both"/>
        <w:rPr>
          <w:rFonts w:asciiTheme="majorHAnsi" w:hAnsiTheme="majorHAnsi"/>
          <w:b/>
          <w:bCs/>
          <w:color w:val="0D0D0D" w:themeColor="text1" w:themeTint="F2"/>
          <w:sz w:val="24"/>
          <w:szCs w:val="24"/>
          <w:lang w:val="en-US"/>
        </w:rPr>
      </w:pPr>
    </w:p>
    <w:p w14:paraId="13119057" w14:textId="77777777" w:rsidR="007035FD" w:rsidRDefault="007035FD" w:rsidP="007035F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2-01</w:t>
      </w:r>
      <w:r w:rsidRPr="00A05863">
        <w:rPr>
          <w:rFonts w:asciiTheme="majorHAnsi" w:hAnsiTheme="majorHAnsi"/>
          <w:b/>
          <w:bCs/>
          <w:i/>
          <w:iCs/>
          <w:color w:val="1F3864" w:themeColor="accent5" w:themeShade="80"/>
          <w:sz w:val="28"/>
          <w:szCs w:val="28"/>
          <w:u w:val="single"/>
          <w:lang w:val="en-US"/>
        </w:rPr>
        <w:t xml:space="preserve">/ </w:t>
      </w:r>
      <w:r w:rsidRPr="00931983">
        <w:rPr>
          <w:rFonts w:asciiTheme="majorHAnsi" w:hAnsiTheme="majorHAnsi"/>
          <w:b/>
          <w:bCs/>
          <w:i/>
          <w:iCs/>
          <w:color w:val="1F3864" w:themeColor="accent5" w:themeShade="80"/>
          <w:sz w:val="28"/>
          <w:szCs w:val="28"/>
          <w:u w:val="single"/>
          <w:lang w:val="en-US"/>
        </w:rPr>
        <w:t>Criteria for choosing a route of administration</w:t>
      </w:r>
    </w:p>
    <w:p w14:paraId="23DB194C" w14:textId="77777777"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Galenic forms can be classified according to two criteria: consistency (solid,</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liquid and semi-solid) or according to the route of administration.</w:t>
      </w:r>
    </w:p>
    <w:p w14:paraId="27663B39" w14:textId="77777777" w:rsidR="007035FD" w:rsidRPr="007035FD" w:rsidRDefault="00024501" w:rsidP="007035FD">
      <w:pPr>
        <w:jc w:val="both"/>
        <w:rPr>
          <w:rFonts w:asciiTheme="majorHAnsi" w:hAnsiTheme="majorHAnsi"/>
          <w:b/>
          <w:bCs/>
          <w:i/>
          <w:iCs/>
          <w:color w:val="1F3864" w:themeColor="accent5" w:themeShade="80"/>
          <w:sz w:val="28"/>
          <w:szCs w:val="28"/>
          <w:u w:val="single"/>
          <w:lang w:val="en-US"/>
        </w:rPr>
      </w:pPr>
      <w:r w:rsidRPr="007035FD">
        <w:rPr>
          <w:rFonts w:asciiTheme="majorHAnsi" w:hAnsiTheme="majorHAnsi"/>
          <w:b/>
          <w:bCs/>
          <w:color w:val="0D0D0D" w:themeColor="text1" w:themeTint="F2"/>
          <w:sz w:val="28"/>
          <w:szCs w:val="28"/>
          <w:lang w:val="en-US"/>
        </w:rPr>
        <w:t xml:space="preserve"> </w:t>
      </w:r>
      <w:r w:rsidR="00F62866">
        <w:rPr>
          <w:rFonts w:asciiTheme="majorHAnsi" w:hAnsiTheme="majorHAnsi"/>
          <w:b/>
          <w:bCs/>
          <w:i/>
          <w:iCs/>
          <w:color w:val="1F3864" w:themeColor="accent5" w:themeShade="80"/>
          <w:sz w:val="28"/>
          <w:szCs w:val="28"/>
          <w:u w:val="single"/>
          <w:lang w:val="en-US"/>
        </w:rPr>
        <w:t>02-01-01/</w:t>
      </w:r>
      <w:r w:rsidR="007035FD" w:rsidRPr="007035FD">
        <w:rPr>
          <w:rFonts w:asciiTheme="majorHAnsi" w:hAnsiTheme="majorHAnsi"/>
          <w:b/>
          <w:bCs/>
          <w:i/>
          <w:iCs/>
          <w:color w:val="1F3864" w:themeColor="accent5" w:themeShade="80"/>
          <w:sz w:val="28"/>
          <w:szCs w:val="28"/>
          <w:u w:val="single"/>
          <w:lang w:val="en-US"/>
        </w:rPr>
        <w:t xml:space="preserve"> Classification of pharmaceutical or galenic forms according to their consistency</w:t>
      </w:r>
    </w:p>
    <w:p w14:paraId="17FABF8B" w14:textId="77777777" w:rsidR="00024501" w:rsidRPr="007035FD" w:rsidRDefault="00024501" w:rsidP="007035FD">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a) Solid dosage forms</w:t>
      </w:r>
    </w:p>
    <w:p w14:paraId="0992F611" w14:textId="77777777"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Powder, granule, powder sachet, cachet, hard capsule (capsule), soft capsule, tablet (naked,</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coated, effervescent, dispersible, multilayer, matrix, osmotic), oral lyophilisate = lyoc®,</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officinal paste, lozenge, tablet, pill, spheroids, suppository, implants, adhesive forms</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skin and transdermal device…</w:t>
      </w:r>
    </w:p>
    <w:p w14:paraId="65F690FD" w14:textId="77777777"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b) Semi-solid dosage forms</w:t>
      </w:r>
    </w:p>
    <w:p w14:paraId="3F251732" w14:textId="77777777"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Mousse, ointment, cream, gel, paste…</w:t>
      </w:r>
    </w:p>
    <w:p w14:paraId="0CF7B87A" w14:textId="77777777"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c) Liquid dosage forms</w:t>
      </w:r>
    </w:p>
    <w:p w14:paraId="166CD599" w14:textId="77777777" w:rsidR="00024501" w:rsidRDefault="00024501" w:rsidP="007035FD">
      <w:pPr>
        <w:ind w:firstLine="708"/>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Solution, syrup, suspension, emulsion, mouthwash, gargle, lotion…</w:t>
      </w:r>
    </w:p>
    <w:p w14:paraId="684B07AD" w14:textId="77777777" w:rsidR="007035FD" w:rsidRPr="007035FD" w:rsidRDefault="00F62866" w:rsidP="007035FD">
      <w:pPr>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02-01-02</w:t>
      </w:r>
      <w:r w:rsidR="007035FD" w:rsidRPr="007035FD">
        <w:rPr>
          <w:rFonts w:asciiTheme="majorHAnsi" w:hAnsiTheme="majorHAnsi"/>
          <w:b/>
          <w:bCs/>
          <w:i/>
          <w:iCs/>
          <w:color w:val="1F3864" w:themeColor="accent5" w:themeShade="80"/>
          <w:sz w:val="28"/>
          <w:szCs w:val="28"/>
          <w:u w:val="single"/>
          <w:lang w:val="en-US"/>
        </w:rPr>
        <w:t>/ Classification of pharmaceutical or galenic forms according to the route of administration</w:t>
      </w:r>
    </w:p>
    <w:p w14:paraId="2172616C" w14:textId="77777777"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a) Forms for the oral route</w:t>
      </w:r>
    </w:p>
    <w:p w14:paraId="3C104374" w14:textId="77777777" w:rsidR="007035FD" w:rsidRPr="00906D6D" w:rsidRDefault="00024501" w:rsidP="00906D6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lastRenderedPageBreak/>
        <w:t>Powder, granule, sachet of powder, sachet of granules, cachet (obsolete form), hard capsule,</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soft capsule, tablet: naked, coated, effervescent, dispersible, multilayer, matrix,</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 xml:space="preserve">osmotic, adhesive, </w:t>
      </w:r>
      <w:r w:rsidRPr="00906D6D">
        <w:rPr>
          <w:rFonts w:asciiTheme="majorHAnsi" w:hAnsiTheme="majorHAnsi"/>
          <w:b/>
          <w:bCs/>
          <w:color w:val="0D0D0D" w:themeColor="text1" w:themeTint="F2"/>
          <w:sz w:val="24"/>
          <w:szCs w:val="24"/>
          <w:lang w:val="en-US"/>
        </w:rPr>
        <w:t>oral lyophilisate = lyoc®, pill, spheroids, solution, syrup, elixir, potion,</w:t>
      </w:r>
      <w:r w:rsidR="00662034" w:rsidRPr="00906D6D">
        <w:rPr>
          <w:rFonts w:asciiTheme="majorHAnsi" w:hAnsiTheme="majorHAnsi" w:cs="Times New Roman"/>
          <w:b/>
          <w:bCs/>
          <w:color w:val="000000"/>
          <w:sz w:val="24"/>
          <w:szCs w:val="24"/>
          <w:lang w:val="en-US"/>
        </w:rPr>
        <w:t xml:space="preserve"> </w:t>
      </w:r>
      <w:r w:rsidR="007035FD" w:rsidRPr="00906D6D">
        <w:rPr>
          <w:rFonts w:asciiTheme="majorHAnsi" w:hAnsiTheme="majorHAnsi" w:cs="Times New Roman"/>
          <w:b/>
          <w:bCs/>
          <w:color w:val="000000"/>
          <w:sz w:val="24"/>
          <w:szCs w:val="24"/>
          <w:lang w:val="en-US"/>
        </w:rPr>
        <w:t>suspension, emulsion, mouthwash, gargle, herbal teas, ampoules of oral solution sachet of</w:t>
      </w:r>
      <w:r w:rsidR="00906D6D" w:rsidRPr="00906D6D">
        <w:rPr>
          <w:rFonts w:asciiTheme="majorHAnsi" w:hAnsiTheme="majorHAnsi"/>
          <w:b/>
          <w:bCs/>
          <w:color w:val="0D0D0D" w:themeColor="text1" w:themeTint="F2"/>
          <w:sz w:val="24"/>
          <w:szCs w:val="24"/>
          <w:lang w:val="en-US"/>
        </w:rPr>
        <w:t xml:space="preserve"> </w:t>
      </w:r>
      <w:r w:rsidR="007035FD" w:rsidRPr="00906D6D">
        <w:rPr>
          <w:rFonts w:asciiTheme="majorHAnsi" w:hAnsiTheme="majorHAnsi" w:cs="Times New Roman"/>
          <w:b/>
          <w:bCs/>
          <w:color w:val="000000"/>
          <w:sz w:val="24"/>
          <w:szCs w:val="24"/>
          <w:lang w:val="en-US"/>
        </w:rPr>
        <w:t>suspension or gel…</w:t>
      </w:r>
    </w:p>
    <w:p w14:paraId="56F87D19" w14:textId="77777777" w:rsidR="00686AF1" w:rsidRPr="00686AF1" w:rsidRDefault="007035FD" w:rsidP="00906D6D">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b) Forms for the cutaneous route </w:t>
      </w:r>
    </w:p>
    <w:p w14:paraId="15E41E9F" w14:textId="77777777" w:rsidR="007035FD" w:rsidRPr="00686AF1"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686AF1">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sidR="00906D6D" w:rsidRPr="00686AF1">
        <w:rPr>
          <w:rFonts w:asciiTheme="majorHAnsi" w:hAnsiTheme="majorHAnsi" w:cs="Times New Roman"/>
          <w:b/>
          <w:bCs/>
          <w:color w:val="000000"/>
          <w:sz w:val="24"/>
          <w:szCs w:val="24"/>
          <w:lang w:val="en-US"/>
        </w:rPr>
        <w:t>, l</w:t>
      </w:r>
      <w:r w:rsidR="007035FD" w:rsidRPr="00686AF1">
        <w:rPr>
          <w:rFonts w:asciiTheme="majorHAnsi" w:hAnsiTheme="majorHAnsi" w:cs="Times New Roman"/>
          <w:b/>
          <w:bCs/>
          <w:color w:val="000000"/>
          <w:sz w:val="24"/>
          <w:szCs w:val="24"/>
          <w:lang w:val="en-US"/>
        </w:rPr>
        <w:t>otion, solution, foam, aero</w:t>
      </w:r>
      <w:r w:rsidRPr="00686AF1">
        <w:rPr>
          <w:rFonts w:asciiTheme="majorHAnsi" w:hAnsiTheme="majorHAnsi" w:cs="Times New Roman"/>
          <w:b/>
          <w:bCs/>
          <w:color w:val="000000"/>
          <w:sz w:val="24"/>
          <w:szCs w:val="24"/>
          <w:lang w:val="en-US"/>
        </w:rPr>
        <w:t xml:space="preserve">sol, powder (antiseptic, talc), </w:t>
      </w:r>
      <w:r w:rsidR="007035FD" w:rsidRPr="00686AF1">
        <w:rPr>
          <w:rFonts w:asciiTheme="majorHAnsi" w:hAnsiTheme="majorHAnsi" w:cs="Times New Roman"/>
          <w:b/>
          <w:bCs/>
          <w:color w:val="000000"/>
          <w:sz w:val="24"/>
          <w:szCs w:val="24"/>
          <w:lang w:val="en-US"/>
        </w:rPr>
        <w:t>sinapisms (poultice),</w:t>
      </w:r>
      <w:r w:rsidR="00906D6D"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ointments (monophasic excipient), cream (biphasic excipient), gel (liquid with agent</w:t>
      </w:r>
      <w:r w:rsidR="00906D6D"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gelling agent), paste (excipient in suspension with powder at more than 40%)…</w:t>
      </w:r>
    </w:p>
    <w:p w14:paraId="6B777ADF" w14:textId="77777777" w:rsidR="00686AF1" w:rsidRP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14:paraId="61B1B74B"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c)</w:t>
      </w:r>
      <w:r w:rsidR="007035FD" w:rsidRPr="00686AF1">
        <w:rPr>
          <w:rFonts w:asciiTheme="majorHAnsi" w:hAnsiTheme="majorHAnsi" w:cs="Times New Roman"/>
          <w:b/>
          <w:bCs/>
          <w:i/>
          <w:iCs/>
          <w:color w:val="1F3864" w:themeColor="accent5" w:themeShade="80"/>
          <w:sz w:val="24"/>
          <w:szCs w:val="24"/>
          <w:u w:val="single"/>
          <w:lang w:val="en-US"/>
        </w:rPr>
        <w:t xml:space="preserve"> Ophthalmic forms (ocular route) </w:t>
      </w:r>
    </w:p>
    <w:p w14:paraId="79D1A2DE" w14:textId="77777777" w:rsidR="007035FD"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sidRPr="00686AF1">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w:t>
      </w:r>
      <w:r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Eye drops, eye ointment, eye wash solution, lens preparations</w:t>
      </w:r>
      <w:r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contact…</w:t>
      </w:r>
    </w:p>
    <w:p w14:paraId="7A620AB1" w14:textId="77777777" w:rsidR="00686AF1" w:rsidRP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14:paraId="1E4125CF"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d)</w:t>
      </w:r>
      <w:r w:rsidR="007035FD" w:rsidRPr="00686AF1">
        <w:rPr>
          <w:rFonts w:asciiTheme="majorHAnsi" w:hAnsiTheme="majorHAnsi" w:cs="Times New Roman"/>
          <w:b/>
          <w:bCs/>
          <w:i/>
          <w:iCs/>
          <w:color w:val="1F3864" w:themeColor="accent5" w:themeShade="80"/>
          <w:sz w:val="24"/>
          <w:szCs w:val="24"/>
          <w:u w:val="single"/>
          <w:lang w:val="en-US"/>
        </w:rPr>
        <w:t xml:space="preserve"> Forms for the rectal route </w:t>
      </w:r>
    </w:p>
    <w:p w14:paraId="44543344" w14:textId="77777777" w:rsidR="007035FD"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Suppository, solution, rectal dispersion, rectal ointment and rectal foam.</w:t>
      </w:r>
    </w:p>
    <w:p w14:paraId="6D3F92F7" w14:textId="77777777" w:rsidR="00686AF1" w:rsidRPr="00686AF1" w:rsidRDefault="00686AF1" w:rsidP="00686AF1">
      <w:pPr>
        <w:autoSpaceDE w:val="0"/>
        <w:autoSpaceDN w:val="0"/>
        <w:adjustRightInd w:val="0"/>
        <w:spacing w:after="0" w:line="240" w:lineRule="auto"/>
        <w:rPr>
          <w:rFonts w:asciiTheme="majorHAnsi" w:hAnsiTheme="majorHAnsi" w:cs="Times New Roman"/>
          <w:b/>
          <w:bCs/>
          <w:color w:val="000000"/>
          <w:sz w:val="24"/>
          <w:szCs w:val="24"/>
          <w:lang w:val="en-US"/>
        </w:rPr>
      </w:pPr>
    </w:p>
    <w:p w14:paraId="3AF5F0B6"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e)</w:t>
      </w:r>
      <w:r w:rsidR="007035FD" w:rsidRPr="00686AF1">
        <w:rPr>
          <w:rFonts w:asciiTheme="majorHAnsi" w:hAnsiTheme="majorHAnsi" w:cs="Times New Roman"/>
          <w:b/>
          <w:bCs/>
          <w:i/>
          <w:iCs/>
          <w:color w:val="1F3864" w:themeColor="accent5" w:themeShade="80"/>
          <w:sz w:val="24"/>
          <w:szCs w:val="24"/>
          <w:u w:val="single"/>
          <w:lang w:val="en-US"/>
        </w:rPr>
        <w:t xml:space="preserve"> Injectable forms (parenter</w:t>
      </w:r>
      <w:r w:rsidRPr="00686AF1">
        <w:rPr>
          <w:rFonts w:asciiTheme="majorHAnsi" w:hAnsiTheme="majorHAnsi" w:cs="Times New Roman"/>
          <w:b/>
          <w:bCs/>
          <w:i/>
          <w:iCs/>
          <w:color w:val="1F3864" w:themeColor="accent5" w:themeShade="80"/>
          <w:sz w:val="24"/>
          <w:szCs w:val="24"/>
          <w:u w:val="single"/>
          <w:lang w:val="en-US"/>
        </w:rPr>
        <w:t xml:space="preserve">al route) </w:t>
      </w:r>
    </w:p>
    <w:p w14:paraId="08204E03" w14:textId="77777777" w:rsidR="007035FD"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 Route of</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emergency treatment, resuscitation</w:t>
      </w:r>
      <w:r>
        <w:rPr>
          <w:rFonts w:asciiTheme="majorHAnsi" w:hAnsiTheme="majorHAnsi" w:cs="Times New Roman"/>
          <w:b/>
          <w:bCs/>
          <w:color w:val="000000"/>
          <w:sz w:val="24"/>
          <w:szCs w:val="24"/>
          <w:lang w:val="en-US"/>
        </w:rPr>
        <w:t xml:space="preserve"> Injectable </w:t>
      </w:r>
      <w:r w:rsidR="007035FD" w:rsidRPr="00686AF1">
        <w:rPr>
          <w:rFonts w:asciiTheme="majorHAnsi" w:hAnsiTheme="majorHAnsi" w:cs="Times New Roman"/>
          <w:b/>
          <w:bCs/>
          <w:color w:val="000000"/>
          <w:sz w:val="24"/>
          <w:szCs w:val="24"/>
          <w:lang w:val="en-US"/>
        </w:rPr>
        <w:t>preparations (small volume, syringe + needle), injectable preparations for</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infusion (large volume, bottle or bag + catheter + needle), powders for preparations</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injectable (presented with solvent for extemporaneous solution or suspension)…</w:t>
      </w:r>
    </w:p>
    <w:p w14:paraId="5A5D7F09" w14:textId="77777777" w:rsidR="00686AF1"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p>
    <w:p w14:paraId="4FDF7414"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f) Forms for the nasal route </w:t>
      </w:r>
    </w:p>
    <w:p w14:paraId="4A750E1D" w14:textId="77777777" w:rsidR="007035FD"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d</w:t>
      </w:r>
      <w:r w:rsidR="007035FD" w:rsidRPr="00686AF1">
        <w:rPr>
          <w:rFonts w:asciiTheme="majorHAnsi" w:hAnsiTheme="majorHAnsi" w:cs="Times New Roman"/>
          <w:b/>
          <w:bCs/>
          <w:color w:val="000000"/>
          <w:sz w:val="24"/>
          <w:szCs w:val="24"/>
          <w:lang w:val="en-US"/>
        </w:rPr>
        <w:t>rops, aerosols…</w:t>
      </w:r>
    </w:p>
    <w:p w14:paraId="07AB4921" w14:textId="77777777" w:rsid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14:paraId="51211B41"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g)</w:t>
      </w:r>
      <w:r w:rsidR="007035FD" w:rsidRPr="00686AF1">
        <w:rPr>
          <w:rFonts w:asciiTheme="majorHAnsi" w:hAnsiTheme="majorHAnsi" w:cs="Times New Roman"/>
          <w:b/>
          <w:bCs/>
          <w:i/>
          <w:iCs/>
          <w:color w:val="1F3864" w:themeColor="accent5" w:themeShade="80"/>
          <w:sz w:val="24"/>
          <w:szCs w:val="24"/>
          <w:u w:val="single"/>
          <w:lang w:val="en-US"/>
        </w:rPr>
        <w:t xml:space="preserve"> Forms for the vaginal route </w:t>
      </w:r>
    </w:p>
    <w:p w14:paraId="7E1F6327" w14:textId="77777777" w:rsidR="007035FD"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Eggs, vaginal tablets, ointments, foams and solutions…</w:t>
      </w:r>
    </w:p>
    <w:p w14:paraId="152BC781" w14:textId="77777777" w:rsidR="00686AF1"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p>
    <w:p w14:paraId="4B916EEA" w14:textId="77777777"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h) </w:t>
      </w:r>
      <w:r w:rsidR="007035FD" w:rsidRPr="00686AF1">
        <w:rPr>
          <w:rFonts w:asciiTheme="majorHAnsi" w:hAnsiTheme="majorHAnsi" w:cs="Times New Roman"/>
          <w:b/>
          <w:bCs/>
          <w:i/>
          <w:iCs/>
          <w:color w:val="1F3864" w:themeColor="accent5" w:themeShade="80"/>
          <w:sz w:val="24"/>
          <w:szCs w:val="24"/>
          <w:u w:val="single"/>
          <w:lang w:val="en-US"/>
        </w:rPr>
        <w:t>Forms for the auricular</w:t>
      </w:r>
      <w:r w:rsidRPr="00686AF1">
        <w:rPr>
          <w:rFonts w:asciiTheme="majorHAnsi" w:hAnsiTheme="majorHAnsi" w:cs="Times New Roman"/>
          <w:b/>
          <w:bCs/>
          <w:i/>
          <w:iCs/>
          <w:color w:val="1F3864" w:themeColor="accent5" w:themeShade="80"/>
          <w:sz w:val="24"/>
          <w:szCs w:val="24"/>
          <w:u w:val="single"/>
          <w:lang w:val="en-US"/>
        </w:rPr>
        <w:t xml:space="preserve"> </w:t>
      </w:r>
      <w:r w:rsidR="007035FD" w:rsidRPr="00686AF1">
        <w:rPr>
          <w:rFonts w:asciiTheme="majorHAnsi" w:hAnsiTheme="majorHAnsi" w:cs="Times New Roman"/>
          <w:b/>
          <w:bCs/>
          <w:i/>
          <w:iCs/>
          <w:color w:val="1F3864" w:themeColor="accent5" w:themeShade="80"/>
          <w:sz w:val="24"/>
          <w:szCs w:val="24"/>
          <w:u w:val="single"/>
          <w:lang w:val="en-US"/>
        </w:rPr>
        <w:t xml:space="preserve">route </w:t>
      </w:r>
    </w:p>
    <w:p w14:paraId="2558D2B0" w14:textId="77777777" w:rsidR="007035FD"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w:t>
      </w:r>
      <w:r>
        <w:rPr>
          <w:rFonts w:asciiTheme="majorHAnsi" w:hAnsiTheme="majorHAnsi" w:cs="Times New Roman"/>
          <w:b/>
          <w:bCs/>
          <w:color w:val="000000"/>
          <w:sz w:val="24"/>
          <w:szCs w:val="24"/>
          <w:lang w:val="en-US"/>
        </w:rPr>
        <w:t xml:space="preserve"> </w:t>
      </w:r>
      <w:r w:rsidR="00F16598" w:rsidRPr="00686AF1">
        <w:rPr>
          <w:rFonts w:asciiTheme="majorHAnsi" w:hAnsiTheme="majorHAnsi" w:cs="Times New Roman"/>
          <w:b/>
          <w:bCs/>
          <w:color w:val="000000"/>
          <w:sz w:val="24"/>
          <w:szCs w:val="24"/>
          <w:lang w:val="en-US"/>
        </w:rPr>
        <w:t>Eardrops</w:t>
      </w:r>
      <w:r w:rsidR="007035FD" w:rsidRPr="00686AF1">
        <w:rPr>
          <w:rFonts w:asciiTheme="majorHAnsi" w:hAnsiTheme="majorHAnsi" w:cs="Times New Roman"/>
          <w:b/>
          <w:bCs/>
          <w:color w:val="000000"/>
          <w:sz w:val="24"/>
          <w:szCs w:val="24"/>
          <w:lang w:val="en-US"/>
        </w:rPr>
        <w:t>, ear ointments….</w:t>
      </w:r>
    </w:p>
    <w:p w14:paraId="5B976EF2" w14:textId="77777777" w:rsidR="00F16598" w:rsidRDefault="00F16598" w:rsidP="00F16598">
      <w:pPr>
        <w:autoSpaceDE w:val="0"/>
        <w:autoSpaceDN w:val="0"/>
        <w:adjustRightInd w:val="0"/>
        <w:spacing w:after="0" w:line="240" w:lineRule="auto"/>
        <w:rPr>
          <w:rFonts w:asciiTheme="majorHAnsi" w:hAnsiTheme="majorHAnsi" w:cs="Times New Roman"/>
          <w:b/>
          <w:bCs/>
          <w:color w:val="000000"/>
          <w:sz w:val="24"/>
          <w:szCs w:val="24"/>
          <w:lang w:val="en-US"/>
        </w:rPr>
      </w:pPr>
    </w:p>
    <w:p w14:paraId="5B881EEB" w14:textId="77777777" w:rsidR="00D13F62" w:rsidRDefault="00D13F62" w:rsidP="00D13F62">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3</w:t>
      </w:r>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Biopharmaceutical classification</w:t>
      </w:r>
    </w:p>
    <w:p w14:paraId="1016F185" w14:textId="77777777" w:rsidR="00D13F62" w:rsidRDefault="00D13F62" w:rsidP="007D02DE">
      <w:pPr>
        <w:ind w:firstLine="567"/>
        <w:jc w:val="both"/>
        <w:rPr>
          <w:rFonts w:asciiTheme="majorHAnsi" w:hAnsiTheme="majorHAnsi" w:cs="Arial"/>
          <w:b/>
          <w:bCs/>
          <w:color w:val="0D0D0D" w:themeColor="text1" w:themeTint="F2"/>
          <w:sz w:val="24"/>
          <w:szCs w:val="24"/>
          <w:lang w:val="en-US"/>
        </w:rPr>
      </w:pPr>
      <w:r>
        <w:rPr>
          <w:rFonts w:asciiTheme="majorHAnsi" w:hAnsiTheme="majorHAnsi"/>
          <w:b/>
          <w:bCs/>
          <w:lang w:val="en-US"/>
        </w:rPr>
        <w:t xml:space="preserve">The biopharmaceutical classification system </w:t>
      </w:r>
      <w:r w:rsidR="00C974D4">
        <w:rPr>
          <w:rFonts w:asciiTheme="majorHAnsi" w:hAnsiTheme="majorHAnsi"/>
          <w:b/>
          <w:bCs/>
          <w:lang w:val="en-US"/>
        </w:rPr>
        <w:t xml:space="preserve">(BCS) </w:t>
      </w:r>
      <w:r>
        <w:rPr>
          <w:rFonts w:asciiTheme="majorHAnsi" w:hAnsiTheme="majorHAnsi"/>
          <w:b/>
          <w:bCs/>
          <w:lang w:val="en-US"/>
        </w:rPr>
        <w:t xml:space="preserve">is a system to differentiate drugs on the basis of their solubility and permeability. </w:t>
      </w:r>
      <w:r w:rsidR="007D02DE">
        <w:rPr>
          <w:rFonts w:asciiTheme="majorHAnsi" w:hAnsiTheme="majorHAnsi"/>
          <w:b/>
          <w:bCs/>
          <w:lang w:val="en-US"/>
        </w:rPr>
        <w:t>This system restricts the prediction using the parameters of solubility and intestinal permeability</w:t>
      </w:r>
      <w:r w:rsidR="007D02DE" w:rsidRPr="007D02DE">
        <w:rPr>
          <w:rFonts w:asciiTheme="majorHAnsi" w:hAnsiTheme="majorHAnsi"/>
          <w:b/>
          <w:bCs/>
          <w:color w:val="0D0D0D" w:themeColor="text1" w:themeTint="F2"/>
          <w:lang w:val="en-US"/>
        </w:rPr>
        <w:t xml:space="preserve">. </w:t>
      </w:r>
      <w:r w:rsidRPr="007D02DE">
        <w:rPr>
          <w:rFonts w:asciiTheme="majorHAnsi" w:hAnsiTheme="majorHAnsi" w:cs="Arial"/>
          <w:b/>
          <w:bCs/>
          <w:color w:val="0D0D0D" w:themeColor="text1" w:themeTint="F2"/>
          <w:sz w:val="24"/>
          <w:szCs w:val="24"/>
          <w:lang w:val="en-US"/>
        </w:rPr>
        <w:t>The solubility classification is based on a </w:t>
      </w:r>
      <w:hyperlink r:id="rId10" w:tooltip="United States Pharmacopoeia" w:history="1">
        <w:r w:rsidRPr="007D02DE">
          <w:rPr>
            <w:rStyle w:val="Hyperlink"/>
            <w:rFonts w:asciiTheme="majorHAnsi" w:hAnsiTheme="majorHAnsi" w:cs="Arial"/>
            <w:b/>
            <w:bCs/>
            <w:color w:val="0D0D0D" w:themeColor="text1" w:themeTint="F2"/>
            <w:sz w:val="24"/>
            <w:szCs w:val="24"/>
            <w:u w:val="none"/>
            <w:lang w:val="en-US"/>
          </w:rPr>
          <w:t>United States Pharmacopoeia</w:t>
        </w:r>
      </w:hyperlink>
      <w:r w:rsidRPr="007D02DE">
        <w:rPr>
          <w:rFonts w:asciiTheme="majorHAnsi" w:hAnsiTheme="majorHAnsi" w:cs="Arial"/>
          <w:b/>
          <w:bCs/>
          <w:color w:val="0D0D0D" w:themeColor="text1" w:themeTint="F2"/>
          <w:sz w:val="24"/>
          <w:szCs w:val="24"/>
          <w:lang w:val="en-US"/>
        </w:rPr>
        <w:t> (USP) aperture. The </w:t>
      </w:r>
      <w:hyperlink r:id="rId11" w:tooltip="Intestinal permeability" w:history="1">
        <w:r w:rsidRPr="007D02DE">
          <w:rPr>
            <w:rStyle w:val="Hyperlink"/>
            <w:rFonts w:asciiTheme="majorHAnsi" w:hAnsiTheme="majorHAnsi" w:cs="Arial"/>
            <w:b/>
            <w:bCs/>
            <w:color w:val="0D0D0D" w:themeColor="text1" w:themeTint="F2"/>
            <w:sz w:val="24"/>
            <w:szCs w:val="24"/>
            <w:u w:val="none"/>
            <w:lang w:val="en-US"/>
          </w:rPr>
          <w:t>intestinal permeability</w:t>
        </w:r>
      </w:hyperlink>
      <w:r w:rsidRPr="007D02DE">
        <w:rPr>
          <w:rFonts w:asciiTheme="majorHAnsi" w:hAnsiTheme="majorHAnsi" w:cs="Arial"/>
          <w:b/>
          <w:bCs/>
          <w:color w:val="0D0D0D" w:themeColor="text1" w:themeTint="F2"/>
          <w:sz w:val="24"/>
          <w:szCs w:val="24"/>
          <w:lang w:val="en-US"/>
        </w:rPr>
        <w:t> classification is based on a comparison to the </w:t>
      </w:r>
      <w:hyperlink r:id="rId12" w:tooltip="Route of administration" w:history="1">
        <w:r w:rsidRPr="007D02DE">
          <w:rPr>
            <w:rStyle w:val="Hyperlink"/>
            <w:rFonts w:asciiTheme="majorHAnsi" w:hAnsiTheme="majorHAnsi" w:cs="Arial"/>
            <w:b/>
            <w:bCs/>
            <w:color w:val="0D0D0D" w:themeColor="text1" w:themeTint="F2"/>
            <w:sz w:val="24"/>
            <w:szCs w:val="24"/>
            <w:u w:val="none"/>
            <w:lang w:val="en-US"/>
          </w:rPr>
          <w:t>intravenous injection</w:t>
        </w:r>
      </w:hyperlink>
      <w:r w:rsidRPr="007D02DE">
        <w:rPr>
          <w:rFonts w:asciiTheme="majorHAnsi" w:hAnsiTheme="majorHAnsi" w:cs="Arial"/>
          <w:b/>
          <w:bCs/>
          <w:color w:val="0D0D0D" w:themeColor="text1" w:themeTint="F2"/>
          <w:sz w:val="24"/>
          <w:szCs w:val="24"/>
          <w:lang w:val="en-US"/>
        </w:rPr>
        <w:t>. All those factors are highly important because 85% of the most sold drugs in the </w:t>
      </w:r>
      <w:hyperlink r:id="rId13" w:tooltip="United States" w:history="1">
        <w:r w:rsidRPr="007D02DE">
          <w:rPr>
            <w:rStyle w:val="Hyperlink"/>
            <w:rFonts w:asciiTheme="majorHAnsi" w:hAnsiTheme="majorHAnsi" w:cs="Arial"/>
            <w:b/>
            <w:bCs/>
            <w:color w:val="0D0D0D" w:themeColor="text1" w:themeTint="F2"/>
            <w:sz w:val="24"/>
            <w:szCs w:val="24"/>
            <w:u w:val="none"/>
            <w:lang w:val="en-US"/>
          </w:rPr>
          <w:t>United States</w:t>
        </w:r>
      </w:hyperlink>
      <w:r w:rsidRPr="007D02DE">
        <w:rPr>
          <w:rFonts w:asciiTheme="majorHAnsi" w:hAnsiTheme="majorHAnsi" w:cs="Arial"/>
          <w:b/>
          <w:bCs/>
          <w:color w:val="0D0D0D" w:themeColor="text1" w:themeTint="F2"/>
          <w:sz w:val="24"/>
          <w:szCs w:val="24"/>
          <w:lang w:val="en-US"/>
        </w:rPr>
        <w:t> and </w:t>
      </w:r>
      <w:hyperlink r:id="rId14" w:tooltip="Europe" w:history="1">
        <w:r w:rsidRPr="007D02DE">
          <w:rPr>
            <w:rStyle w:val="Hyperlink"/>
            <w:rFonts w:asciiTheme="majorHAnsi" w:hAnsiTheme="majorHAnsi" w:cs="Arial"/>
            <w:b/>
            <w:bCs/>
            <w:color w:val="0D0D0D" w:themeColor="text1" w:themeTint="F2"/>
            <w:sz w:val="24"/>
            <w:szCs w:val="24"/>
            <w:u w:val="none"/>
            <w:lang w:val="en-US"/>
          </w:rPr>
          <w:t>Europe</w:t>
        </w:r>
      </w:hyperlink>
      <w:r w:rsidRPr="007D02DE">
        <w:rPr>
          <w:rFonts w:asciiTheme="majorHAnsi" w:hAnsiTheme="majorHAnsi" w:cs="Arial"/>
          <w:b/>
          <w:bCs/>
          <w:color w:val="0D0D0D" w:themeColor="text1" w:themeTint="F2"/>
          <w:sz w:val="24"/>
          <w:szCs w:val="24"/>
          <w:lang w:val="en-US"/>
        </w:rPr>
        <w:t> are </w:t>
      </w:r>
      <w:hyperlink r:id="rId15" w:tooltip="Route of administration" w:history="1">
        <w:r w:rsidRPr="007D02DE">
          <w:rPr>
            <w:rStyle w:val="Hyperlink"/>
            <w:rFonts w:asciiTheme="majorHAnsi" w:hAnsiTheme="majorHAnsi" w:cs="Arial"/>
            <w:b/>
            <w:bCs/>
            <w:color w:val="0D0D0D" w:themeColor="text1" w:themeTint="F2"/>
            <w:sz w:val="24"/>
            <w:szCs w:val="24"/>
            <w:u w:val="none"/>
            <w:lang w:val="en-US"/>
          </w:rPr>
          <w:t>orally administered</w:t>
        </w:r>
      </w:hyperlink>
      <w:r w:rsidR="007D02DE" w:rsidRPr="007D02DE">
        <w:rPr>
          <w:rFonts w:asciiTheme="majorHAnsi" w:hAnsiTheme="majorHAnsi" w:cs="Arial"/>
          <w:b/>
          <w:bCs/>
          <w:color w:val="0D0D0D" w:themeColor="text1" w:themeTint="F2"/>
          <w:sz w:val="24"/>
          <w:szCs w:val="24"/>
          <w:lang w:val="en-US"/>
        </w:rPr>
        <w:t>.</w:t>
      </w:r>
    </w:p>
    <w:p w14:paraId="5B3C2E1E" w14:textId="77777777" w:rsidR="007D02DE" w:rsidRPr="00C974D4" w:rsidRDefault="00C974D4" w:rsidP="00C974D4">
      <w:pPr>
        <w:jc w:val="both"/>
        <w:rPr>
          <w:rFonts w:asciiTheme="majorHAnsi" w:hAnsiTheme="majorHAnsi"/>
          <w:b/>
          <w:bCs/>
          <w:i/>
          <w:iCs/>
          <w:color w:val="1F3864" w:themeColor="accent5" w:themeShade="80"/>
          <w:sz w:val="24"/>
          <w:szCs w:val="24"/>
          <w:u w:val="single"/>
          <w:lang w:val="en-US"/>
        </w:rPr>
      </w:pPr>
      <w:r w:rsidRPr="00C974D4">
        <w:rPr>
          <w:rFonts w:asciiTheme="majorHAnsi" w:hAnsiTheme="majorHAnsi"/>
          <w:b/>
          <w:bCs/>
          <w:i/>
          <w:iCs/>
          <w:color w:val="1F3864" w:themeColor="accent5" w:themeShade="80"/>
          <w:sz w:val="24"/>
          <w:szCs w:val="24"/>
          <w:u w:val="single"/>
          <w:lang w:val="en-US"/>
        </w:rPr>
        <w:t>03-01/ BCS classification</w:t>
      </w:r>
    </w:p>
    <w:p w14:paraId="2EC21495" w14:textId="77777777" w:rsidR="007D02DE" w:rsidRPr="00C974D4" w:rsidRDefault="007D02DE" w:rsidP="00C974D4">
      <w:pPr>
        <w:pStyle w:val="NormalWeb"/>
        <w:shd w:val="clear" w:color="auto" w:fill="FFFFFF"/>
        <w:spacing w:before="120" w:beforeAutospacing="0" w:after="120" w:afterAutospacing="0"/>
        <w:ind w:firstLine="567"/>
        <w:rPr>
          <w:rFonts w:asciiTheme="majorHAnsi" w:hAnsiTheme="majorHAnsi" w:cs="Arial"/>
          <w:b/>
          <w:bCs/>
          <w:color w:val="0D0D0D" w:themeColor="text1" w:themeTint="F2"/>
          <w:lang w:val="en-US"/>
        </w:rPr>
      </w:pPr>
      <w:r w:rsidRPr="00C974D4">
        <w:rPr>
          <w:rFonts w:asciiTheme="majorHAnsi" w:hAnsiTheme="majorHAnsi" w:cs="Arial"/>
          <w:b/>
          <w:bCs/>
          <w:color w:val="0D0D0D" w:themeColor="text1" w:themeTint="F2"/>
          <w:lang w:val="en-US"/>
        </w:rPr>
        <w:t>According to the Biopharmaceutical Classification System (BCS) drug substances are classified to four classes upon their solubility and permeability</w:t>
      </w:r>
      <w:r w:rsidR="00C974D4" w:rsidRPr="00C974D4">
        <w:rPr>
          <w:rFonts w:asciiTheme="majorHAnsi" w:hAnsiTheme="majorHAnsi" w:cs="Arial"/>
          <w:b/>
          <w:bCs/>
          <w:color w:val="0D0D0D" w:themeColor="text1" w:themeTint="F2"/>
          <w:lang w:val="en-US"/>
        </w:rPr>
        <w:t xml:space="preserve">. </w:t>
      </w:r>
    </w:p>
    <w:p w14:paraId="669C703E" w14:textId="77777777"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 - high </w:t>
      </w:r>
      <w:hyperlink r:id="rId16" w:tooltip="Intestinal permeability" w:history="1">
        <w:r w:rsidRPr="00C974D4">
          <w:rPr>
            <w:rStyle w:val="Hyperlink"/>
            <w:rFonts w:asciiTheme="majorHAnsi" w:hAnsiTheme="majorHAnsi" w:cs="Arial"/>
            <w:b/>
            <w:bCs/>
            <w:color w:val="0D0D0D" w:themeColor="text1" w:themeTint="F2"/>
            <w:sz w:val="24"/>
            <w:szCs w:val="24"/>
            <w:u w:val="none"/>
            <w:lang w:val="en-US"/>
          </w:rPr>
          <w:t>permeability</w:t>
        </w:r>
      </w:hyperlink>
      <w:r w:rsidRPr="00C974D4">
        <w:rPr>
          <w:rFonts w:asciiTheme="majorHAnsi" w:hAnsiTheme="majorHAnsi" w:cs="Arial"/>
          <w:b/>
          <w:bCs/>
          <w:color w:val="0D0D0D" w:themeColor="text1" w:themeTint="F2"/>
          <w:sz w:val="24"/>
          <w:szCs w:val="24"/>
          <w:lang w:val="en-US"/>
        </w:rPr>
        <w:t>, high </w:t>
      </w:r>
      <w:hyperlink r:id="rId17" w:tooltip="Solubility" w:history="1">
        <w:r w:rsidRPr="00C974D4">
          <w:rPr>
            <w:rStyle w:val="Hyperlink"/>
            <w:rFonts w:asciiTheme="majorHAnsi" w:hAnsiTheme="majorHAnsi" w:cs="Arial"/>
            <w:b/>
            <w:bCs/>
            <w:color w:val="0D0D0D" w:themeColor="text1" w:themeTint="F2"/>
            <w:sz w:val="24"/>
            <w:szCs w:val="24"/>
            <w:u w:val="none"/>
            <w:lang w:val="en-US"/>
          </w:rPr>
          <w:t>solubility</w:t>
        </w:r>
      </w:hyperlink>
    </w:p>
    <w:p w14:paraId="1A8AEBBE"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r w:rsidRPr="00C974D4">
        <w:rPr>
          <w:rFonts w:asciiTheme="majorHAnsi" w:hAnsiTheme="majorHAnsi" w:cs="Arial"/>
          <w:b/>
          <w:bCs/>
          <w:color w:val="0D0D0D" w:themeColor="text1" w:themeTint="F2"/>
          <w:sz w:val="24"/>
          <w:szCs w:val="24"/>
        </w:rPr>
        <w:t>Example: </w:t>
      </w:r>
      <w:hyperlink r:id="rId18" w:tooltip="Metoprolol" w:history="1">
        <w:r w:rsidRPr="00C974D4">
          <w:rPr>
            <w:rStyle w:val="Hyperlink"/>
            <w:rFonts w:asciiTheme="majorHAnsi" w:hAnsiTheme="majorHAnsi" w:cs="Arial"/>
            <w:b/>
            <w:bCs/>
            <w:color w:val="0D0D0D" w:themeColor="text1" w:themeTint="F2"/>
            <w:sz w:val="24"/>
            <w:szCs w:val="24"/>
            <w:u w:val="none"/>
          </w:rPr>
          <w:t>metoprolol</w:t>
        </w:r>
      </w:hyperlink>
      <w:r w:rsidRPr="00C974D4">
        <w:rPr>
          <w:rFonts w:asciiTheme="majorHAnsi" w:hAnsiTheme="majorHAnsi" w:cs="Arial"/>
          <w:b/>
          <w:bCs/>
          <w:color w:val="0D0D0D" w:themeColor="text1" w:themeTint="F2"/>
          <w:sz w:val="24"/>
          <w:szCs w:val="24"/>
        </w:rPr>
        <w:t>, </w:t>
      </w:r>
      <w:hyperlink r:id="rId19" w:tooltip="Paracetamol" w:history="1">
        <w:r w:rsidRPr="00C974D4">
          <w:rPr>
            <w:rStyle w:val="Hyperlink"/>
            <w:rFonts w:asciiTheme="majorHAnsi" w:hAnsiTheme="majorHAnsi" w:cs="Arial"/>
            <w:b/>
            <w:bCs/>
            <w:color w:val="0D0D0D" w:themeColor="text1" w:themeTint="F2"/>
            <w:sz w:val="24"/>
            <w:szCs w:val="24"/>
            <w:u w:val="none"/>
          </w:rPr>
          <w:t>paracetamol</w:t>
        </w:r>
      </w:hyperlink>
      <w:hyperlink r:id="rId20" w:anchor="cite_note-2" w:history="1">
        <w:r w:rsidRPr="00C974D4">
          <w:rPr>
            <w:rStyle w:val="Hyperlink"/>
            <w:rFonts w:asciiTheme="majorHAnsi" w:hAnsiTheme="majorHAnsi" w:cs="Arial"/>
            <w:b/>
            <w:bCs/>
            <w:color w:val="0D0D0D" w:themeColor="text1" w:themeTint="F2"/>
            <w:sz w:val="24"/>
            <w:szCs w:val="24"/>
            <w:u w:val="none"/>
            <w:vertAlign w:val="superscript"/>
          </w:rPr>
          <w:t>[2]</w:t>
        </w:r>
      </w:hyperlink>
    </w:p>
    <w:p w14:paraId="5E829D1B"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Those compounds are well absorbed and their absorption rate is usually higher than excretion.</w:t>
      </w:r>
    </w:p>
    <w:p w14:paraId="53D200C8" w14:textId="77777777"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lastRenderedPageBreak/>
        <w:t>Class II - high permeability, low solubility</w:t>
      </w:r>
    </w:p>
    <w:p w14:paraId="3A74C8AE"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r w:rsidRPr="00C974D4">
        <w:rPr>
          <w:rFonts w:asciiTheme="majorHAnsi" w:hAnsiTheme="majorHAnsi" w:cs="Arial"/>
          <w:b/>
          <w:bCs/>
          <w:color w:val="0D0D0D" w:themeColor="text1" w:themeTint="F2"/>
          <w:sz w:val="24"/>
          <w:szCs w:val="24"/>
        </w:rPr>
        <w:t>Example: </w:t>
      </w:r>
      <w:hyperlink r:id="rId21" w:tooltip="Glibenclamide" w:history="1">
        <w:r w:rsidRPr="00C974D4">
          <w:rPr>
            <w:rStyle w:val="Hyperlink"/>
            <w:rFonts w:asciiTheme="majorHAnsi" w:hAnsiTheme="majorHAnsi" w:cs="Arial"/>
            <w:b/>
            <w:bCs/>
            <w:color w:val="0D0D0D" w:themeColor="text1" w:themeTint="F2"/>
            <w:sz w:val="24"/>
            <w:szCs w:val="24"/>
            <w:u w:val="none"/>
          </w:rPr>
          <w:t>glibenclamide</w:t>
        </w:r>
      </w:hyperlink>
      <w:r w:rsidRPr="00C974D4">
        <w:rPr>
          <w:rFonts w:asciiTheme="majorHAnsi" w:hAnsiTheme="majorHAnsi" w:cs="Arial"/>
          <w:b/>
          <w:bCs/>
          <w:color w:val="0D0D0D" w:themeColor="text1" w:themeTint="F2"/>
          <w:sz w:val="24"/>
          <w:szCs w:val="24"/>
        </w:rPr>
        <w:t>, </w:t>
      </w:r>
      <w:hyperlink r:id="rId22" w:tooltip="Bicalutamide" w:history="1">
        <w:r w:rsidRPr="00C974D4">
          <w:rPr>
            <w:rStyle w:val="Hyperlink"/>
            <w:rFonts w:asciiTheme="majorHAnsi" w:hAnsiTheme="majorHAnsi" w:cs="Arial"/>
            <w:b/>
            <w:bCs/>
            <w:color w:val="0D0D0D" w:themeColor="text1" w:themeTint="F2"/>
            <w:sz w:val="24"/>
            <w:szCs w:val="24"/>
            <w:u w:val="none"/>
          </w:rPr>
          <w:t>bicalutamide</w:t>
        </w:r>
      </w:hyperlink>
      <w:r w:rsidRPr="00C974D4">
        <w:rPr>
          <w:rFonts w:asciiTheme="majorHAnsi" w:hAnsiTheme="majorHAnsi" w:cs="Arial"/>
          <w:b/>
          <w:bCs/>
          <w:color w:val="0D0D0D" w:themeColor="text1" w:themeTint="F2"/>
          <w:sz w:val="24"/>
          <w:szCs w:val="24"/>
        </w:rPr>
        <w:t>, </w:t>
      </w:r>
      <w:hyperlink r:id="rId23" w:tooltip="Ezetimibe" w:history="1">
        <w:r w:rsidRPr="00C974D4">
          <w:rPr>
            <w:rStyle w:val="Hyperlink"/>
            <w:rFonts w:asciiTheme="majorHAnsi" w:hAnsiTheme="majorHAnsi" w:cs="Arial"/>
            <w:b/>
            <w:bCs/>
            <w:color w:val="0D0D0D" w:themeColor="text1" w:themeTint="F2"/>
            <w:sz w:val="24"/>
            <w:szCs w:val="24"/>
            <w:u w:val="none"/>
          </w:rPr>
          <w:t>ezetimibe</w:t>
        </w:r>
      </w:hyperlink>
      <w:r w:rsidRPr="00C974D4">
        <w:rPr>
          <w:rFonts w:asciiTheme="majorHAnsi" w:hAnsiTheme="majorHAnsi" w:cs="Arial"/>
          <w:b/>
          <w:bCs/>
          <w:color w:val="0D0D0D" w:themeColor="text1" w:themeTint="F2"/>
          <w:sz w:val="24"/>
          <w:szCs w:val="24"/>
        </w:rPr>
        <w:t>, </w:t>
      </w:r>
      <w:hyperlink r:id="rId24" w:tooltip="Aceclofenac" w:history="1">
        <w:r w:rsidRPr="00C974D4">
          <w:rPr>
            <w:rStyle w:val="Hyperlink"/>
            <w:rFonts w:asciiTheme="majorHAnsi" w:hAnsiTheme="majorHAnsi" w:cs="Arial"/>
            <w:b/>
            <w:bCs/>
            <w:color w:val="0D0D0D" w:themeColor="text1" w:themeTint="F2"/>
            <w:sz w:val="24"/>
            <w:szCs w:val="24"/>
            <w:u w:val="none"/>
          </w:rPr>
          <w:t>aceclofenac</w:t>
        </w:r>
      </w:hyperlink>
    </w:p>
    <w:p w14:paraId="2D4394C0"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The </w:t>
      </w:r>
      <w:hyperlink r:id="rId25" w:tooltip="Bioavailability" w:history="1">
        <w:r w:rsidRPr="00C974D4">
          <w:rPr>
            <w:rStyle w:val="Hyperlink"/>
            <w:rFonts w:asciiTheme="majorHAnsi" w:hAnsiTheme="majorHAnsi" w:cs="Arial"/>
            <w:b/>
            <w:bCs/>
            <w:color w:val="0D0D0D" w:themeColor="text1" w:themeTint="F2"/>
            <w:sz w:val="24"/>
            <w:szCs w:val="24"/>
            <w:u w:val="none"/>
            <w:lang w:val="en-US"/>
          </w:rPr>
          <w:t>bioavailability</w:t>
        </w:r>
      </w:hyperlink>
      <w:r w:rsidRPr="00C974D4">
        <w:rPr>
          <w:rFonts w:asciiTheme="majorHAnsi" w:hAnsiTheme="majorHAnsi" w:cs="Arial"/>
          <w:b/>
          <w:bCs/>
          <w:color w:val="0D0D0D" w:themeColor="text1" w:themeTint="F2"/>
          <w:sz w:val="24"/>
          <w:szCs w:val="24"/>
          <w:lang w:val="en-US"/>
        </w:rPr>
        <w:t> of those products is limited by their solvation rate. A correlation between the </w:t>
      </w:r>
      <w:hyperlink r:id="rId26" w:tooltip="In vivo" w:history="1">
        <w:r w:rsidRPr="00C974D4">
          <w:rPr>
            <w:rStyle w:val="Hyperlink"/>
            <w:rFonts w:asciiTheme="majorHAnsi" w:hAnsiTheme="majorHAnsi" w:cs="Arial"/>
            <w:b/>
            <w:bCs/>
            <w:i/>
            <w:iCs/>
            <w:color w:val="0D0D0D" w:themeColor="text1" w:themeTint="F2"/>
            <w:sz w:val="24"/>
            <w:szCs w:val="24"/>
            <w:u w:val="none"/>
            <w:lang w:val="en-US"/>
          </w:rPr>
          <w:t>in vivo</w:t>
        </w:r>
      </w:hyperlink>
      <w:r w:rsidRPr="00C974D4">
        <w:rPr>
          <w:rFonts w:asciiTheme="majorHAnsi" w:hAnsiTheme="majorHAnsi" w:cs="Arial"/>
          <w:b/>
          <w:bCs/>
          <w:color w:val="0D0D0D" w:themeColor="text1" w:themeTint="F2"/>
          <w:sz w:val="24"/>
          <w:szCs w:val="24"/>
          <w:lang w:val="en-US"/>
        </w:rPr>
        <w:t> bioavailability and the </w:t>
      </w:r>
      <w:hyperlink r:id="rId27" w:tooltip="In vitro" w:history="1">
        <w:r w:rsidRPr="00C974D4">
          <w:rPr>
            <w:rStyle w:val="Hyperlink"/>
            <w:rFonts w:asciiTheme="majorHAnsi" w:hAnsiTheme="majorHAnsi" w:cs="Arial"/>
            <w:b/>
            <w:bCs/>
            <w:i/>
            <w:iCs/>
            <w:color w:val="0D0D0D" w:themeColor="text1" w:themeTint="F2"/>
            <w:sz w:val="24"/>
            <w:szCs w:val="24"/>
            <w:u w:val="none"/>
            <w:lang w:val="en-US"/>
          </w:rPr>
          <w:t>in vitro</w:t>
        </w:r>
      </w:hyperlink>
      <w:r w:rsidRPr="00C974D4">
        <w:rPr>
          <w:rFonts w:asciiTheme="majorHAnsi" w:hAnsiTheme="majorHAnsi" w:cs="Arial"/>
          <w:b/>
          <w:bCs/>
          <w:color w:val="0D0D0D" w:themeColor="text1" w:themeTint="F2"/>
          <w:sz w:val="24"/>
          <w:szCs w:val="24"/>
          <w:lang w:val="en-US"/>
        </w:rPr>
        <w:t> solvation can be found.</w:t>
      </w:r>
    </w:p>
    <w:p w14:paraId="14AE65EA" w14:textId="77777777"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III - low permeability, high solubility</w:t>
      </w:r>
    </w:p>
    <w:p w14:paraId="01888586"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r w:rsidRPr="00C974D4">
        <w:rPr>
          <w:rFonts w:asciiTheme="majorHAnsi" w:hAnsiTheme="majorHAnsi" w:cs="Arial"/>
          <w:b/>
          <w:bCs/>
          <w:color w:val="0D0D0D" w:themeColor="text1" w:themeTint="F2"/>
          <w:sz w:val="24"/>
          <w:szCs w:val="24"/>
        </w:rPr>
        <w:t>Example: </w:t>
      </w:r>
      <w:hyperlink r:id="rId28" w:tooltip="Cimetidine" w:history="1">
        <w:r w:rsidRPr="00C974D4">
          <w:rPr>
            <w:rStyle w:val="Hyperlink"/>
            <w:rFonts w:asciiTheme="majorHAnsi" w:hAnsiTheme="majorHAnsi" w:cs="Arial"/>
            <w:b/>
            <w:bCs/>
            <w:color w:val="0D0D0D" w:themeColor="text1" w:themeTint="F2"/>
            <w:sz w:val="24"/>
            <w:szCs w:val="24"/>
            <w:u w:val="none"/>
          </w:rPr>
          <w:t>cimetidine</w:t>
        </w:r>
      </w:hyperlink>
    </w:p>
    <w:p w14:paraId="6D770C0A"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The absorption is limited by the permeation rate but the drug is solvated very fast. If the formulation does not change the permeability or gastro-intestinal duration time, then class I criteria can be applied.</w:t>
      </w:r>
    </w:p>
    <w:p w14:paraId="0B15DBD7" w14:textId="77777777"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IV - low permeability, low solubility</w:t>
      </w:r>
    </w:p>
    <w:p w14:paraId="609F7E07"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r w:rsidRPr="00C974D4">
        <w:rPr>
          <w:rFonts w:asciiTheme="majorHAnsi" w:hAnsiTheme="majorHAnsi" w:cs="Arial"/>
          <w:b/>
          <w:bCs/>
          <w:color w:val="0D0D0D" w:themeColor="text1" w:themeTint="F2"/>
          <w:sz w:val="24"/>
          <w:szCs w:val="24"/>
        </w:rPr>
        <w:t>Example: </w:t>
      </w:r>
      <w:hyperlink r:id="rId29" w:tooltip="Bifonazole" w:history="1">
        <w:r w:rsidRPr="00C974D4">
          <w:rPr>
            <w:rStyle w:val="Hyperlink"/>
            <w:rFonts w:asciiTheme="majorHAnsi" w:hAnsiTheme="majorHAnsi" w:cs="Arial"/>
            <w:b/>
            <w:bCs/>
            <w:color w:val="0D0D0D" w:themeColor="text1" w:themeTint="F2"/>
            <w:sz w:val="24"/>
            <w:szCs w:val="24"/>
            <w:u w:val="none"/>
          </w:rPr>
          <w:t>Bifonazole</w:t>
        </w:r>
      </w:hyperlink>
    </w:p>
    <w:p w14:paraId="61B2B1DA" w14:textId="77777777"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Those compounds have a poor bioavailability. Usually they are not well absorbed over the intestinal mucosa and a high variability is expected.</w:t>
      </w:r>
    </w:p>
    <w:p w14:paraId="1F5DD3D6" w14:textId="77777777" w:rsidR="00686AF1" w:rsidRDefault="00686AF1" w:rsidP="004C6708">
      <w:pPr>
        <w:jc w:val="both"/>
        <w:rPr>
          <w:rFonts w:asciiTheme="majorHAnsi" w:hAnsiTheme="majorHAnsi"/>
          <w:b/>
          <w:bCs/>
          <w:sz w:val="24"/>
          <w:szCs w:val="24"/>
          <w:lang w:val="en-US"/>
        </w:rPr>
      </w:pPr>
    </w:p>
    <w:p w14:paraId="6D9471D6" w14:textId="77777777" w:rsidR="00C974D4" w:rsidRPr="004C5EFE" w:rsidRDefault="00C974D4" w:rsidP="00C974D4">
      <w:pPr>
        <w:jc w:val="both"/>
        <w:rPr>
          <w:rFonts w:asciiTheme="majorHAnsi" w:hAnsiTheme="majorHAnsi"/>
          <w:b/>
          <w:bCs/>
          <w:i/>
          <w:iCs/>
          <w:color w:val="1F3864" w:themeColor="accent5" w:themeShade="80"/>
          <w:sz w:val="36"/>
          <w:szCs w:val="36"/>
          <w:u w:val="single"/>
          <w:lang w:val="en-US"/>
        </w:rPr>
      </w:pPr>
      <w:r w:rsidRPr="004C5EFE">
        <w:rPr>
          <w:rFonts w:asciiTheme="majorHAnsi" w:hAnsiTheme="majorHAnsi"/>
          <w:b/>
          <w:bCs/>
          <w:i/>
          <w:iCs/>
          <w:color w:val="1F3864" w:themeColor="accent5" w:themeShade="80"/>
          <w:sz w:val="28"/>
          <w:szCs w:val="28"/>
          <w:u w:val="single"/>
          <w:lang w:val="en-US"/>
        </w:rPr>
        <w:t>04/ Dissociation coefficient, partition coefficient</w:t>
      </w:r>
    </w:p>
    <w:p w14:paraId="72E00850" w14:textId="77777777" w:rsidR="00AA7B36" w:rsidRDefault="00AA7B36" w:rsidP="00AA7B36">
      <w:pPr>
        <w:pStyle w:val="NormalWeb"/>
        <w:shd w:val="clear" w:color="auto" w:fill="FFFFFF"/>
        <w:spacing w:before="0" w:beforeAutospacing="0" w:after="0" w:afterAutospacing="0"/>
        <w:ind w:firstLine="708"/>
        <w:rPr>
          <w:rFonts w:asciiTheme="majorHAnsi" w:eastAsiaTheme="minorHAnsi" w:hAnsiTheme="majorHAnsi" w:cstheme="minorBidi"/>
          <w:b/>
          <w:bCs/>
          <w:color w:val="0D0D0D" w:themeColor="text1" w:themeTint="F2"/>
          <w:lang w:val="en-US" w:eastAsia="en-US"/>
        </w:rPr>
      </w:pPr>
      <w:r w:rsidRPr="00AA7B36">
        <w:rPr>
          <w:rFonts w:asciiTheme="majorHAnsi" w:eastAsiaTheme="minorHAnsi" w:hAnsiTheme="majorHAnsi" w:cstheme="minorBidi"/>
          <w:b/>
          <w:bCs/>
          <w:color w:val="0D0D0D" w:themeColor="text1" w:themeTint="F2"/>
          <w:lang w:val="en-US" w:eastAsia="en-US"/>
        </w:rPr>
        <w:t>Drug distribution refers to the passage of drug from blood to tissues, or from tissues to blood and the drug levels in different tissues.</w:t>
      </w:r>
    </w:p>
    <w:p w14:paraId="17ABE2B8" w14:textId="77777777" w:rsidR="00AA7B36" w:rsidRPr="00AA7B36" w:rsidRDefault="00AA7B36" w:rsidP="00AA7B36">
      <w:pPr>
        <w:pStyle w:val="NormalWeb"/>
        <w:shd w:val="clear" w:color="auto" w:fill="FFFFFF"/>
        <w:spacing w:before="0" w:beforeAutospacing="0" w:after="0" w:afterAutospacing="0"/>
        <w:ind w:firstLine="708"/>
        <w:rPr>
          <w:rFonts w:asciiTheme="majorHAnsi" w:eastAsiaTheme="minorHAnsi" w:hAnsiTheme="majorHAnsi" w:cstheme="minorBidi"/>
          <w:b/>
          <w:bCs/>
          <w:color w:val="0D0D0D" w:themeColor="text1" w:themeTint="F2"/>
          <w:lang w:val="en-US" w:eastAsia="en-US"/>
        </w:rPr>
      </w:pPr>
    </w:p>
    <w:p w14:paraId="382577D9" w14:textId="77777777"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After entering the bloodstream (see Drug Absorption), the drug circulates quickly throughout the body; the average time for blood circulation is one minute. As the blood circulates, the medication moves from the blood compartment to the body's tissues.</w:t>
      </w:r>
    </w:p>
    <w:p w14:paraId="107392DB" w14:textId="77777777"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Once absorbed, most drugs are not distributed evenly throughout the body.</w:t>
      </w:r>
    </w:p>
    <w:p w14:paraId="3CD598ED" w14:textId="77777777"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-Water-soluble medications (water-soluble medications), such as the antihypertensive drug atenolol, tend to stay inside the blood flow and fluid surrounding cells (interstitial space).</w:t>
      </w:r>
    </w:p>
    <w:p w14:paraId="69588CDE" w14:textId="77777777"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-Fat-soluble drugs (fat-soluble drugs), such as the anxiolytic clorazepate, tend to concentrate in fatty tissues.</w:t>
      </w:r>
    </w:p>
    <w:p w14:paraId="05211983" w14:textId="77777777" w:rsidR="00AA7B36" w:rsidRPr="00AA7B36" w:rsidRDefault="00AA7B36" w:rsidP="00AA7B36">
      <w:pPr>
        <w:pStyle w:val="NormalWeb"/>
        <w:shd w:val="clear" w:color="auto" w:fill="FFFFFF"/>
        <w:spacing w:before="0" w:beforeAutospacing="0" w:after="240" w:afterAutospacing="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-Other medications concentrate primarily in a small region of the body (e.g., iodine products are found primarily in the thyroid gland), because certain tissues have a particular ability to attract and retain a particular type of medication (affinity).</w:t>
      </w:r>
    </w:p>
    <w:p w14:paraId="61DC698A" w14:textId="77777777" w:rsidR="004163C2" w:rsidRDefault="00AA7B36" w:rsidP="004163C2">
      <w:pPr>
        <w:pStyle w:val="NormalWeb"/>
        <w:shd w:val="clear" w:color="auto" w:fill="FFFFFF"/>
        <w:spacing w:after="24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Products penetrate different tissues at different rates depending on their ability to cross membranes. For example, the antibiotic rifampicin, a highly fat-soluble drug, quickly penetrates the brain while the antibiotic penicillin, a hydrophilic drug, does not. Usually, fat-soluble drugs can cross cell membranes more quickly than water-soluble drugs. For certain drugs, specific transport mechanisms facilitate their entry or exit from tissues.</w:t>
      </w:r>
      <w:r w:rsidR="004163C2">
        <w:rPr>
          <w:rFonts w:asciiTheme="majorHAnsi" w:hAnsiTheme="majorHAnsi" w:cs="Arial"/>
          <w:b/>
          <w:bCs/>
          <w:color w:val="000000"/>
          <w:spacing w:val="2"/>
          <w:lang w:val="en-US"/>
        </w:rPr>
        <w:t xml:space="preserve"> </w:t>
      </w:r>
      <w:r w:rsidRPr="00AA7B36">
        <w:rPr>
          <w:rFonts w:asciiTheme="majorHAnsi" w:hAnsiTheme="majorHAnsi" w:cs="Arial"/>
          <w:b/>
          <w:bCs/>
          <w:color w:val="000000"/>
          <w:spacing w:val="2"/>
          <w:lang w:val="en-US"/>
        </w:rPr>
        <w:t>Because they bind strongly to proteins circulating in the blood, some drugs leave the bloodstream only very slowly. Others, less firmly bound to plasma proteins, leave it quickly to enter the tissues.</w:t>
      </w:r>
    </w:p>
    <w:p w14:paraId="5FC9C0C0" w14:textId="77777777" w:rsidR="00AA7B36" w:rsidRPr="00AA7B36" w:rsidRDefault="00AA7B36" w:rsidP="004163C2">
      <w:pPr>
        <w:pStyle w:val="NormalWeb"/>
        <w:shd w:val="clear" w:color="auto" w:fill="FFFFFF"/>
        <w:tabs>
          <w:tab w:val="left" w:pos="567"/>
        </w:tabs>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 xml:space="preserve"> </w:t>
      </w:r>
      <w:r w:rsidR="004163C2">
        <w:rPr>
          <w:rFonts w:asciiTheme="majorHAnsi" w:hAnsiTheme="majorHAnsi" w:cs="Arial"/>
          <w:b/>
          <w:bCs/>
          <w:color w:val="000000"/>
          <w:spacing w:val="2"/>
          <w:lang w:val="en-US"/>
        </w:rPr>
        <w:tab/>
      </w:r>
      <w:r w:rsidRPr="00AA7B36">
        <w:rPr>
          <w:rFonts w:asciiTheme="majorHAnsi" w:hAnsiTheme="majorHAnsi" w:cs="Arial"/>
          <w:b/>
          <w:bCs/>
          <w:color w:val="000000"/>
          <w:spacing w:val="2"/>
          <w:lang w:val="en-US"/>
        </w:rPr>
        <w:t xml:space="preserve">Virtually all drug molecules passed into the blood can be bound to plasma proteins. The protein-bound fraction of the drug is generally inactive. When the unbound drug is distributed into the tissues and its proportion in the blood decreases, the plasma proteins gradually release the </w:t>
      </w:r>
      <w:r w:rsidRPr="00AA7B36">
        <w:rPr>
          <w:rFonts w:asciiTheme="majorHAnsi" w:hAnsiTheme="majorHAnsi" w:cs="Arial"/>
          <w:b/>
          <w:bCs/>
          <w:color w:val="000000"/>
          <w:spacing w:val="2"/>
          <w:lang w:val="en-US"/>
        </w:rPr>
        <w:lastRenderedPageBreak/>
        <w:t>fraction of product bound to them. Thus, the drug retained in the blood compartment can act as a reservoir.</w:t>
      </w:r>
    </w:p>
    <w:p w14:paraId="59F47BFC" w14:textId="77777777" w:rsidR="00AA7B36" w:rsidRPr="00AA7B36" w:rsidRDefault="00AA7B36" w:rsidP="004163C2">
      <w:pPr>
        <w:pStyle w:val="NormalWeb"/>
        <w:shd w:val="clear" w:color="auto" w:fill="FFFFFF"/>
        <w:spacing w:after="24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Some drugs accumulate in certain tissues (e.g., digoxin accumulates in cardiac and skeletal muscles), which can then serve as reservoirs for additional drug. These slowly release the drug into the bloodstream, preventing its presence in the blood from dropping quickly. Some medications, such as those stored in fatty tissue, leave the tissue so slowly that they remain in the bloodstream for several days after treatment stops.</w:t>
      </w:r>
    </w:p>
    <w:p w14:paraId="13456484" w14:textId="77777777" w:rsidR="00AA7B36" w:rsidRDefault="00AA7B36" w:rsidP="00AA7B36">
      <w:pPr>
        <w:pStyle w:val="NormalWeb"/>
        <w:shd w:val="clear" w:color="auto" w:fill="FFFFFF"/>
        <w:spacing w:before="0" w:beforeAutospacing="0" w:after="240" w:afterAutospacing="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The distribution of a medication can also vary from person to person. For example, obese people are likely to store larger amounts of lipophilic drugs than lean people, who can only store a relatively small amount. Older people, even those who are lean, can accumulate large amounts of lipophilic drugs as body fat increases with age.</w:t>
      </w:r>
    </w:p>
    <w:p w14:paraId="682DD9FE" w14:textId="77777777" w:rsidR="006F3DCD" w:rsidRPr="006F3DCD" w:rsidRDefault="006F3DCD" w:rsidP="006F3DCD">
      <w:pPr>
        <w:jc w:val="both"/>
        <w:rPr>
          <w:rFonts w:asciiTheme="majorHAnsi" w:hAnsiTheme="majorHAnsi"/>
          <w:b/>
          <w:bCs/>
          <w:i/>
          <w:iCs/>
          <w:color w:val="1F3864" w:themeColor="accent5" w:themeShade="80"/>
          <w:sz w:val="36"/>
          <w:szCs w:val="36"/>
          <w:u w:val="single"/>
          <w:lang w:val="en-GB"/>
        </w:rPr>
      </w:pPr>
      <w:r w:rsidRPr="006F3DCD">
        <w:rPr>
          <w:rFonts w:asciiTheme="majorHAnsi" w:hAnsiTheme="majorHAnsi"/>
          <w:b/>
          <w:bCs/>
          <w:i/>
          <w:iCs/>
          <w:color w:val="1F3864" w:themeColor="accent5" w:themeShade="80"/>
          <w:sz w:val="28"/>
          <w:szCs w:val="28"/>
          <w:u w:val="single"/>
          <w:lang w:val="en-GB"/>
        </w:rPr>
        <w:t>05/ Regulating Active Pharmaceutical Ingredients</w:t>
      </w:r>
    </w:p>
    <w:p w14:paraId="4210CE66" w14:textId="77777777" w:rsidR="006F3DCD" w:rsidRPr="006F3DCD" w:rsidRDefault="006F3DCD" w:rsidP="006F3DCD">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 safety and effectiveness of drug products are directly impacted by the caliber of its active components and are ensured through process optimization. In numerous cases over the past few decades, subpar API Process Development and production as well as tainted active components have been linked to adverse health effects, including death. Because of this, regulatory procedures and approvals of active ingredients have been made more stringent in most of the countries across the globe.</w:t>
      </w:r>
    </w:p>
    <w:p w14:paraId="19CAF2D4" w14:textId="77777777" w:rsidR="006F3DCD" w:rsidRPr="006F3DCD" w:rsidRDefault="006F3DCD" w:rsidP="00A82B02">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 regulation of active components will strengthen the pharmaceutical drug supply chain, improve the quality and safety of medications for patients, and align a company with global regulatory practices.</w:t>
      </w:r>
    </w:p>
    <w:p w14:paraId="19D26557" w14:textId="77777777" w:rsidR="006F3DCD" w:rsidRPr="006F3DCD" w:rsidRDefault="006F3DCD" w:rsidP="00A82B02">
      <w:pPr>
        <w:pStyle w:val="NormalWeb"/>
        <w:shd w:val="clear" w:color="auto" w:fill="FFFFFF" w:themeFill="background1"/>
        <w:spacing w:before="0" w:beforeAutospacing="0" w:after="0" w:after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Active pharmaceutical ingredients (APIs) are prequalified by an independent process that determines those that are high-quality and produced in accordance with WHO Good Manufacturing Practices (GMP). Prequalification of a Finished Pharmaceutical Product (FPP) for which prequalification is sought is significantly easier if an API that has already received prequalification is employed in its production.</w:t>
      </w:r>
    </w:p>
    <w:p w14:paraId="37868888" w14:textId="77777777" w:rsidR="00AA7B36" w:rsidRDefault="00AA7B36" w:rsidP="00A8601E">
      <w:pPr>
        <w:pStyle w:val="NormalWeb"/>
        <w:shd w:val="clear" w:color="auto" w:fill="FFFFFF"/>
        <w:spacing w:before="0" w:beforeAutospacing="0" w:after="240" w:afterAutospacing="0"/>
        <w:rPr>
          <w:rFonts w:ascii="Arial" w:hAnsi="Arial" w:cs="Arial"/>
          <w:color w:val="000000"/>
          <w:spacing w:val="2"/>
          <w:sz w:val="27"/>
          <w:szCs w:val="27"/>
          <w:lang w:val="en-US"/>
        </w:rPr>
      </w:pPr>
    </w:p>
    <w:p w14:paraId="3F309FA6" w14:textId="77777777" w:rsidR="006F3DCD" w:rsidRPr="006F3DCD" w:rsidRDefault="006F3DCD" w:rsidP="006F3DCD">
      <w:pPr>
        <w:jc w:val="both"/>
        <w:rPr>
          <w:rFonts w:asciiTheme="majorHAnsi" w:hAnsiTheme="majorHAnsi"/>
          <w:b/>
          <w:bCs/>
          <w:i/>
          <w:iCs/>
          <w:color w:val="1F3864" w:themeColor="accent5" w:themeShade="80"/>
          <w:sz w:val="36"/>
          <w:szCs w:val="36"/>
          <w:u w:val="single"/>
          <w:lang w:val="en-GB"/>
        </w:rPr>
      </w:pPr>
      <w:r w:rsidRPr="006F3DCD">
        <w:rPr>
          <w:rFonts w:asciiTheme="majorHAnsi" w:hAnsiTheme="majorHAnsi"/>
          <w:b/>
          <w:bCs/>
          <w:i/>
          <w:iCs/>
          <w:color w:val="1F3864" w:themeColor="accent5" w:themeShade="80"/>
          <w:sz w:val="28"/>
          <w:szCs w:val="28"/>
          <w:u w:val="single"/>
          <w:lang w:val="en-GB"/>
        </w:rPr>
        <w:t>0</w:t>
      </w:r>
      <w:r>
        <w:rPr>
          <w:rFonts w:asciiTheme="majorHAnsi" w:hAnsiTheme="majorHAnsi"/>
          <w:b/>
          <w:bCs/>
          <w:i/>
          <w:iCs/>
          <w:color w:val="1F3864" w:themeColor="accent5" w:themeShade="80"/>
          <w:sz w:val="28"/>
          <w:szCs w:val="28"/>
          <w:u w:val="single"/>
          <w:lang w:val="en-GB"/>
        </w:rPr>
        <w:t>6</w:t>
      </w:r>
      <w:r w:rsidRPr="006F3DCD">
        <w:rPr>
          <w:rFonts w:asciiTheme="majorHAnsi" w:hAnsiTheme="majorHAnsi"/>
          <w:b/>
          <w:bCs/>
          <w:i/>
          <w:iCs/>
          <w:color w:val="1F3864" w:themeColor="accent5" w:themeShade="80"/>
          <w:sz w:val="28"/>
          <w:szCs w:val="28"/>
          <w:u w:val="single"/>
          <w:lang w:val="en-GB"/>
        </w:rPr>
        <w:t xml:space="preserve">/ </w:t>
      </w:r>
      <w:r>
        <w:rPr>
          <w:rFonts w:asciiTheme="majorHAnsi" w:hAnsiTheme="majorHAnsi"/>
          <w:b/>
          <w:bCs/>
          <w:i/>
          <w:iCs/>
          <w:color w:val="1F3864" w:themeColor="accent5" w:themeShade="80"/>
          <w:sz w:val="28"/>
          <w:szCs w:val="28"/>
          <w:u w:val="single"/>
          <w:lang w:val="en-GB"/>
        </w:rPr>
        <w:t>Pha</w:t>
      </w:r>
      <w:r w:rsidR="004C5EFE">
        <w:rPr>
          <w:rFonts w:asciiTheme="majorHAnsi" w:hAnsiTheme="majorHAnsi"/>
          <w:b/>
          <w:bCs/>
          <w:i/>
          <w:iCs/>
          <w:color w:val="1F3864" w:themeColor="accent5" w:themeShade="80"/>
          <w:sz w:val="28"/>
          <w:szCs w:val="28"/>
          <w:u w:val="single"/>
          <w:lang w:val="en-GB"/>
        </w:rPr>
        <w:t>rmaceutical Industry in Algeria</w:t>
      </w:r>
      <w:r>
        <w:rPr>
          <w:rFonts w:asciiTheme="majorHAnsi" w:hAnsiTheme="majorHAnsi"/>
          <w:b/>
          <w:bCs/>
          <w:i/>
          <w:iCs/>
          <w:color w:val="1F3864" w:themeColor="accent5" w:themeShade="80"/>
          <w:sz w:val="28"/>
          <w:szCs w:val="28"/>
          <w:u w:val="single"/>
          <w:lang w:val="en-GB"/>
        </w:rPr>
        <w:t>: cooperation with USA</w:t>
      </w:r>
    </w:p>
    <w:p w14:paraId="47697FC4" w14:textId="77777777"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After years of restricted market access and uncertainty for American pharmaceutical companies, 2021 is finally a year of positive change.  Last year, the Algerian Government established the Ministry of Pharmaceutical Industry (MOPI) and the National Agency for Pharmaceutical Products (ANPP) to help modernize Algeria’s pharmaceutical industry. Since their inception, both organizations have made significant progress in several critical areas identified by industry, including drug pricing procedures, overly burdensome regulations, and a dysfunctional process for establishing and maintaining marketing operations.</w:t>
      </w:r>
    </w:p>
    <w:p w14:paraId="35576196" w14:textId="77777777"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American pharmaceutical exporters should take note of the following market developments when considering entering or expanding in Algeria:</w:t>
      </w:r>
    </w:p>
    <w:p w14:paraId="74479A18" w14:textId="77777777" w:rsidR="006F3DCD" w:rsidRPr="006F3DCD" w:rsidRDefault="006F3DCD" w:rsidP="006F3DCD">
      <w:pPr>
        <w:pStyle w:val="NormalWeb"/>
        <w:numPr>
          <w:ilvl w:val="0"/>
          <w:numId w:val="3"/>
        </w:numPr>
        <w:ind w:left="0" w:firstLine="708"/>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 xml:space="preserve">In December 2020, MOPI issued new regulations to decrease the wait times for registering new drugs dramatically. What used to take up to five years could now take as little as five </w:t>
      </w:r>
      <w:r w:rsidRPr="006F3DCD">
        <w:rPr>
          <w:rFonts w:asciiTheme="majorHAnsi" w:hAnsiTheme="majorHAnsi" w:cs="Arial"/>
          <w:b/>
          <w:bCs/>
          <w:color w:val="0D0D0D" w:themeColor="text1" w:themeTint="F2"/>
          <w:lang w:val="en-US"/>
        </w:rPr>
        <w:lastRenderedPageBreak/>
        <w:t>months for proprietary drugs (four months for technical analysis and one month for pricing) and as little as three months for generic medicines.</w:t>
      </w:r>
    </w:p>
    <w:p w14:paraId="79EF8C6B" w14:textId="77777777" w:rsidR="006F3DCD" w:rsidRPr="006F3DCD" w:rsidRDefault="006F3DCD" w:rsidP="006F3DCD">
      <w:pPr>
        <w:pStyle w:val="NormalWeb"/>
        <w:numPr>
          <w:ilvl w:val="0"/>
          <w:numId w:val="3"/>
        </w:numPr>
        <w:ind w:left="0" w:firstLine="709"/>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At the end of February 2021, MOPI issued regulations that resolved the longstanding issue of representative offices for foreign pharmaceutical companies operating in Algeria. The new regulation permits foreign pharmaceutical companies to market their products locally and establishes clear rules for establishing local pharmaceutical entities. MOPI also allowed for temporary authorizations of up to one year for medicines prescribed to treat serious diseases when there is no equal treatment in the market and when approved by another regulatory body (such as the U.S. Food and Drug Administration). </w:t>
      </w:r>
    </w:p>
    <w:p w14:paraId="75EACEE4" w14:textId="77777777" w:rsidR="00414872"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These positive changes demonstrate MOPI’s desire to improve Algeria’s pharmaceutical industry, and the Commercial Service in Algeria will monitor how these changes impact U.S pharmaceutical companies during the rest of 2021. </w:t>
      </w:r>
    </w:p>
    <w:sectPr w:rsidR="00414872" w:rsidRPr="006F3DCD" w:rsidSect="00931983">
      <w:headerReference w:type="default" r:id="rId30"/>
      <w:footerReference w:type="default" r:id="rId3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67B5" w14:textId="77777777" w:rsidR="00F6569F" w:rsidRDefault="00F6569F" w:rsidP="00AD613E">
      <w:pPr>
        <w:spacing w:after="0" w:line="240" w:lineRule="auto"/>
      </w:pPr>
      <w:r>
        <w:separator/>
      </w:r>
    </w:p>
  </w:endnote>
  <w:endnote w:type="continuationSeparator" w:id="0">
    <w:p w14:paraId="502D4D56" w14:textId="77777777" w:rsidR="00F6569F" w:rsidRDefault="00F6569F"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E1D2" w14:textId="77777777" w:rsidR="00D26CB3" w:rsidRDefault="00D26CB3" w:rsidP="00D26CB3">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2C35FCA6FD0A497C852B80CFE887C9D7"/>
        </w:placeholder>
        <w:dataBinding w:prefixMappings="xmlns:ns0='http://purl.org/dc/elements/1.1/' xmlns:ns1='http://schemas.openxmlformats.org/package/2006/metadata/core-properties' " w:xpath="/ns1:coreProperties[1]/ns0:creator[1]" w:storeItemID="{6C3C8BC8-F283-45AE-878A-BAB7291924A1}"/>
        <w:text/>
      </w:sdtPr>
      <w:sdtContent>
        <w:r w:rsidRPr="00D26CB3">
          <w:rPr>
            <w:b/>
            <w:bCs/>
            <w:i/>
            <w:iCs/>
            <w:color w:val="595959" w:themeColor="text1" w:themeTint="A6"/>
            <w:sz w:val="20"/>
            <w:szCs w:val="20"/>
          </w:rPr>
          <w:t>Dr. MAYOUF I.</w:t>
        </w:r>
      </w:sdtContent>
    </w:sdt>
  </w:p>
  <w:p w14:paraId="45D4FF2B" w14:textId="77777777" w:rsidR="00931983" w:rsidRDefault="0093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AF98" w14:textId="77777777" w:rsidR="00F6569F" w:rsidRDefault="00F6569F" w:rsidP="00AD613E">
      <w:pPr>
        <w:spacing w:after="0" w:line="240" w:lineRule="auto"/>
      </w:pPr>
      <w:r>
        <w:separator/>
      </w:r>
    </w:p>
  </w:footnote>
  <w:footnote w:type="continuationSeparator" w:id="0">
    <w:p w14:paraId="56E02B08" w14:textId="77777777" w:rsidR="00F6569F" w:rsidRDefault="00F6569F" w:rsidP="00AD6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FBA" w14:textId="77777777" w:rsidR="00931983" w:rsidRDefault="00931983">
    <w:pPr>
      <w:pStyle w:val="Header"/>
    </w:pPr>
    <w:r>
      <w:rPr>
        <w:noProof/>
        <w:lang w:eastAsia="fr-FR"/>
      </w:rPr>
      <mc:AlternateContent>
        <mc:Choice Requires="wps">
          <w:drawing>
            <wp:anchor distT="0" distB="0" distL="114300" distR="114300" simplePos="0" relativeHeight="251660288" behindDoc="0" locked="0" layoutInCell="0" allowOverlap="1" wp14:anchorId="6CDC940E" wp14:editId="6528BE0B">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8D47" w14:textId="77777777"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" o:allowincell="f" filled="f" stroked="f">
              <v:textbox style="mso-fit-shape-to-text:t" inset=",0,,0">
                <w:txbxContent>
                  <w:p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14:anchorId="670F87A2" wp14:editId="59D3314F">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7ADDD43" w14:textId="77777777"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725E463D"/>
    <w:multiLevelType w:val="hybridMultilevel"/>
    <w:tmpl w:val="3DEAC396"/>
    <w:lvl w:ilvl="0" w:tplc="AA30A728">
      <w:start w:val="1"/>
      <w:numFmt w:val="bullet"/>
      <w:lvlText w:val="-"/>
      <w:lvlJc w:val="left"/>
      <w:pPr>
        <w:ind w:left="720" w:hanging="360"/>
      </w:pPr>
      <w:rPr>
        <w:rFonts w:ascii="Calibri Light" w:eastAsiaTheme="minorHAns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B90255A"/>
    <w:multiLevelType w:val="multilevel"/>
    <w:tmpl w:val="71BA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457327">
    <w:abstractNumId w:val="13"/>
  </w:num>
  <w:num w:numId="2" w16cid:durableId="1755739649">
    <w:abstractNumId w:val="1"/>
  </w:num>
  <w:num w:numId="3" w16cid:durableId="571240580">
    <w:abstractNumId w:val="5"/>
  </w:num>
  <w:num w:numId="4" w16cid:durableId="1603107944">
    <w:abstractNumId w:val="11"/>
  </w:num>
  <w:num w:numId="5" w16cid:durableId="1785416742">
    <w:abstractNumId w:val="15"/>
  </w:num>
  <w:num w:numId="6" w16cid:durableId="719790067">
    <w:abstractNumId w:val="8"/>
  </w:num>
  <w:num w:numId="7" w16cid:durableId="1398018675">
    <w:abstractNumId w:val="10"/>
  </w:num>
  <w:num w:numId="8" w16cid:durableId="821576665">
    <w:abstractNumId w:val="3"/>
  </w:num>
  <w:num w:numId="9" w16cid:durableId="1130438093">
    <w:abstractNumId w:val="9"/>
  </w:num>
  <w:num w:numId="10" w16cid:durableId="1575503608">
    <w:abstractNumId w:val="6"/>
  </w:num>
  <w:num w:numId="11" w16cid:durableId="1658727948">
    <w:abstractNumId w:val="0"/>
  </w:num>
  <w:num w:numId="12" w16cid:durableId="1374773651">
    <w:abstractNumId w:val="7"/>
  </w:num>
  <w:num w:numId="13" w16cid:durableId="1108936204">
    <w:abstractNumId w:val="4"/>
  </w:num>
  <w:num w:numId="14" w16cid:durableId="1063017993">
    <w:abstractNumId w:val="2"/>
  </w:num>
  <w:num w:numId="15" w16cid:durableId="1702586908">
    <w:abstractNumId w:val="14"/>
  </w:num>
  <w:num w:numId="16" w16cid:durableId="969818980">
    <w:abstractNumId w:val="16"/>
  </w:num>
  <w:num w:numId="17" w16cid:durableId="1841693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B0"/>
    <w:rsid w:val="00000B92"/>
    <w:rsid w:val="00024501"/>
    <w:rsid w:val="00050123"/>
    <w:rsid w:val="00086AC9"/>
    <w:rsid w:val="00096515"/>
    <w:rsid w:val="000B7E0D"/>
    <w:rsid w:val="000C30A2"/>
    <w:rsid w:val="000D2784"/>
    <w:rsid w:val="000D2938"/>
    <w:rsid w:val="00105EED"/>
    <w:rsid w:val="0012071C"/>
    <w:rsid w:val="0013544C"/>
    <w:rsid w:val="001723D8"/>
    <w:rsid w:val="0017761E"/>
    <w:rsid w:val="001905BD"/>
    <w:rsid w:val="001A1A47"/>
    <w:rsid w:val="001A497F"/>
    <w:rsid w:val="001B68D7"/>
    <w:rsid w:val="001C7B92"/>
    <w:rsid w:val="001E38C6"/>
    <w:rsid w:val="001E4FB7"/>
    <w:rsid w:val="00200A16"/>
    <w:rsid w:val="00220315"/>
    <w:rsid w:val="002336E4"/>
    <w:rsid w:val="00246B33"/>
    <w:rsid w:val="002525F5"/>
    <w:rsid w:val="00266E3A"/>
    <w:rsid w:val="00270AD6"/>
    <w:rsid w:val="00286D9D"/>
    <w:rsid w:val="002A13B7"/>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163C2"/>
    <w:rsid w:val="00423E11"/>
    <w:rsid w:val="00425AFE"/>
    <w:rsid w:val="00434581"/>
    <w:rsid w:val="00437DB1"/>
    <w:rsid w:val="004513CE"/>
    <w:rsid w:val="00453EE1"/>
    <w:rsid w:val="004644B3"/>
    <w:rsid w:val="00494310"/>
    <w:rsid w:val="004A7E01"/>
    <w:rsid w:val="004B61B1"/>
    <w:rsid w:val="004C31F2"/>
    <w:rsid w:val="004C5EFE"/>
    <w:rsid w:val="004C6708"/>
    <w:rsid w:val="004D5DB9"/>
    <w:rsid w:val="004F56CD"/>
    <w:rsid w:val="00507394"/>
    <w:rsid w:val="00531CD6"/>
    <w:rsid w:val="0054202D"/>
    <w:rsid w:val="00563119"/>
    <w:rsid w:val="0058606E"/>
    <w:rsid w:val="00587316"/>
    <w:rsid w:val="005A166E"/>
    <w:rsid w:val="005B09B7"/>
    <w:rsid w:val="005C16A6"/>
    <w:rsid w:val="005C4526"/>
    <w:rsid w:val="005E5C0A"/>
    <w:rsid w:val="005E6C4A"/>
    <w:rsid w:val="005E7707"/>
    <w:rsid w:val="00601FC3"/>
    <w:rsid w:val="00606BE7"/>
    <w:rsid w:val="006165B7"/>
    <w:rsid w:val="00633314"/>
    <w:rsid w:val="00640CDE"/>
    <w:rsid w:val="00653700"/>
    <w:rsid w:val="00662034"/>
    <w:rsid w:val="00677CB1"/>
    <w:rsid w:val="0068555B"/>
    <w:rsid w:val="00686AF1"/>
    <w:rsid w:val="006956C2"/>
    <w:rsid w:val="006C2B6B"/>
    <w:rsid w:val="006C7E4D"/>
    <w:rsid w:val="006F3DCD"/>
    <w:rsid w:val="006F4CC8"/>
    <w:rsid w:val="007035FD"/>
    <w:rsid w:val="00725ADE"/>
    <w:rsid w:val="00730ACE"/>
    <w:rsid w:val="0073296C"/>
    <w:rsid w:val="00733699"/>
    <w:rsid w:val="007415AA"/>
    <w:rsid w:val="0074225E"/>
    <w:rsid w:val="00743F94"/>
    <w:rsid w:val="00755A39"/>
    <w:rsid w:val="00757595"/>
    <w:rsid w:val="00761C14"/>
    <w:rsid w:val="007734A2"/>
    <w:rsid w:val="00775957"/>
    <w:rsid w:val="007821F8"/>
    <w:rsid w:val="007834EC"/>
    <w:rsid w:val="0079069B"/>
    <w:rsid w:val="007A5CEC"/>
    <w:rsid w:val="007B066F"/>
    <w:rsid w:val="007B16BA"/>
    <w:rsid w:val="007D02DE"/>
    <w:rsid w:val="007D4526"/>
    <w:rsid w:val="00800552"/>
    <w:rsid w:val="008048CC"/>
    <w:rsid w:val="00820059"/>
    <w:rsid w:val="00820926"/>
    <w:rsid w:val="00825221"/>
    <w:rsid w:val="00827A9D"/>
    <w:rsid w:val="00844F0E"/>
    <w:rsid w:val="00857A85"/>
    <w:rsid w:val="008B4E52"/>
    <w:rsid w:val="008B77C9"/>
    <w:rsid w:val="008C07AD"/>
    <w:rsid w:val="008D4A75"/>
    <w:rsid w:val="008E35B8"/>
    <w:rsid w:val="008F2B12"/>
    <w:rsid w:val="008F6039"/>
    <w:rsid w:val="00906D6D"/>
    <w:rsid w:val="009153EC"/>
    <w:rsid w:val="00926FB6"/>
    <w:rsid w:val="00931983"/>
    <w:rsid w:val="00937D55"/>
    <w:rsid w:val="00937EB0"/>
    <w:rsid w:val="0094634E"/>
    <w:rsid w:val="00957C40"/>
    <w:rsid w:val="00957FAA"/>
    <w:rsid w:val="009605A2"/>
    <w:rsid w:val="009648E8"/>
    <w:rsid w:val="00983A09"/>
    <w:rsid w:val="009A4085"/>
    <w:rsid w:val="009A5ED7"/>
    <w:rsid w:val="009C5994"/>
    <w:rsid w:val="009D55A4"/>
    <w:rsid w:val="009D6789"/>
    <w:rsid w:val="009D6E2E"/>
    <w:rsid w:val="009F0152"/>
    <w:rsid w:val="00A05863"/>
    <w:rsid w:val="00A07529"/>
    <w:rsid w:val="00A16798"/>
    <w:rsid w:val="00A3457C"/>
    <w:rsid w:val="00A34C74"/>
    <w:rsid w:val="00A351CC"/>
    <w:rsid w:val="00A518DC"/>
    <w:rsid w:val="00A74255"/>
    <w:rsid w:val="00A82B02"/>
    <w:rsid w:val="00A8454B"/>
    <w:rsid w:val="00A8601E"/>
    <w:rsid w:val="00AA5759"/>
    <w:rsid w:val="00AA7B36"/>
    <w:rsid w:val="00AD339F"/>
    <w:rsid w:val="00AD613E"/>
    <w:rsid w:val="00B02A6B"/>
    <w:rsid w:val="00B10161"/>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91C6B"/>
    <w:rsid w:val="00C974D4"/>
    <w:rsid w:val="00CA382B"/>
    <w:rsid w:val="00CA48F9"/>
    <w:rsid w:val="00CB1B69"/>
    <w:rsid w:val="00CD1D7E"/>
    <w:rsid w:val="00CD3C76"/>
    <w:rsid w:val="00CF2214"/>
    <w:rsid w:val="00D06828"/>
    <w:rsid w:val="00D121CA"/>
    <w:rsid w:val="00D13ACC"/>
    <w:rsid w:val="00D13F62"/>
    <w:rsid w:val="00D169BB"/>
    <w:rsid w:val="00D26CB3"/>
    <w:rsid w:val="00D47CD7"/>
    <w:rsid w:val="00D67C62"/>
    <w:rsid w:val="00D8738D"/>
    <w:rsid w:val="00D90EA1"/>
    <w:rsid w:val="00D9534E"/>
    <w:rsid w:val="00DB0086"/>
    <w:rsid w:val="00DB1814"/>
    <w:rsid w:val="00DB3E83"/>
    <w:rsid w:val="00DB5100"/>
    <w:rsid w:val="00DD0D66"/>
    <w:rsid w:val="00DE0384"/>
    <w:rsid w:val="00DE62AD"/>
    <w:rsid w:val="00DE71D5"/>
    <w:rsid w:val="00E0211B"/>
    <w:rsid w:val="00E34345"/>
    <w:rsid w:val="00E346F1"/>
    <w:rsid w:val="00E375EF"/>
    <w:rsid w:val="00E412B0"/>
    <w:rsid w:val="00E4200A"/>
    <w:rsid w:val="00E44723"/>
    <w:rsid w:val="00E4611A"/>
    <w:rsid w:val="00E473FD"/>
    <w:rsid w:val="00E5199B"/>
    <w:rsid w:val="00E63735"/>
    <w:rsid w:val="00E63DD4"/>
    <w:rsid w:val="00E729F0"/>
    <w:rsid w:val="00E83551"/>
    <w:rsid w:val="00E85819"/>
    <w:rsid w:val="00EB163D"/>
    <w:rsid w:val="00EE642C"/>
    <w:rsid w:val="00EF3DAD"/>
    <w:rsid w:val="00F07882"/>
    <w:rsid w:val="00F07D0C"/>
    <w:rsid w:val="00F16598"/>
    <w:rsid w:val="00F228C2"/>
    <w:rsid w:val="00F2515F"/>
    <w:rsid w:val="00F33D7C"/>
    <w:rsid w:val="00F34139"/>
    <w:rsid w:val="00F402BC"/>
    <w:rsid w:val="00F551F1"/>
    <w:rsid w:val="00F62866"/>
    <w:rsid w:val="00F6366F"/>
    <w:rsid w:val="00F643A0"/>
    <w:rsid w:val="00F6569F"/>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0B29"/>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613E"/>
  </w:style>
  <w:style w:type="paragraph" w:styleId="Footer">
    <w:name w:val="footer"/>
    <w:basedOn w:val="Normal"/>
    <w:link w:val="FooterChar"/>
    <w:uiPriority w:val="99"/>
    <w:unhideWhenUsed/>
    <w:rsid w:val="00AD61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613E"/>
  </w:style>
  <w:style w:type="character" w:styleId="Hyperlink">
    <w:name w:val="Hyperlink"/>
    <w:basedOn w:val="DefaultParagraphFont"/>
    <w:uiPriority w:val="99"/>
    <w:unhideWhenUsed/>
    <w:rsid w:val="008F6039"/>
    <w:rPr>
      <w:color w:val="0563C1" w:themeColor="hyperlink"/>
      <w:u w:val="single"/>
    </w:rPr>
  </w:style>
  <w:style w:type="paragraph" w:styleId="ListParagraph">
    <w:name w:val="List Paragraph"/>
    <w:aliases w:val="Paragraphe"/>
    <w:basedOn w:val="Normal"/>
    <w:link w:val="ListParagraphChar"/>
    <w:uiPriority w:val="34"/>
    <w:qFormat/>
    <w:rsid w:val="00820926"/>
    <w:pPr>
      <w:ind w:left="720"/>
      <w:contextualSpacing/>
    </w:pPr>
  </w:style>
  <w:style w:type="character" w:customStyle="1" w:styleId="topic-highlight">
    <w:name w:val="topic-highlight"/>
    <w:basedOn w:val="DefaultParagraphFont"/>
    <w:rsid w:val="00F228C2"/>
  </w:style>
  <w:style w:type="character" w:styleId="Emphasis">
    <w:name w:val="Emphasis"/>
    <w:basedOn w:val="DefaultParagraphFont"/>
    <w:uiPriority w:val="20"/>
    <w:qFormat/>
    <w:rsid w:val="00A05863"/>
    <w:rPr>
      <w:i/>
      <w:iCs/>
    </w:rPr>
  </w:style>
  <w:style w:type="paragraph" w:styleId="HTMLPreformatted">
    <w:name w:val="HTML Preformatted"/>
    <w:basedOn w:val="Normal"/>
    <w:link w:val="HTMLPreformattedCh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302B37"/>
    <w:rPr>
      <w:rFonts w:ascii="Courier New" w:eastAsia="Times New Roman" w:hAnsi="Courier New" w:cs="Courier New"/>
      <w:sz w:val="20"/>
      <w:szCs w:val="20"/>
      <w:lang w:eastAsia="fr-FR"/>
    </w:rPr>
  </w:style>
  <w:style w:type="character" w:customStyle="1" w:styleId="y2iqfc">
    <w:name w:val="y2iqfc"/>
    <w:basedOn w:val="DefaultParagraphFont"/>
    <w:rsid w:val="00302B37"/>
  </w:style>
  <w:style w:type="character" w:customStyle="1" w:styleId="Heading2Char">
    <w:name w:val="Heading 2 Char"/>
    <w:basedOn w:val="DefaultParagraphFont"/>
    <w:link w:val="Heading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DefaultParagraphFont"/>
    <w:rsid w:val="00857A85"/>
  </w:style>
  <w:style w:type="character" w:customStyle="1" w:styleId="Heading1Char">
    <w:name w:val="Heading 1 Char"/>
    <w:basedOn w:val="DefaultParagraphFont"/>
    <w:link w:val="Heading1"/>
    <w:uiPriority w:val="9"/>
    <w:rsid w:val="0082005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Paragraphe Char"/>
    <w:link w:val="ListParagraph"/>
    <w:uiPriority w:val="34"/>
    <w:qFormat/>
    <w:locked/>
    <w:rsid w:val="00A16798"/>
  </w:style>
  <w:style w:type="table" w:styleId="TableGrid">
    <w:name w:val="Table Grid"/>
    <w:basedOn w:val="TableNormal"/>
    <w:uiPriority w:val="39"/>
    <w:rsid w:val="00286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363754333">
      <w:bodyDiv w:val="1"/>
      <w:marLeft w:val="0"/>
      <w:marRight w:val="0"/>
      <w:marTop w:val="0"/>
      <w:marBottom w:val="0"/>
      <w:divBdr>
        <w:top w:val="none" w:sz="0" w:space="0" w:color="auto"/>
        <w:left w:val="none" w:sz="0" w:space="0" w:color="auto"/>
        <w:bottom w:val="none" w:sz="0" w:space="0" w:color="auto"/>
        <w:right w:val="none" w:sz="0" w:space="0" w:color="auto"/>
      </w:divBdr>
      <w:divsChild>
        <w:div w:id="739327319">
          <w:marLeft w:val="0"/>
          <w:marRight w:val="0"/>
          <w:marTop w:val="0"/>
          <w:marBottom w:val="0"/>
          <w:divBdr>
            <w:top w:val="none" w:sz="0" w:space="0" w:color="auto"/>
            <w:left w:val="none" w:sz="0" w:space="0" w:color="auto"/>
            <w:bottom w:val="none" w:sz="0" w:space="0" w:color="auto"/>
            <w:right w:val="none" w:sz="0" w:space="0" w:color="auto"/>
          </w:divBdr>
        </w:div>
        <w:div w:id="1585257518">
          <w:marLeft w:val="0"/>
          <w:marRight w:val="0"/>
          <w:marTop w:val="0"/>
          <w:marBottom w:val="0"/>
          <w:divBdr>
            <w:top w:val="none" w:sz="0" w:space="0" w:color="auto"/>
            <w:left w:val="none" w:sz="0" w:space="0" w:color="auto"/>
            <w:bottom w:val="none" w:sz="0" w:space="0" w:color="auto"/>
            <w:right w:val="none" w:sz="0" w:space="0" w:color="auto"/>
          </w:divBdr>
        </w:div>
        <w:div w:id="571355969">
          <w:marLeft w:val="0"/>
          <w:marRight w:val="0"/>
          <w:marTop w:val="0"/>
          <w:marBottom w:val="0"/>
          <w:divBdr>
            <w:top w:val="none" w:sz="0" w:space="0" w:color="auto"/>
            <w:left w:val="none" w:sz="0" w:space="0" w:color="auto"/>
            <w:bottom w:val="none" w:sz="0" w:space="0" w:color="auto"/>
            <w:right w:val="none" w:sz="0" w:space="0" w:color="auto"/>
          </w:divBdr>
        </w:div>
        <w:div w:id="1390155703">
          <w:marLeft w:val="0"/>
          <w:marRight w:val="0"/>
          <w:marTop w:val="0"/>
          <w:marBottom w:val="0"/>
          <w:divBdr>
            <w:top w:val="none" w:sz="0" w:space="0" w:color="auto"/>
            <w:left w:val="none" w:sz="0" w:space="0" w:color="auto"/>
            <w:bottom w:val="none" w:sz="0" w:space="0" w:color="auto"/>
            <w:right w:val="none" w:sz="0" w:space="0" w:color="auto"/>
          </w:divBdr>
        </w:div>
        <w:div w:id="1754471736">
          <w:marLeft w:val="0"/>
          <w:marRight w:val="0"/>
          <w:marTop w:val="0"/>
          <w:marBottom w:val="0"/>
          <w:divBdr>
            <w:top w:val="none" w:sz="0" w:space="0" w:color="auto"/>
            <w:left w:val="none" w:sz="0" w:space="0" w:color="auto"/>
            <w:bottom w:val="none" w:sz="0" w:space="0" w:color="auto"/>
            <w:right w:val="none" w:sz="0" w:space="0" w:color="auto"/>
          </w:divBdr>
        </w:div>
        <w:div w:id="1863006513">
          <w:marLeft w:val="0"/>
          <w:marRight w:val="0"/>
          <w:marTop w:val="0"/>
          <w:marBottom w:val="0"/>
          <w:divBdr>
            <w:top w:val="none" w:sz="0" w:space="0" w:color="auto"/>
            <w:left w:val="none" w:sz="0" w:space="0" w:color="auto"/>
            <w:bottom w:val="none" w:sz="0" w:space="0" w:color="auto"/>
            <w:right w:val="none" w:sz="0" w:space="0" w:color="auto"/>
          </w:divBdr>
        </w:div>
      </w:divsChild>
    </w:div>
    <w:div w:id="460533618">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1454712997">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ited_States" TargetMode="External"/><Relationship Id="rId18" Type="http://schemas.openxmlformats.org/officeDocument/2006/relationships/hyperlink" Target="https://en.wikipedia.org/wiki/Metoprolol" TargetMode="External"/><Relationship Id="rId26" Type="http://schemas.openxmlformats.org/officeDocument/2006/relationships/hyperlink" Target="https://en.wikipedia.org/wiki/In_vivo" TargetMode="External"/><Relationship Id="rId3" Type="http://schemas.openxmlformats.org/officeDocument/2006/relationships/styles" Target="styles.xml"/><Relationship Id="rId21" Type="http://schemas.openxmlformats.org/officeDocument/2006/relationships/hyperlink" Target="https://en.wikipedia.org/wiki/Glibenclami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Route_of_administration" TargetMode="External"/><Relationship Id="rId17" Type="http://schemas.openxmlformats.org/officeDocument/2006/relationships/hyperlink" Target="https://en.wikipedia.org/wiki/Solubility" TargetMode="External"/><Relationship Id="rId25" Type="http://schemas.openxmlformats.org/officeDocument/2006/relationships/hyperlink" Target="https://en.wikipedia.org/wiki/Bioavailability"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n.wikipedia.org/wiki/Intestinal_permeability" TargetMode="External"/><Relationship Id="rId20" Type="http://schemas.openxmlformats.org/officeDocument/2006/relationships/hyperlink" Target="https://en.wikipedia.org/wiki/Biopharmaceutics_Classification_System" TargetMode="External"/><Relationship Id="rId29" Type="http://schemas.openxmlformats.org/officeDocument/2006/relationships/hyperlink" Target="https://en.wikipedia.org/wiki/Bifonazo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stinal_permeability" TargetMode="External"/><Relationship Id="rId24" Type="http://schemas.openxmlformats.org/officeDocument/2006/relationships/hyperlink" Target="https://en.wikipedia.org/wiki/Aceclofena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Route_of_administration" TargetMode="External"/><Relationship Id="rId23" Type="http://schemas.openxmlformats.org/officeDocument/2006/relationships/hyperlink" Target="https://en.wikipedia.org/wiki/Ezetimibe" TargetMode="External"/><Relationship Id="rId28" Type="http://schemas.openxmlformats.org/officeDocument/2006/relationships/hyperlink" Target="https://en.wikipedia.org/wiki/Cimetidine" TargetMode="External"/><Relationship Id="rId10" Type="http://schemas.openxmlformats.org/officeDocument/2006/relationships/hyperlink" Target="https://en.wikipedia.org/wiki/United_States_Pharmacopoeia" TargetMode="External"/><Relationship Id="rId19" Type="http://schemas.openxmlformats.org/officeDocument/2006/relationships/hyperlink" Target="https://en.wikipedia.org/wiki/Paracetam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Europe" TargetMode="External"/><Relationship Id="rId22" Type="http://schemas.openxmlformats.org/officeDocument/2006/relationships/hyperlink" Target="https://en.wikipedia.org/wiki/Bicalutamide" TargetMode="External"/><Relationship Id="rId27" Type="http://schemas.openxmlformats.org/officeDocument/2006/relationships/hyperlink" Target="https://en.wikipedia.org/wiki/In_vitro" TargetMode="External"/><Relationship Id="rId30" Type="http://schemas.openxmlformats.org/officeDocument/2006/relationships/header" Target="head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35FCA6FD0A497C852B80CFE887C9D7"/>
        <w:category>
          <w:name w:val="Général"/>
          <w:gallery w:val="placeholder"/>
        </w:category>
        <w:types>
          <w:type w:val="bbPlcHdr"/>
        </w:types>
        <w:behaviors>
          <w:behavior w:val="content"/>
        </w:behaviors>
        <w:guid w:val="{A8ABE58B-E5FD-42E5-A03E-4D5821284B0F}"/>
      </w:docPartPr>
      <w:docPartBody>
        <w:p w:rsidR="00A16AC3" w:rsidRDefault="00BE6DBD" w:rsidP="00BE6DBD">
          <w:pPr>
            <w:pStyle w:val="2C35FCA6FD0A497C852B80CFE887C9D7"/>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BD"/>
    <w:rsid w:val="002B7100"/>
    <w:rsid w:val="00433A24"/>
    <w:rsid w:val="005F57EA"/>
    <w:rsid w:val="00692BB4"/>
    <w:rsid w:val="00766366"/>
    <w:rsid w:val="00A16AC3"/>
    <w:rsid w:val="00A6577A"/>
    <w:rsid w:val="00BE6DBD"/>
    <w:rsid w:val="00CA1D99"/>
    <w:rsid w:val="00CD1D7E"/>
    <w:rsid w:val="00FC24B0"/>
    <w:rsid w:val="00FD28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delespacerserv">
    <w:name w:val="Texte de l’espace réservé"/>
    <w:basedOn w:val="DefaultParagraphFont"/>
    <w:uiPriority w:val="99"/>
    <w:semiHidden/>
    <w:rsid w:val="00BE6DBD"/>
    <w:rPr>
      <w:color w:val="808080"/>
    </w:rPr>
  </w:style>
  <w:style w:type="paragraph" w:customStyle="1" w:styleId="2C35FCA6FD0A497C852B80CFE887C9D7">
    <w:name w:val="2C35FCA6FD0A497C852B80CFE887C9D7"/>
    <w:rsid w:val="00BE6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A26A-2CC6-485F-A41D-3B26B154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18340</TotalTime>
  <Pages>1</Pages>
  <Words>3930</Words>
  <Characters>21615</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dc:creator>
  <cp:keywords/>
  <dc:description/>
  <cp:lastModifiedBy>ABDELMOUNAIM ZEROUAL</cp:lastModifiedBy>
  <cp:revision>54</cp:revision>
  <dcterms:created xsi:type="dcterms:W3CDTF">2023-09-24T19:30:00Z</dcterms:created>
  <dcterms:modified xsi:type="dcterms:W3CDTF">2024-12-22T20:17:00Z</dcterms:modified>
</cp:coreProperties>
</file>