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0D63A" w14:textId="77777777" w:rsidR="001C76B6" w:rsidRDefault="001C76B6" w:rsidP="00CA1644">
      <w:pPr>
        <w:autoSpaceDE w:val="0"/>
        <w:autoSpaceDN w:val="0"/>
        <w:bidi w:val="0"/>
        <w:adjustRightInd w:val="0"/>
        <w:spacing w:line="480" w:lineRule="auto"/>
        <w:rPr>
          <w:rFonts w:asciiTheme="majorBidi" w:eastAsiaTheme="minorHAnsi" w:hAnsiTheme="majorBidi" w:cstheme="majorBidi"/>
          <w:b/>
          <w:bCs/>
        </w:rPr>
      </w:pPr>
      <w:bookmarkStart w:id="0" w:name="_Hlk213915363"/>
      <w:bookmarkEnd w:id="0"/>
    </w:p>
    <w:p w14:paraId="3A64C500" w14:textId="4A2C2525" w:rsidR="0033106C" w:rsidRDefault="0033106C" w:rsidP="001C76B6">
      <w:pPr>
        <w:autoSpaceDE w:val="0"/>
        <w:autoSpaceDN w:val="0"/>
        <w:bidi w:val="0"/>
        <w:adjustRightInd w:val="0"/>
        <w:spacing w:line="480" w:lineRule="auto"/>
        <w:rPr>
          <w:rFonts w:asciiTheme="majorBidi" w:eastAsiaTheme="minorHAnsi" w:hAnsiTheme="majorBidi" w:cstheme="majorBidi"/>
          <w:b/>
          <w:bCs/>
        </w:rPr>
      </w:pPr>
    </w:p>
    <w:p w14:paraId="7E728C1F" w14:textId="53AE2E6D" w:rsidR="00CA1644" w:rsidRDefault="00A0667F" w:rsidP="0033106C">
      <w:pPr>
        <w:autoSpaceDE w:val="0"/>
        <w:autoSpaceDN w:val="0"/>
        <w:bidi w:val="0"/>
        <w:adjustRightInd w:val="0"/>
        <w:spacing w:line="480" w:lineRule="auto"/>
        <w:rPr>
          <w:rFonts w:asciiTheme="majorBidi" w:eastAsiaTheme="minorHAnsi" w:hAnsiTheme="majorBidi" w:cstheme="majorBidi"/>
          <w:b/>
          <w:bCs/>
        </w:rPr>
      </w:pPr>
      <w:r>
        <w:rPr>
          <w:rFonts w:asciiTheme="majorBidi" w:eastAsiaTheme="minorHAnsi" w:hAnsiTheme="majorBidi" w:cstheme="majorBidi"/>
          <w:b/>
          <w:bCs/>
        </w:rPr>
        <w:t>Bloom’s Taxonomy</w:t>
      </w:r>
    </w:p>
    <w:p w14:paraId="4A1A133C" w14:textId="53C25368" w:rsidR="00A0667F" w:rsidRPr="00A0667F" w:rsidRDefault="00A0667F" w:rsidP="00F43EAD">
      <w:pPr>
        <w:autoSpaceDE w:val="0"/>
        <w:autoSpaceDN w:val="0"/>
        <w:bidi w:val="0"/>
        <w:adjustRightInd w:val="0"/>
        <w:spacing w:line="480" w:lineRule="auto"/>
        <w:rPr>
          <w:rFonts w:asciiTheme="majorBidi" w:eastAsiaTheme="minorHAnsi" w:hAnsiTheme="majorBidi" w:cstheme="majorBidi"/>
        </w:rPr>
      </w:pPr>
      <w:r w:rsidRPr="00A0667F">
        <w:rPr>
          <w:rFonts w:asciiTheme="majorBidi" w:eastAsiaTheme="minorHAnsi" w:hAnsiTheme="majorBidi" w:cstheme="majorBidi"/>
        </w:rPr>
        <w:t xml:space="preserve">Bloom's </w:t>
      </w:r>
      <w:r w:rsidR="001668A3">
        <w:rPr>
          <w:rFonts w:asciiTheme="majorBidi" w:eastAsiaTheme="minorHAnsi" w:hAnsiTheme="majorBidi" w:cstheme="majorBidi"/>
        </w:rPr>
        <w:t>t</w:t>
      </w:r>
      <w:r w:rsidRPr="00A0667F">
        <w:rPr>
          <w:rFonts w:asciiTheme="majorBidi" w:eastAsiaTheme="minorHAnsi" w:hAnsiTheme="majorBidi" w:cstheme="majorBidi"/>
        </w:rPr>
        <w:t xml:space="preserve">axonomy </w:t>
      </w:r>
      <w:r w:rsidR="00F43EAD">
        <w:rPr>
          <w:rFonts w:asciiTheme="majorBidi" w:eastAsiaTheme="minorHAnsi" w:hAnsiTheme="majorBidi" w:cstheme="majorBidi"/>
        </w:rPr>
        <w:t xml:space="preserve">was originally published in 1956 in a book entitled: </w:t>
      </w:r>
      <w:r w:rsidR="00F43EAD" w:rsidRPr="00F43EAD">
        <w:rPr>
          <w:rFonts w:asciiTheme="majorBidi" w:eastAsiaTheme="minorHAnsi" w:hAnsiTheme="majorBidi" w:cstheme="majorBidi"/>
          <w:i/>
          <w:iCs/>
        </w:rPr>
        <w:t>T</w:t>
      </w:r>
      <w:r w:rsidR="00F43EAD" w:rsidRPr="00F43EAD">
        <w:rPr>
          <w:rFonts w:asciiTheme="majorBidi" w:eastAsiaTheme="minorHAnsi" w:hAnsiTheme="majorBidi" w:cstheme="majorBidi"/>
          <w:i/>
          <w:iCs/>
        </w:rPr>
        <w:t>axonomy</w:t>
      </w:r>
      <w:r w:rsidR="00F43EAD" w:rsidRPr="00F43EAD">
        <w:rPr>
          <w:rFonts w:asciiTheme="majorBidi" w:eastAsiaTheme="minorHAnsi" w:hAnsiTheme="majorBidi" w:cstheme="majorBidi"/>
          <w:i/>
          <w:iCs/>
        </w:rPr>
        <w:t xml:space="preserve"> </w:t>
      </w:r>
      <w:r w:rsidR="00F43EAD" w:rsidRPr="00F43EAD">
        <w:rPr>
          <w:rFonts w:asciiTheme="majorBidi" w:eastAsiaTheme="minorHAnsi" w:hAnsiTheme="majorBidi" w:cstheme="majorBidi"/>
          <w:i/>
          <w:iCs/>
        </w:rPr>
        <w:t>of</w:t>
      </w:r>
      <w:r w:rsidR="00F43EAD" w:rsidRPr="00F43EAD">
        <w:rPr>
          <w:rFonts w:asciiTheme="majorBidi" w:eastAsiaTheme="minorHAnsi" w:hAnsiTheme="majorBidi" w:cstheme="majorBidi"/>
          <w:i/>
          <w:iCs/>
        </w:rPr>
        <w:t xml:space="preserve"> </w:t>
      </w:r>
      <w:r w:rsidR="00F43EAD" w:rsidRPr="00F43EAD">
        <w:rPr>
          <w:rFonts w:asciiTheme="majorBidi" w:eastAsiaTheme="minorHAnsi" w:hAnsiTheme="majorBidi" w:cstheme="majorBidi"/>
          <w:i/>
          <w:iCs/>
        </w:rPr>
        <w:t>educational objectives:</w:t>
      </w:r>
      <w:r w:rsidR="00F43EAD" w:rsidRPr="00F43EAD">
        <w:rPr>
          <w:rFonts w:asciiTheme="majorBidi" w:eastAsiaTheme="minorHAnsi" w:hAnsiTheme="majorBidi" w:cstheme="majorBidi"/>
          <w:i/>
          <w:iCs/>
        </w:rPr>
        <w:t xml:space="preserve"> The </w:t>
      </w:r>
      <w:r w:rsidR="00F43EAD" w:rsidRPr="00F43EAD">
        <w:rPr>
          <w:rFonts w:asciiTheme="majorBidi" w:eastAsiaTheme="minorHAnsi" w:hAnsiTheme="majorBidi" w:cstheme="majorBidi"/>
          <w:i/>
          <w:iCs/>
        </w:rPr>
        <w:t>c</w:t>
      </w:r>
      <w:r w:rsidR="00F43EAD" w:rsidRPr="00F43EAD">
        <w:rPr>
          <w:rFonts w:asciiTheme="majorBidi" w:eastAsiaTheme="minorHAnsi" w:hAnsiTheme="majorBidi" w:cstheme="majorBidi"/>
          <w:i/>
          <w:iCs/>
        </w:rPr>
        <w:t xml:space="preserve">lassification of </w:t>
      </w:r>
      <w:r w:rsidR="00F43EAD" w:rsidRPr="00F43EAD">
        <w:rPr>
          <w:rFonts w:asciiTheme="majorBidi" w:eastAsiaTheme="minorHAnsi" w:hAnsiTheme="majorBidi" w:cstheme="majorBidi"/>
          <w:i/>
          <w:iCs/>
        </w:rPr>
        <w:t>e</w:t>
      </w:r>
      <w:r w:rsidR="00F43EAD" w:rsidRPr="00F43EAD">
        <w:rPr>
          <w:rFonts w:asciiTheme="majorBidi" w:eastAsiaTheme="minorHAnsi" w:hAnsiTheme="majorBidi" w:cstheme="majorBidi"/>
          <w:i/>
          <w:iCs/>
        </w:rPr>
        <w:t xml:space="preserve">ducational </w:t>
      </w:r>
      <w:r w:rsidR="00F43EAD" w:rsidRPr="00F43EAD">
        <w:rPr>
          <w:rFonts w:asciiTheme="majorBidi" w:eastAsiaTheme="minorHAnsi" w:hAnsiTheme="majorBidi" w:cstheme="majorBidi"/>
          <w:i/>
          <w:iCs/>
        </w:rPr>
        <w:t>g</w:t>
      </w:r>
      <w:r w:rsidR="00F43EAD" w:rsidRPr="00F43EAD">
        <w:rPr>
          <w:rFonts w:asciiTheme="majorBidi" w:eastAsiaTheme="minorHAnsi" w:hAnsiTheme="majorBidi" w:cstheme="majorBidi"/>
          <w:i/>
          <w:iCs/>
        </w:rPr>
        <w:t>oal</w:t>
      </w:r>
      <w:r w:rsidR="00F43EAD" w:rsidRPr="00F43EAD">
        <w:rPr>
          <w:rFonts w:asciiTheme="majorBidi" w:eastAsiaTheme="minorHAnsi" w:hAnsiTheme="majorBidi" w:cstheme="majorBidi"/>
          <w:i/>
          <w:iCs/>
        </w:rPr>
        <w:t>s</w:t>
      </w:r>
      <w:r w:rsidR="009725D5">
        <w:rPr>
          <w:rFonts w:asciiTheme="majorBidi" w:eastAsiaTheme="minorHAnsi" w:hAnsiTheme="majorBidi" w:cstheme="majorBidi"/>
          <w:i/>
          <w:iCs/>
        </w:rPr>
        <w:t xml:space="preserve">. </w:t>
      </w:r>
      <w:r w:rsidR="009725D5">
        <w:rPr>
          <w:rFonts w:asciiTheme="majorBidi" w:eastAsiaTheme="minorHAnsi" w:hAnsiTheme="majorBidi" w:cstheme="majorBidi"/>
        </w:rPr>
        <w:t>It</w:t>
      </w:r>
      <w:r w:rsidR="00F43EAD">
        <w:rPr>
          <w:rFonts w:asciiTheme="majorBidi" w:eastAsiaTheme="minorHAnsi" w:hAnsiTheme="majorBidi" w:cstheme="majorBidi"/>
          <w:i/>
          <w:iCs/>
        </w:rPr>
        <w:t xml:space="preserve"> </w:t>
      </w:r>
      <w:r w:rsidRPr="00A0667F">
        <w:rPr>
          <w:rFonts w:asciiTheme="majorBidi" w:eastAsiaTheme="minorHAnsi" w:hAnsiTheme="majorBidi" w:cstheme="majorBidi"/>
        </w:rPr>
        <w:t xml:space="preserve">is </w:t>
      </w:r>
      <w:r w:rsidR="001668A3">
        <w:rPr>
          <w:rFonts w:asciiTheme="majorBidi" w:eastAsiaTheme="minorHAnsi" w:hAnsiTheme="majorBidi" w:cstheme="majorBidi"/>
        </w:rPr>
        <w:t xml:space="preserve">a framework </w:t>
      </w:r>
      <w:r w:rsidRPr="00A0667F">
        <w:rPr>
          <w:rFonts w:asciiTheme="majorBidi" w:eastAsiaTheme="minorHAnsi" w:hAnsiTheme="majorBidi" w:cstheme="majorBidi"/>
        </w:rPr>
        <w:t>used in education to classify learning objectives according to the depth and complexity</w:t>
      </w:r>
      <w:r w:rsidR="001668A3">
        <w:rPr>
          <w:rFonts w:asciiTheme="majorBidi" w:eastAsiaTheme="minorHAnsi" w:hAnsiTheme="majorBidi" w:cstheme="majorBidi"/>
        </w:rPr>
        <w:t xml:space="preserve"> of the thinking skills</w:t>
      </w:r>
      <w:r w:rsidRPr="00A0667F">
        <w:rPr>
          <w:rFonts w:asciiTheme="majorBidi" w:eastAsiaTheme="minorHAnsi" w:hAnsiTheme="majorBidi" w:cstheme="majorBidi"/>
        </w:rPr>
        <w:t xml:space="preserve">. It aids educators in creating courses, tests, and exercises that </w:t>
      </w:r>
      <w:r w:rsidR="001668A3">
        <w:rPr>
          <w:rFonts w:asciiTheme="majorBidi" w:eastAsiaTheme="minorHAnsi" w:hAnsiTheme="majorBidi" w:cstheme="majorBidi"/>
        </w:rPr>
        <w:t>enable</w:t>
      </w:r>
      <w:r w:rsidRPr="00A0667F">
        <w:rPr>
          <w:rFonts w:asciiTheme="majorBidi" w:eastAsiaTheme="minorHAnsi" w:hAnsiTheme="majorBidi" w:cstheme="majorBidi"/>
        </w:rPr>
        <w:t xml:space="preserve"> pupils </w:t>
      </w:r>
      <w:r w:rsidR="001668A3">
        <w:rPr>
          <w:rFonts w:asciiTheme="majorBidi" w:eastAsiaTheme="minorHAnsi" w:hAnsiTheme="majorBidi" w:cstheme="majorBidi"/>
        </w:rPr>
        <w:t xml:space="preserve">to advance </w:t>
      </w:r>
      <w:r w:rsidRPr="00A0667F">
        <w:rPr>
          <w:rFonts w:asciiTheme="majorBidi" w:eastAsiaTheme="minorHAnsi" w:hAnsiTheme="majorBidi" w:cstheme="majorBidi"/>
        </w:rPr>
        <w:t xml:space="preserve">from </w:t>
      </w:r>
      <w:r w:rsidR="001668A3">
        <w:rPr>
          <w:rFonts w:asciiTheme="majorBidi" w:eastAsiaTheme="minorHAnsi" w:hAnsiTheme="majorBidi" w:cstheme="majorBidi"/>
        </w:rPr>
        <w:t>basic and simple</w:t>
      </w:r>
      <w:r w:rsidRPr="00A0667F">
        <w:rPr>
          <w:rFonts w:asciiTheme="majorBidi" w:eastAsiaTheme="minorHAnsi" w:hAnsiTheme="majorBidi" w:cstheme="majorBidi"/>
        </w:rPr>
        <w:t xml:space="preserve"> </w:t>
      </w:r>
      <w:r w:rsidR="001668A3">
        <w:rPr>
          <w:rFonts w:asciiTheme="majorBidi" w:eastAsiaTheme="minorHAnsi" w:hAnsiTheme="majorBidi" w:cstheme="majorBidi"/>
        </w:rPr>
        <w:t xml:space="preserve">recall and </w:t>
      </w:r>
      <w:r w:rsidRPr="00A0667F">
        <w:rPr>
          <w:rFonts w:asciiTheme="majorBidi" w:eastAsiaTheme="minorHAnsi" w:hAnsiTheme="majorBidi" w:cstheme="majorBidi"/>
        </w:rPr>
        <w:t xml:space="preserve">understanding </w:t>
      </w:r>
      <w:r w:rsidR="001668A3">
        <w:rPr>
          <w:rFonts w:asciiTheme="majorBidi" w:eastAsiaTheme="minorHAnsi" w:hAnsiTheme="majorBidi" w:cstheme="majorBidi"/>
        </w:rPr>
        <w:t xml:space="preserve">of information </w:t>
      </w:r>
      <w:r w:rsidRPr="00A0667F">
        <w:rPr>
          <w:rFonts w:asciiTheme="majorBidi" w:eastAsiaTheme="minorHAnsi" w:hAnsiTheme="majorBidi" w:cstheme="majorBidi"/>
        </w:rPr>
        <w:t xml:space="preserve">to </w:t>
      </w:r>
      <w:r w:rsidR="00535BFD">
        <w:rPr>
          <w:rFonts w:asciiTheme="majorBidi" w:eastAsiaTheme="minorHAnsi" w:hAnsiTheme="majorBidi" w:cstheme="majorBidi"/>
        </w:rPr>
        <w:t xml:space="preserve">more </w:t>
      </w:r>
      <w:r w:rsidR="00CC5F07">
        <w:t>complex cognitive skills</w:t>
      </w:r>
      <w:r w:rsidRPr="00A0667F">
        <w:rPr>
          <w:rFonts w:asciiTheme="majorBidi" w:eastAsiaTheme="minorHAnsi" w:hAnsiTheme="majorBidi" w:cstheme="majorBidi"/>
        </w:rPr>
        <w:t>.</w:t>
      </w:r>
      <w:r w:rsidR="00F43EAD">
        <w:rPr>
          <w:rFonts w:asciiTheme="majorBidi" w:eastAsiaTheme="minorHAnsi" w:hAnsiTheme="majorBidi" w:cstheme="majorBidi"/>
        </w:rPr>
        <w:t xml:space="preserve"> </w:t>
      </w:r>
    </w:p>
    <w:p w14:paraId="672A8E34" w14:textId="77777777" w:rsidR="00A0667F" w:rsidRPr="00A0667F" w:rsidRDefault="00A0667F" w:rsidP="00A0667F">
      <w:pPr>
        <w:autoSpaceDE w:val="0"/>
        <w:autoSpaceDN w:val="0"/>
        <w:bidi w:val="0"/>
        <w:adjustRightInd w:val="0"/>
        <w:spacing w:line="480" w:lineRule="auto"/>
        <w:rPr>
          <w:rFonts w:asciiTheme="majorBidi" w:eastAsiaTheme="minorHAnsi" w:hAnsiTheme="majorBidi" w:cstheme="majorBidi"/>
        </w:rPr>
      </w:pPr>
    </w:p>
    <w:p w14:paraId="1BE6FC9E" w14:textId="77777777" w:rsidR="00A0667F" w:rsidRDefault="00A0667F" w:rsidP="00A0667F">
      <w:pPr>
        <w:autoSpaceDE w:val="0"/>
        <w:autoSpaceDN w:val="0"/>
        <w:bidi w:val="0"/>
        <w:adjustRightInd w:val="0"/>
        <w:spacing w:line="480" w:lineRule="auto"/>
        <w:rPr>
          <w:rFonts w:asciiTheme="majorBidi" w:eastAsiaTheme="minorHAnsi" w:hAnsiTheme="majorBidi" w:cstheme="majorBidi"/>
          <w:b/>
          <w:bCs/>
        </w:rPr>
      </w:pPr>
      <w:r>
        <w:rPr>
          <w:rFonts w:asciiTheme="majorBidi" w:eastAsiaTheme="minorHAnsi" w:hAnsiTheme="majorBidi" w:cstheme="majorBidi"/>
          <w:b/>
          <w:bCs/>
        </w:rPr>
        <w:t xml:space="preserve">Summary of </w:t>
      </w:r>
      <w:r>
        <w:rPr>
          <w:rFonts w:asciiTheme="majorBidi" w:eastAsiaTheme="minorHAnsi" w:hAnsiTheme="majorBidi" w:cstheme="majorBidi"/>
          <w:b/>
          <w:bCs/>
        </w:rPr>
        <w:t>Bloom’s Taxonomy</w:t>
      </w:r>
    </w:p>
    <w:p w14:paraId="33251C17" w14:textId="77777777" w:rsidR="001F19E2" w:rsidRPr="001F19E2" w:rsidRDefault="009725D5" w:rsidP="009725D5">
      <w:pPr>
        <w:pStyle w:val="Paragraphedeliste"/>
        <w:numPr>
          <w:ilvl w:val="0"/>
          <w:numId w:val="2"/>
        </w:numPr>
        <w:tabs>
          <w:tab w:val="left" w:pos="2442"/>
        </w:tabs>
        <w:autoSpaceDE w:val="0"/>
        <w:autoSpaceDN w:val="0"/>
        <w:bidi w:val="0"/>
        <w:adjustRightInd w:val="0"/>
        <w:spacing w:line="480" w:lineRule="auto"/>
        <w:rPr>
          <w:rFonts w:asciiTheme="majorBidi" w:eastAsiaTheme="minorHAnsi" w:hAnsiTheme="majorBidi" w:cstheme="majorBidi"/>
        </w:rPr>
      </w:pPr>
      <w:r w:rsidRPr="009725D5">
        <w:rPr>
          <w:rFonts w:asciiTheme="majorBidi" w:eastAsiaTheme="minorHAnsi" w:hAnsiTheme="majorBidi" w:cstheme="majorBidi"/>
          <w:b/>
          <w:bCs/>
        </w:rPr>
        <w:t>Knowledge</w:t>
      </w:r>
      <w:r w:rsidR="001F19E2">
        <w:rPr>
          <w:rFonts w:asciiTheme="majorBidi" w:eastAsiaTheme="minorHAnsi" w:hAnsiTheme="majorBidi" w:cstheme="majorBidi"/>
          <w:b/>
          <w:bCs/>
        </w:rPr>
        <w:t>:</w:t>
      </w:r>
    </w:p>
    <w:p w14:paraId="6C781064" w14:textId="4036A302" w:rsidR="009725D5" w:rsidRDefault="001F19E2" w:rsidP="001F19E2">
      <w:pPr>
        <w:pStyle w:val="Paragraphedeliste"/>
        <w:numPr>
          <w:ilvl w:val="0"/>
          <w:numId w:val="3"/>
        </w:numPr>
        <w:tabs>
          <w:tab w:val="left" w:pos="2442"/>
        </w:tabs>
        <w:autoSpaceDE w:val="0"/>
        <w:autoSpaceDN w:val="0"/>
        <w:bidi w:val="0"/>
        <w:adjustRightInd w:val="0"/>
        <w:spacing w:line="480" w:lineRule="auto"/>
        <w:rPr>
          <w:rFonts w:asciiTheme="majorBidi" w:eastAsiaTheme="minorHAnsi" w:hAnsiTheme="majorBidi" w:cstheme="majorBidi"/>
        </w:rPr>
      </w:pPr>
      <w:r>
        <w:rPr>
          <w:rFonts w:asciiTheme="majorBidi" w:eastAsiaTheme="minorHAnsi" w:hAnsiTheme="majorBidi" w:cstheme="majorBidi"/>
        </w:rPr>
        <w:t xml:space="preserve">Description: </w:t>
      </w:r>
      <w:r w:rsidR="009725D5" w:rsidRPr="001F19E2">
        <w:rPr>
          <w:rFonts w:asciiTheme="majorBidi" w:eastAsiaTheme="minorHAnsi" w:hAnsiTheme="majorBidi" w:cstheme="majorBidi"/>
        </w:rPr>
        <w:t>recalling or recognizing facts, terms, and basic concepts</w:t>
      </w:r>
      <w:r w:rsidR="00653F99">
        <w:rPr>
          <w:rFonts w:asciiTheme="majorBidi" w:eastAsiaTheme="minorHAnsi" w:hAnsiTheme="majorBidi" w:cstheme="majorBidi"/>
        </w:rPr>
        <w:t>.</w:t>
      </w:r>
    </w:p>
    <w:p w14:paraId="0607A2BC" w14:textId="21213AAA" w:rsidR="00D67E33" w:rsidRPr="001F19E2" w:rsidRDefault="00653F99" w:rsidP="00D67E33">
      <w:pPr>
        <w:pStyle w:val="Paragraphedeliste"/>
        <w:numPr>
          <w:ilvl w:val="0"/>
          <w:numId w:val="3"/>
        </w:numPr>
        <w:tabs>
          <w:tab w:val="left" w:pos="2442"/>
        </w:tabs>
        <w:autoSpaceDE w:val="0"/>
        <w:autoSpaceDN w:val="0"/>
        <w:bidi w:val="0"/>
        <w:adjustRightInd w:val="0"/>
        <w:spacing w:line="480" w:lineRule="auto"/>
        <w:rPr>
          <w:rFonts w:asciiTheme="majorBidi" w:eastAsiaTheme="minorHAnsi" w:hAnsiTheme="majorBidi" w:cstheme="majorBidi"/>
        </w:rPr>
      </w:pPr>
      <w:r>
        <w:rPr>
          <w:rFonts w:asciiTheme="majorBidi" w:eastAsiaTheme="minorHAnsi" w:hAnsiTheme="majorBidi" w:cstheme="majorBidi"/>
        </w:rPr>
        <w:t>Examples of measurable verbs: List, name, state, etc.</w:t>
      </w:r>
    </w:p>
    <w:p w14:paraId="72254A75" w14:textId="77777777" w:rsidR="00D67E33" w:rsidRPr="00D67E33" w:rsidRDefault="009725D5" w:rsidP="009725D5">
      <w:pPr>
        <w:pStyle w:val="Paragraphedeliste"/>
        <w:numPr>
          <w:ilvl w:val="0"/>
          <w:numId w:val="2"/>
        </w:numPr>
        <w:tabs>
          <w:tab w:val="left" w:pos="2442"/>
        </w:tabs>
        <w:autoSpaceDE w:val="0"/>
        <w:autoSpaceDN w:val="0"/>
        <w:bidi w:val="0"/>
        <w:adjustRightInd w:val="0"/>
        <w:spacing w:line="480" w:lineRule="auto"/>
        <w:rPr>
          <w:rFonts w:asciiTheme="majorBidi" w:eastAsiaTheme="minorHAnsi" w:hAnsiTheme="majorBidi" w:cstheme="majorBidi"/>
        </w:rPr>
      </w:pPr>
      <w:r w:rsidRPr="009725D5">
        <w:rPr>
          <w:rFonts w:asciiTheme="majorBidi" w:eastAsiaTheme="minorHAnsi" w:hAnsiTheme="majorBidi" w:cstheme="majorBidi"/>
          <w:b/>
          <w:bCs/>
        </w:rPr>
        <w:t>Comprehension</w:t>
      </w:r>
      <w:r w:rsidR="001F19E2">
        <w:rPr>
          <w:rFonts w:asciiTheme="majorBidi" w:eastAsiaTheme="minorHAnsi" w:hAnsiTheme="majorBidi" w:cstheme="majorBidi"/>
          <w:b/>
          <w:bCs/>
        </w:rPr>
        <w:t xml:space="preserve">: </w:t>
      </w:r>
    </w:p>
    <w:p w14:paraId="5519BB72" w14:textId="0DC7F4C8" w:rsidR="009725D5" w:rsidRDefault="00D67E33" w:rsidP="00D67E33">
      <w:pPr>
        <w:pStyle w:val="Paragraphedeliste"/>
        <w:numPr>
          <w:ilvl w:val="0"/>
          <w:numId w:val="3"/>
        </w:numPr>
        <w:tabs>
          <w:tab w:val="left" w:pos="2442"/>
        </w:tabs>
        <w:autoSpaceDE w:val="0"/>
        <w:autoSpaceDN w:val="0"/>
        <w:bidi w:val="0"/>
        <w:adjustRightInd w:val="0"/>
        <w:spacing w:line="480" w:lineRule="auto"/>
        <w:rPr>
          <w:rFonts w:asciiTheme="majorBidi" w:eastAsiaTheme="minorHAnsi" w:hAnsiTheme="majorBidi" w:cstheme="majorBidi"/>
        </w:rPr>
      </w:pPr>
      <w:r>
        <w:rPr>
          <w:rFonts w:asciiTheme="majorBidi" w:eastAsiaTheme="minorHAnsi" w:hAnsiTheme="majorBidi" w:cstheme="majorBidi"/>
        </w:rPr>
        <w:t xml:space="preserve">Description: </w:t>
      </w:r>
      <w:r w:rsidR="009725D5" w:rsidRPr="00D67E33">
        <w:rPr>
          <w:rFonts w:asciiTheme="majorBidi" w:eastAsiaTheme="minorHAnsi" w:hAnsiTheme="majorBidi" w:cstheme="majorBidi"/>
        </w:rPr>
        <w:t>understanding information and being able to explain it</w:t>
      </w:r>
      <w:r w:rsidR="00653F99">
        <w:rPr>
          <w:rFonts w:asciiTheme="majorBidi" w:eastAsiaTheme="minorHAnsi" w:hAnsiTheme="majorBidi" w:cstheme="majorBidi"/>
        </w:rPr>
        <w:t>.</w:t>
      </w:r>
    </w:p>
    <w:p w14:paraId="4C59B8BB" w14:textId="28BE683E" w:rsidR="00653F99" w:rsidRPr="00D67E33" w:rsidRDefault="00653F99" w:rsidP="00653F99">
      <w:pPr>
        <w:pStyle w:val="Paragraphedeliste"/>
        <w:numPr>
          <w:ilvl w:val="0"/>
          <w:numId w:val="3"/>
        </w:numPr>
        <w:tabs>
          <w:tab w:val="left" w:pos="2442"/>
        </w:tabs>
        <w:autoSpaceDE w:val="0"/>
        <w:autoSpaceDN w:val="0"/>
        <w:bidi w:val="0"/>
        <w:adjustRightInd w:val="0"/>
        <w:spacing w:line="480" w:lineRule="auto"/>
        <w:rPr>
          <w:rFonts w:asciiTheme="majorBidi" w:eastAsiaTheme="minorHAnsi" w:hAnsiTheme="majorBidi" w:cstheme="majorBidi"/>
        </w:rPr>
      </w:pPr>
      <w:r>
        <w:rPr>
          <w:rFonts w:asciiTheme="majorBidi" w:eastAsiaTheme="minorHAnsi" w:hAnsiTheme="majorBidi" w:cstheme="majorBidi"/>
        </w:rPr>
        <w:t>Examples of measurable verbs</w:t>
      </w:r>
      <w:r w:rsidR="00FC2DA7">
        <w:rPr>
          <w:rFonts w:asciiTheme="majorBidi" w:eastAsiaTheme="minorHAnsi" w:hAnsiTheme="majorBidi" w:cstheme="majorBidi"/>
        </w:rPr>
        <w:t>: Discuss, identify, express, etc.</w:t>
      </w:r>
    </w:p>
    <w:p w14:paraId="628FDDD6" w14:textId="77777777" w:rsidR="00A45F51" w:rsidRPr="00A45F51" w:rsidRDefault="009725D5" w:rsidP="009725D5">
      <w:pPr>
        <w:pStyle w:val="Paragraphedeliste"/>
        <w:numPr>
          <w:ilvl w:val="0"/>
          <w:numId w:val="2"/>
        </w:numPr>
        <w:tabs>
          <w:tab w:val="left" w:pos="2442"/>
        </w:tabs>
        <w:autoSpaceDE w:val="0"/>
        <w:autoSpaceDN w:val="0"/>
        <w:bidi w:val="0"/>
        <w:adjustRightInd w:val="0"/>
        <w:spacing w:line="480" w:lineRule="auto"/>
        <w:rPr>
          <w:rFonts w:asciiTheme="majorBidi" w:eastAsiaTheme="minorHAnsi" w:hAnsiTheme="majorBidi" w:cstheme="majorBidi"/>
        </w:rPr>
      </w:pPr>
      <w:r w:rsidRPr="009725D5">
        <w:rPr>
          <w:rFonts w:asciiTheme="majorBidi" w:eastAsiaTheme="minorHAnsi" w:hAnsiTheme="majorBidi" w:cstheme="majorBidi"/>
          <w:b/>
          <w:bCs/>
        </w:rPr>
        <w:t>Application</w:t>
      </w:r>
      <w:r w:rsidR="001F19E2">
        <w:rPr>
          <w:rFonts w:asciiTheme="majorBidi" w:eastAsiaTheme="minorHAnsi" w:hAnsiTheme="majorBidi" w:cstheme="majorBidi"/>
          <w:b/>
          <w:bCs/>
        </w:rPr>
        <w:t>:</w:t>
      </w:r>
      <w:r w:rsidRPr="009725D5">
        <w:rPr>
          <w:rFonts w:asciiTheme="majorBidi" w:eastAsiaTheme="minorHAnsi" w:hAnsiTheme="majorBidi" w:cstheme="majorBidi"/>
          <w:b/>
          <w:bCs/>
        </w:rPr>
        <w:t xml:space="preserve"> </w:t>
      </w:r>
    </w:p>
    <w:p w14:paraId="5738ECA3" w14:textId="00E87E4C" w:rsidR="009725D5" w:rsidRDefault="00A45F51" w:rsidP="002D1007">
      <w:pPr>
        <w:pStyle w:val="Paragraphedeliste"/>
        <w:numPr>
          <w:ilvl w:val="0"/>
          <w:numId w:val="3"/>
        </w:numPr>
        <w:tabs>
          <w:tab w:val="left" w:pos="2442"/>
        </w:tabs>
        <w:autoSpaceDE w:val="0"/>
        <w:autoSpaceDN w:val="0"/>
        <w:bidi w:val="0"/>
        <w:adjustRightInd w:val="0"/>
        <w:spacing w:line="480" w:lineRule="auto"/>
        <w:rPr>
          <w:rFonts w:asciiTheme="majorBidi" w:eastAsiaTheme="minorHAnsi" w:hAnsiTheme="majorBidi" w:cstheme="majorBidi"/>
        </w:rPr>
      </w:pPr>
      <w:r>
        <w:rPr>
          <w:rFonts w:asciiTheme="majorBidi" w:eastAsiaTheme="minorHAnsi" w:hAnsiTheme="majorBidi" w:cstheme="majorBidi"/>
        </w:rPr>
        <w:t>Description</w:t>
      </w:r>
      <w:r>
        <w:rPr>
          <w:rFonts w:asciiTheme="majorBidi" w:eastAsiaTheme="minorHAnsi" w:hAnsiTheme="majorBidi" w:cstheme="majorBidi"/>
        </w:rPr>
        <w:t xml:space="preserve">: </w:t>
      </w:r>
      <w:r w:rsidR="009725D5" w:rsidRPr="009725D5">
        <w:rPr>
          <w:rFonts w:asciiTheme="majorBidi" w:eastAsiaTheme="minorHAnsi" w:hAnsiTheme="majorBidi" w:cstheme="majorBidi"/>
        </w:rPr>
        <w:t>using learned material in new and concrete situations</w:t>
      </w:r>
      <w:r w:rsidR="00653F99">
        <w:rPr>
          <w:rFonts w:asciiTheme="majorBidi" w:eastAsiaTheme="minorHAnsi" w:hAnsiTheme="majorBidi" w:cstheme="majorBidi"/>
        </w:rPr>
        <w:t>.</w:t>
      </w:r>
    </w:p>
    <w:p w14:paraId="6227B98C" w14:textId="6FDD8A64" w:rsidR="00653F99" w:rsidRPr="009725D5" w:rsidRDefault="00653F99" w:rsidP="00653F99">
      <w:pPr>
        <w:pStyle w:val="Paragraphedeliste"/>
        <w:numPr>
          <w:ilvl w:val="0"/>
          <w:numId w:val="3"/>
        </w:numPr>
        <w:tabs>
          <w:tab w:val="left" w:pos="2442"/>
        </w:tabs>
        <w:autoSpaceDE w:val="0"/>
        <w:autoSpaceDN w:val="0"/>
        <w:bidi w:val="0"/>
        <w:adjustRightInd w:val="0"/>
        <w:spacing w:line="480" w:lineRule="auto"/>
        <w:rPr>
          <w:rFonts w:asciiTheme="majorBidi" w:eastAsiaTheme="minorHAnsi" w:hAnsiTheme="majorBidi" w:cstheme="majorBidi"/>
        </w:rPr>
      </w:pPr>
      <w:r>
        <w:rPr>
          <w:rFonts w:asciiTheme="majorBidi" w:eastAsiaTheme="minorHAnsi" w:hAnsiTheme="majorBidi" w:cstheme="majorBidi"/>
        </w:rPr>
        <w:t>Examples of measurable verbs</w:t>
      </w:r>
      <w:r w:rsidR="00FC2DA7">
        <w:rPr>
          <w:rFonts w:asciiTheme="majorBidi" w:eastAsiaTheme="minorHAnsi" w:hAnsiTheme="majorBidi" w:cstheme="majorBidi"/>
        </w:rPr>
        <w:t>: Apply, employ, modify, etc.</w:t>
      </w:r>
    </w:p>
    <w:p w14:paraId="031907AB" w14:textId="77777777" w:rsidR="002D1007" w:rsidRDefault="009725D5" w:rsidP="009725D5">
      <w:pPr>
        <w:pStyle w:val="Paragraphedeliste"/>
        <w:numPr>
          <w:ilvl w:val="0"/>
          <w:numId w:val="2"/>
        </w:numPr>
        <w:tabs>
          <w:tab w:val="left" w:pos="2442"/>
        </w:tabs>
        <w:autoSpaceDE w:val="0"/>
        <w:autoSpaceDN w:val="0"/>
        <w:bidi w:val="0"/>
        <w:adjustRightInd w:val="0"/>
        <w:spacing w:line="480" w:lineRule="auto"/>
        <w:rPr>
          <w:rFonts w:asciiTheme="majorBidi" w:eastAsiaTheme="minorHAnsi" w:hAnsiTheme="majorBidi" w:cstheme="majorBidi"/>
          <w:b/>
          <w:bCs/>
        </w:rPr>
      </w:pPr>
      <w:r w:rsidRPr="009725D5">
        <w:rPr>
          <w:rFonts w:asciiTheme="majorBidi" w:eastAsiaTheme="minorHAnsi" w:hAnsiTheme="majorBidi" w:cstheme="majorBidi"/>
          <w:b/>
          <w:bCs/>
        </w:rPr>
        <w:t>Analysis</w:t>
      </w:r>
      <w:r w:rsidR="001F19E2">
        <w:rPr>
          <w:rFonts w:asciiTheme="majorBidi" w:eastAsiaTheme="minorHAnsi" w:hAnsiTheme="majorBidi" w:cstheme="majorBidi"/>
          <w:b/>
          <w:bCs/>
        </w:rPr>
        <w:t>:</w:t>
      </w:r>
    </w:p>
    <w:p w14:paraId="3DDB1C74" w14:textId="6786AB82" w:rsidR="009725D5" w:rsidRPr="00653F99" w:rsidRDefault="002D1007" w:rsidP="002D1007">
      <w:pPr>
        <w:pStyle w:val="Paragraphedeliste"/>
        <w:numPr>
          <w:ilvl w:val="0"/>
          <w:numId w:val="3"/>
        </w:numPr>
        <w:tabs>
          <w:tab w:val="left" w:pos="2442"/>
        </w:tabs>
        <w:autoSpaceDE w:val="0"/>
        <w:autoSpaceDN w:val="0"/>
        <w:bidi w:val="0"/>
        <w:adjustRightInd w:val="0"/>
        <w:spacing w:line="480" w:lineRule="auto"/>
        <w:rPr>
          <w:rFonts w:asciiTheme="majorBidi" w:eastAsiaTheme="minorHAnsi" w:hAnsiTheme="majorBidi" w:cstheme="majorBidi"/>
          <w:b/>
          <w:bCs/>
        </w:rPr>
      </w:pPr>
      <w:r>
        <w:rPr>
          <w:rFonts w:asciiTheme="majorBidi" w:eastAsiaTheme="minorHAnsi" w:hAnsiTheme="majorBidi" w:cstheme="majorBidi"/>
        </w:rPr>
        <w:t>Description</w:t>
      </w:r>
      <w:r>
        <w:rPr>
          <w:rFonts w:asciiTheme="majorBidi" w:eastAsiaTheme="minorHAnsi" w:hAnsiTheme="majorBidi" w:cstheme="majorBidi"/>
        </w:rPr>
        <w:t>:</w:t>
      </w:r>
      <w:r w:rsidR="001F19E2">
        <w:rPr>
          <w:rFonts w:asciiTheme="majorBidi" w:eastAsiaTheme="minorHAnsi" w:hAnsiTheme="majorBidi" w:cstheme="majorBidi"/>
          <w:b/>
          <w:bCs/>
        </w:rPr>
        <w:t xml:space="preserve"> </w:t>
      </w:r>
      <w:r w:rsidR="009725D5" w:rsidRPr="009725D5">
        <w:rPr>
          <w:rFonts w:asciiTheme="majorBidi" w:eastAsiaTheme="minorHAnsi" w:hAnsiTheme="majorBidi" w:cstheme="majorBidi"/>
        </w:rPr>
        <w:t>breaking material into parts to understand structure and relationships</w:t>
      </w:r>
      <w:r w:rsidR="00653F99">
        <w:rPr>
          <w:rFonts w:asciiTheme="majorBidi" w:eastAsiaTheme="minorHAnsi" w:hAnsiTheme="majorBidi" w:cstheme="majorBidi"/>
        </w:rPr>
        <w:t>.</w:t>
      </w:r>
    </w:p>
    <w:p w14:paraId="0F3BE143" w14:textId="5C502F12" w:rsidR="00653F99" w:rsidRPr="00FC2DA7" w:rsidRDefault="00653F99" w:rsidP="00653F99">
      <w:pPr>
        <w:pStyle w:val="Paragraphedeliste"/>
        <w:numPr>
          <w:ilvl w:val="0"/>
          <w:numId w:val="3"/>
        </w:numPr>
        <w:tabs>
          <w:tab w:val="left" w:pos="2442"/>
        </w:tabs>
        <w:autoSpaceDE w:val="0"/>
        <w:autoSpaceDN w:val="0"/>
        <w:bidi w:val="0"/>
        <w:adjustRightInd w:val="0"/>
        <w:spacing w:line="480" w:lineRule="auto"/>
        <w:rPr>
          <w:rFonts w:asciiTheme="majorBidi" w:eastAsiaTheme="minorHAnsi" w:hAnsiTheme="majorBidi" w:cstheme="majorBidi"/>
          <w:b/>
          <w:bCs/>
        </w:rPr>
      </w:pPr>
      <w:r>
        <w:rPr>
          <w:rFonts w:asciiTheme="majorBidi" w:eastAsiaTheme="minorHAnsi" w:hAnsiTheme="majorBidi" w:cstheme="majorBidi"/>
        </w:rPr>
        <w:t>Examples of measurable verbs</w:t>
      </w:r>
      <w:r w:rsidR="00FC2DA7">
        <w:rPr>
          <w:rFonts w:asciiTheme="majorBidi" w:eastAsiaTheme="minorHAnsi" w:hAnsiTheme="majorBidi" w:cstheme="majorBidi"/>
        </w:rPr>
        <w:t>: Analyze, examine, distinguish, etc.</w:t>
      </w:r>
    </w:p>
    <w:p w14:paraId="7F3F263D" w14:textId="77777777" w:rsidR="00FC2DA7" w:rsidRDefault="00FC2DA7" w:rsidP="00FC2DA7">
      <w:pPr>
        <w:tabs>
          <w:tab w:val="left" w:pos="2442"/>
        </w:tabs>
        <w:autoSpaceDE w:val="0"/>
        <w:autoSpaceDN w:val="0"/>
        <w:bidi w:val="0"/>
        <w:adjustRightInd w:val="0"/>
        <w:spacing w:line="480" w:lineRule="auto"/>
        <w:rPr>
          <w:rFonts w:asciiTheme="majorBidi" w:eastAsiaTheme="minorHAnsi" w:hAnsiTheme="majorBidi" w:cstheme="majorBidi"/>
          <w:b/>
          <w:bCs/>
        </w:rPr>
      </w:pPr>
    </w:p>
    <w:p w14:paraId="611A672B" w14:textId="77777777" w:rsidR="00FC2DA7" w:rsidRPr="00FC2DA7" w:rsidRDefault="00FC2DA7" w:rsidP="00FC2DA7">
      <w:pPr>
        <w:tabs>
          <w:tab w:val="left" w:pos="2442"/>
        </w:tabs>
        <w:autoSpaceDE w:val="0"/>
        <w:autoSpaceDN w:val="0"/>
        <w:bidi w:val="0"/>
        <w:adjustRightInd w:val="0"/>
        <w:spacing w:line="480" w:lineRule="auto"/>
        <w:rPr>
          <w:rFonts w:asciiTheme="majorBidi" w:eastAsiaTheme="minorHAnsi" w:hAnsiTheme="majorBidi" w:cstheme="majorBidi"/>
          <w:b/>
          <w:bCs/>
        </w:rPr>
      </w:pPr>
    </w:p>
    <w:p w14:paraId="3381515E" w14:textId="77777777" w:rsidR="002D1007" w:rsidRDefault="009725D5" w:rsidP="009725D5">
      <w:pPr>
        <w:pStyle w:val="Paragraphedeliste"/>
        <w:numPr>
          <w:ilvl w:val="0"/>
          <w:numId w:val="2"/>
        </w:numPr>
        <w:tabs>
          <w:tab w:val="left" w:pos="2442"/>
        </w:tabs>
        <w:autoSpaceDE w:val="0"/>
        <w:autoSpaceDN w:val="0"/>
        <w:bidi w:val="0"/>
        <w:adjustRightInd w:val="0"/>
        <w:spacing w:line="480" w:lineRule="auto"/>
        <w:rPr>
          <w:rFonts w:asciiTheme="majorBidi" w:eastAsiaTheme="minorHAnsi" w:hAnsiTheme="majorBidi" w:cstheme="majorBidi"/>
          <w:b/>
          <w:bCs/>
        </w:rPr>
      </w:pPr>
      <w:r w:rsidRPr="009725D5">
        <w:rPr>
          <w:rFonts w:asciiTheme="majorBidi" w:eastAsiaTheme="minorHAnsi" w:hAnsiTheme="majorBidi" w:cstheme="majorBidi"/>
          <w:b/>
          <w:bCs/>
        </w:rPr>
        <w:t>Synthesis</w:t>
      </w:r>
      <w:r w:rsidR="001F19E2">
        <w:rPr>
          <w:rFonts w:asciiTheme="majorBidi" w:eastAsiaTheme="minorHAnsi" w:hAnsiTheme="majorBidi" w:cstheme="majorBidi"/>
          <w:b/>
          <w:bCs/>
        </w:rPr>
        <w:t xml:space="preserve">: </w:t>
      </w:r>
    </w:p>
    <w:p w14:paraId="19DF75EB" w14:textId="6E4F860B" w:rsidR="009725D5" w:rsidRPr="00653F99" w:rsidRDefault="002D1007" w:rsidP="002D1007">
      <w:pPr>
        <w:pStyle w:val="Paragraphedeliste"/>
        <w:numPr>
          <w:ilvl w:val="0"/>
          <w:numId w:val="3"/>
        </w:numPr>
        <w:tabs>
          <w:tab w:val="left" w:pos="2442"/>
        </w:tabs>
        <w:autoSpaceDE w:val="0"/>
        <w:autoSpaceDN w:val="0"/>
        <w:bidi w:val="0"/>
        <w:adjustRightInd w:val="0"/>
        <w:spacing w:line="480" w:lineRule="auto"/>
        <w:rPr>
          <w:rFonts w:asciiTheme="majorBidi" w:eastAsiaTheme="minorHAnsi" w:hAnsiTheme="majorBidi" w:cstheme="majorBidi"/>
          <w:b/>
          <w:bCs/>
        </w:rPr>
      </w:pPr>
      <w:r>
        <w:rPr>
          <w:rFonts w:asciiTheme="majorBidi" w:eastAsiaTheme="minorHAnsi" w:hAnsiTheme="majorBidi" w:cstheme="majorBidi"/>
        </w:rPr>
        <w:t>Description</w:t>
      </w:r>
      <w:r w:rsidR="00535BFD">
        <w:rPr>
          <w:rFonts w:asciiTheme="majorBidi" w:eastAsiaTheme="minorHAnsi" w:hAnsiTheme="majorBidi" w:cstheme="majorBidi"/>
        </w:rPr>
        <w:t xml:space="preserve">: </w:t>
      </w:r>
      <w:r w:rsidR="009725D5" w:rsidRPr="009725D5">
        <w:rPr>
          <w:rFonts w:asciiTheme="majorBidi" w:eastAsiaTheme="minorHAnsi" w:hAnsiTheme="majorBidi" w:cstheme="majorBidi"/>
        </w:rPr>
        <w:t>combining elements to form a new whole or original product</w:t>
      </w:r>
      <w:r w:rsidR="00653F99">
        <w:rPr>
          <w:rFonts w:asciiTheme="majorBidi" w:eastAsiaTheme="minorHAnsi" w:hAnsiTheme="majorBidi" w:cstheme="majorBidi"/>
        </w:rPr>
        <w:t>.</w:t>
      </w:r>
    </w:p>
    <w:p w14:paraId="274C37F0" w14:textId="295D0A8B" w:rsidR="002D1007" w:rsidRPr="00FC2DA7" w:rsidRDefault="00653F99" w:rsidP="00FC2DA7">
      <w:pPr>
        <w:pStyle w:val="Paragraphedeliste"/>
        <w:numPr>
          <w:ilvl w:val="0"/>
          <w:numId w:val="3"/>
        </w:numPr>
        <w:tabs>
          <w:tab w:val="left" w:pos="2442"/>
        </w:tabs>
        <w:autoSpaceDE w:val="0"/>
        <w:autoSpaceDN w:val="0"/>
        <w:bidi w:val="0"/>
        <w:adjustRightInd w:val="0"/>
        <w:spacing w:line="480" w:lineRule="auto"/>
        <w:rPr>
          <w:rFonts w:asciiTheme="majorBidi" w:eastAsiaTheme="minorHAnsi" w:hAnsiTheme="majorBidi" w:cstheme="majorBidi"/>
          <w:b/>
          <w:bCs/>
        </w:rPr>
      </w:pPr>
      <w:r>
        <w:rPr>
          <w:rFonts w:asciiTheme="majorBidi" w:eastAsiaTheme="minorHAnsi" w:hAnsiTheme="majorBidi" w:cstheme="majorBidi"/>
        </w:rPr>
        <w:t>Examples of measurable verbs</w:t>
      </w:r>
      <w:r w:rsidR="00FC2DA7">
        <w:rPr>
          <w:rFonts w:asciiTheme="majorBidi" w:eastAsiaTheme="minorHAnsi" w:hAnsiTheme="majorBidi" w:cstheme="majorBidi"/>
        </w:rPr>
        <w:t>: construct, arrange, develop, etc.</w:t>
      </w:r>
    </w:p>
    <w:p w14:paraId="602E5DA6" w14:textId="77777777" w:rsidR="002D1007" w:rsidRPr="002D1007" w:rsidRDefault="009725D5" w:rsidP="009725D5">
      <w:pPr>
        <w:pStyle w:val="Paragraphedeliste"/>
        <w:numPr>
          <w:ilvl w:val="0"/>
          <w:numId w:val="2"/>
        </w:numPr>
        <w:tabs>
          <w:tab w:val="left" w:pos="2442"/>
        </w:tabs>
        <w:autoSpaceDE w:val="0"/>
        <w:autoSpaceDN w:val="0"/>
        <w:bidi w:val="0"/>
        <w:adjustRightInd w:val="0"/>
        <w:spacing w:line="480" w:lineRule="auto"/>
        <w:rPr>
          <w:rFonts w:asciiTheme="majorBidi" w:eastAsiaTheme="minorHAnsi" w:hAnsiTheme="majorBidi" w:cstheme="majorBidi"/>
        </w:rPr>
      </w:pPr>
      <w:r w:rsidRPr="009725D5">
        <w:rPr>
          <w:rFonts w:asciiTheme="majorBidi" w:eastAsiaTheme="minorHAnsi" w:hAnsiTheme="majorBidi" w:cstheme="majorBidi"/>
          <w:b/>
          <w:bCs/>
        </w:rPr>
        <w:t>Evaluation</w:t>
      </w:r>
      <w:r w:rsidR="001F19E2">
        <w:rPr>
          <w:rFonts w:asciiTheme="majorBidi" w:eastAsiaTheme="minorHAnsi" w:hAnsiTheme="majorBidi" w:cstheme="majorBidi"/>
          <w:b/>
          <w:bCs/>
        </w:rPr>
        <w:t xml:space="preserve">: </w:t>
      </w:r>
    </w:p>
    <w:p w14:paraId="2CBB81CD" w14:textId="61BF2A7F" w:rsidR="009725D5" w:rsidRDefault="002D1007" w:rsidP="008A42D2">
      <w:pPr>
        <w:pStyle w:val="Paragraphedeliste"/>
        <w:numPr>
          <w:ilvl w:val="0"/>
          <w:numId w:val="3"/>
        </w:numPr>
        <w:tabs>
          <w:tab w:val="left" w:pos="2442"/>
        </w:tabs>
        <w:autoSpaceDE w:val="0"/>
        <w:autoSpaceDN w:val="0"/>
        <w:bidi w:val="0"/>
        <w:adjustRightInd w:val="0"/>
        <w:spacing w:line="480" w:lineRule="auto"/>
        <w:rPr>
          <w:rFonts w:asciiTheme="majorBidi" w:eastAsiaTheme="minorHAnsi" w:hAnsiTheme="majorBidi" w:cstheme="majorBidi"/>
        </w:rPr>
      </w:pPr>
      <w:r>
        <w:rPr>
          <w:rFonts w:asciiTheme="majorBidi" w:eastAsiaTheme="minorHAnsi" w:hAnsiTheme="majorBidi" w:cstheme="majorBidi"/>
        </w:rPr>
        <w:t>Description</w:t>
      </w:r>
      <w:r>
        <w:rPr>
          <w:rFonts w:asciiTheme="majorBidi" w:eastAsiaTheme="minorHAnsi" w:hAnsiTheme="majorBidi" w:cstheme="majorBidi"/>
        </w:rPr>
        <w:t xml:space="preserve">: </w:t>
      </w:r>
      <w:r w:rsidR="009725D5" w:rsidRPr="009725D5">
        <w:rPr>
          <w:rFonts w:asciiTheme="majorBidi" w:eastAsiaTheme="minorHAnsi" w:hAnsiTheme="majorBidi" w:cstheme="majorBidi"/>
        </w:rPr>
        <w:t>making judgments based on criteria and standards</w:t>
      </w:r>
      <w:r w:rsidR="00653F99">
        <w:rPr>
          <w:rFonts w:asciiTheme="majorBidi" w:eastAsiaTheme="minorHAnsi" w:hAnsiTheme="majorBidi" w:cstheme="majorBidi"/>
        </w:rPr>
        <w:t>.</w:t>
      </w:r>
    </w:p>
    <w:p w14:paraId="6A15CAAB" w14:textId="7332762E" w:rsidR="00653F99" w:rsidRDefault="00653F99" w:rsidP="00653F99">
      <w:pPr>
        <w:pStyle w:val="Paragraphedeliste"/>
        <w:numPr>
          <w:ilvl w:val="0"/>
          <w:numId w:val="3"/>
        </w:numPr>
        <w:tabs>
          <w:tab w:val="left" w:pos="2442"/>
        </w:tabs>
        <w:autoSpaceDE w:val="0"/>
        <w:autoSpaceDN w:val="0"/>
        <w:bidi w:val="0"/>
        <w:adjustRightInd w:val="0"/>
        <w:spacing w:line="480" w:lineRule="auto"/>
        <w:rPr>
          <w:rFonts w:asciiTheme="majorBidi" w:eastAsiaTheme="minorHAnsi" w:hAnsiTheme="majorBidi" w:cstheme="majorBidi"/>
        </w:rPr>
      </w:pPr>
      <w:r>
        <w:rPr>
          <w:rFonts w:asciiTheme="majorBidi" w:eastAsiaTheme="minorHAnsi" w:hAnsiTheme="majorBidi" w:cstheme="majorBidi"/>
        </w:rPr>
        <w:t>Examples of measurable verbs</w:t>
      </w:r>
      <w:r w:rsidR="00FC2DA7">
        <w:rPr>
          <w:rFonts w:asciiTheme="majorBidi" w:eastAsiaTheme="minorHAnsi" w:hAnsiTheme="majorBidi" w:cstheme="majorBidi"/>
        </w:rPr>
        <w:t>: argue, assess, evaluate, etc.</w:t>
      </w:r>
    </w:p>
    <w:p w14:paraId="791BD211" w14:textId="77777777" w:rsidR="008A42D2" w:rsidRDefault="008A42D2" w:rsidP="008A42D2">
      <w:pPr>
        <w:tabs>
          <w:tab w:val="left" w:pos="2442"/>
        </w:tabs>
        <w:autoSpaceDE w:val="0"/>
        <w:autoSpaceDN w:val="0"/>
        <w:bidi w:val="0"/>
        <w:adjustRightInd w:val="0"/>
        <w:spacing w:line="480" w:lineRule="auto"/>
        <w:rPr>
          <w:rFonts w:asciiTheme="majorBidi" w:eastAsiaTheme="minorHAnsi" w:hAnsiTheme="majorBidi" w:cstheme="majorBidi"/>
        </w:rPr>
      </w:pPr>
    </w:p>
    <w:p w14:paraId="3B7C3BDD" w14:textId="77777777" w:rsidR="008A42D2" w:rsidRDefault="008A42D2" w:rsidP="008A42D2">
      <w:pPr>
        <w:tabs>
          <w:tab w:val="left" w:pos="2442"/>
        </w:tabs>
        <w:autoSpaceDE w:val="0"/>
        <w:autoSpaceDN w:val="0"/>
        <w:bidi w:val="0"/>
        <w:adjustRightInd w:val="0"/>
        <w:spacing w:line="480" w:lineRule="auto"/>
        <w:rPr>
          <w:rFonts w:asciiTheme="majorBidi" w:eastAsiaTheme="minorHAnsi" w:hAnsiTheme="majorBidi" w:cstheme="majorBidi"/>
        </w:rPr>
      </w:pPr>
    </w:p>
    <w:p w14:paraId="3B8EEC40" w14:textId="77777777" w:rsidR="008A42D2" w:rsidRDefault="008A42D2" w:rsidP="008A42D2">
      <w:pPr>
        <w:tabs>
          <w:tab w:val="left" w:pos="2442"/>
        </w:tabs>
        <w:autoSpaceDE w:val="0"/>
        <w:autoSpaceDN w:val="0"/>
        <w:bidi w:val="0"/>
        <w:adjustRightInd w:val="0"/>
        <w:spacing w:line="480" w:lineRule="auto"/>
        <w:rPr>
          <w:rFonts w:asciiTheme="majorBidi" w:eastAsiaTheme="minorHAnsi" w:hAnsiTheme="majorBidi" w:cstheme="majorBidi"/>
        </w:rPr>
      </w:pPr>
    </w:p>
    <w:p w14:paraId="219626DC" w14:textId="3EF9D21B" w:rsidR="008A42D2" w:rsidRPr="008A42D2" w:rsidRDefault="008A42D2" w:rsidP="008A42D2">
      <w:pPr>
        <w:tabs>
          <w:tab w:val="left" w:pos="2442"/>
        </w:tabs>
        <w:autoSpaceDE w:val="0"/>
        <w:autoSpaceDN w:val="0"/>
        <w:bidi w:val="0"/>
        <w:adjustRightInd w:val="0"/>
        <w:spacing w:line="480" w:lineRule="auto"/>
        <w:rPr>
          <w:rFonts w:asciiTheme="majorBidi" w:eastAsiaTheme="minorHAnsi" w:hAnsiTheme="majorBidi" w:cstheme="majorBidi"/>
          <w:b/>
          <w:bCs/>
        </w:rPr>
      </w:pPr>
      <w:r w:rsidRPr="008A42D2">
        <w:rPr>
          <w:rFonts w:asciiTheme="majorBidi" w:eastAsiaTheme="minorHAnsi" w:hAnsiTheme="majorBidi" w:cstheme="majorBidi"/>
          <w:b/>
          <w:bCs/>
        </w:rPr>
        <w:t>Bibliography</w:t>
      </w:r>
    </w:p>
    <w:p w14:paraId="092919BC" w14:textId="49C97230" w:rsidR="008A42D2" w:rsidRPr="00325D78" w:rsidRDefault="008A42D2" w:rsidP="00325D78">
      <w:pPr>
        <w:bidi w:val="0"/>
        <w:ind w:left="709" w:hanging="709"/>
        <w:rPr>
          <w:rFonts w:asciiTheme="majorBidi" w:hAnsiTheme="majorBidi" w:cstheme="majorBidi"/>
        </w:rPr>
      </w:pPr>
      <w:r w:rsidRPr="00325D78">
        <w:rPr>
          <w:rFonts w:asciiTheme="majorBidi" w:hAnsiTheme="majorBidi" w:cstheme="majorBidi"/>
        </w:rPr>
        <w:t>Bloom</w:t>
      </w:r>
      <w:r w:rsidR="004E1F34">
        <w:rPr>
          <w:rFonts w:asciiTheme="majorBidi" w:hAnsiTheme="majorBidi" w:cstheme="majorBidi"/>
        </w:rPr>
        <w:t>, B.S.</w:t>
      </w:r>
      <w:r w:rsidRPr="00325D78">
        <w:rPr>
          <w:rFonts w:asciiTheme="majorBidi" w:hAnsiTheme="majorBidi" w:cstheme="majorBidi"/>
        </w:rPr>
        <w:t xml:space="preserve"> (Ed.). </w:t>
      </w:r>
      <w:r w:rsidRPr="00325D78">
        <w:rPr>
          <w:rFonts w:asciiTheme="majorBidi" w:hAnsiTheme="majorBidi" w:cstheme="majorBidi"/>
        </w:rPr>
        <w:t xml:space="preserve">(1956). </w:t>
      </w:r>
      <w:r w:rsidRPr="00325D78">
        <w:rPr>
          <w:rFonts w:asciiTheme="majorBidi" w:hAnsiTheme="majorBidi" w:cstheme="majorBidi"/>
          <w:i/>
          <w:iCs/>
        </w:rPr>
        <w:t>Taxonomy of Educational Objectives: The Classification of Educational Goals, Handbook I: Cognitive Domain.</w:t>
      </w:r>
      <w:r w:rsidR="0028121E">
        <w:rPr>
          <w:rFonts w:asciiTheme="majorBidi" w:hAnsiTheme="majorBidi" w:cstheme="majorBidi"/>
        </w:rPr>
        <w:t xml:space="preserve"> </w:t>
      </w:r>
      <w:r w:rsidRPr="00325D78">
        <w:rPr>
          <w:rFonts w:asciiTheme="majorBidi" w:hAnsiTheme="majorBidi" w:cstheme="majorBidi"/>
        </w:rPr>
        <w:t>L</w:t>
      </w:r>
      <w:r w:rsidR="00CA2B59" w:rsidRPr="00325D78">
        <w:rPr>
          <w:rFonts w:asciiTheme="majorBidi" w:hAnsiTheme="majorBidi" w:cstheme="majorBidi"/>
        </w:rPr>
        <w:t>ongmans</w:t>
      </w:r>
      <w:r w:rsidRPr="00325D78">
        <w:rPr>
          <w:rFonts w:asciiTheme="majorBidi" w:hAnsiTheme="majorBidi" w:cstheme="majorBidi"/>
        </w:rPr>
        <w:t>, G</w:t>
      </w:r>
      <w:r w:rsidR="00CA2B59" w:rsidRPr="00325D78">
        <w:rPr>
          <w:rFonts w:asciiTheme="majorBidi" w:hAnsiTheme="majorBidi" w:cstheme="majorBidi"/>
        </w:rPr>
        <w:t>reen</w:t>
      </w:r>
      <w:r w:rsidRPr="00325D78">
        <w:rPr>
          <w:rFonts w:asciiTheme="majorBidi" w:hAnsiTheme="majorBidi" w:cstheme="majorBidi"/>
        </w:rPr>
        <w:t xml:space="preserve">, </w:t>
      </w:r>
      <w:r w:rsidR="00CA2B59" w:rsidRPr="00325D78">
        <w:rPr>
          <w:rFonts w:asciiTheme="majorBidi" w:hAnsiTheme="majorBidi" w:cstheme="majorBidi"/>
        </w:rPr>
        <w:t>and</w:t>
      </w:r>
      <w:r w:rsidRPr="00325D78">
        <w:rPr>
          <w:rFonts w:asciiTheme="majorBidi" w:hAnsiTheme="majorBidi" w:cstheme="majorBidi"/>
        </w:rPr>
        <w:t xml:space="preserve"> C</w:t>
      </w:r>
      <w:r w:rsidR="00CA2B59" w:rsidRPr="00325D78">
        <w:rPr>
          <w:rFonts w:asciiTheme="majorBidi" w:hAnsiTheme="majorBidi" w:cstheme="majorBidi"/>
        </w:rPr>
        <w:t>o</w:t>
      </w:r>
      <w:r w:rsidRPr="00325D78">
        <w:rPr>
          <w:rFonts w:asciiTheme="majorBidi" w:hAnsiTheme="majorBidi" w:cstheme="majorBidi"/>
        </w:rPr>
        <w:t xml:space="preserve"> L</w:t>
      </w:r>
      <w:r w:rsidR="00CA2B59" w:rsidRPr="00325D78">
        <w:rPr>
          <w:rFonts w:asciiTheme="majorBidi" w:hAnsiTheme="majorBidi" w:cstheme="majorBidi"/>
        </w:rPr>
        <w:t>td</w:t>
      </w:r>
      <w:r w:rsidRPr="00325D78">
        <w:rPr>
          <w:rFonts w:asciiTheme="majorBidi" w:hAnsiTheme="majorBidi" w:cstheme="majorBidi"/>
        </w:rPr>
        <w:t xml:space="preserve">. </w:t>
      </w:r>
    </w:p>
    <w:p w14:paraId="08CCE963" w14:textId="2B9D329B" w:rsidR="008A42D2" w:rsidRPr="00325D78" w:rsidRDefault="008A42D2" w:rsidP="00325D78">
      <w:pPr>
        <w:bidi w:val="0"/>
        <w:ind w:left="709" w:hanging="709"/>
        <w:rPr>
          <w:rFonts w:asciiTheme="majorBidi" w:hAnsiTheme="majorBidi" w:cstheme="majorBidi"/>
        </w:rPr>
      </w:pPr>
      <w:r w:rsidRPr="00325D78">
        <w:rPr>
          <w:rFonts w:asciiTheme="majorBidi" w:hAnsiTheme="majorBidi" w:cstheme="majorBidi"/>
        </w:rPr>
        <w:t xml:space="preserve"> Anderson</w:t>
      </w:r>
      <w:r w:rsidR="004E1F34">
        <w:rPr>
          <w:rFonts w:asciiTheme="majorBidi" w:hAnsiTheme="majorBidi" w:cstheme="majorBidi"/>
        </w:rPr>
        <w:t>, L.W.</w:t>
      </w:r>
      <w:r w:rsidRPr="00325D78">
        <w:rPr>
          <w:rFonts w:asciiTheme="majorBidi" w:hAnsiTheme="majorBidi" w:cstheme="majorBidi"/>
        </w:rPr>
        <w:t xml:space="preserve"> &amp;</w:t>
      </w:r>
      <w:r w:rsidR="004E1F34">
        <w:rPr>
          <w:rFonts w:asciiTheme="majorBidi" w:hAnsiTheme="majorBidi" w:cstheme="majorBidi"/>
        </w:rPr>
        <w:t xml:space="preserve"> </w:t>
      </w:r>
      <w:r w:rsidRPr="00325D78">
        <w:rPr>
          <w:rFonts w:asciiTheme="majorBidi" w:hAnsiTheme="majorBidi" w:cstheme="majorBidi"/>
        </w:rPr>
        <w:t>Krathwohl</w:t>
      </w:r>
      <w:r w:rsidR="004E1F34">
        <w:rPr>
          <w:rFonts w:asciiTheme="majorBidi" w:hAnsiTheme="majorBidi" w:cstheme="majorBidi"/>
        </w:rPr>
        <w:t>, D.R.</w:t>
      </w:r>
      <w:r w:rsidRPr="00325D78">
        <w:rPr>
          <w:rFonts w:asciiTheme="majorBidi" w:hAnsiTheme="majorBidi" w:cstheme="majorBidi"/>
        </w:rPr>
        <w:t xml:space="preserve"> (Eds.). </w:t>
      </w:r>
      <w:r w:rsidR="00CA2B59" w:rsidRPr="00325D78">
        <w:rPr>
          <w:rFonts w:asciiTheme="majorBidi" w:hAnsiTheme="majorBidi" w:cstheme="majorBidi"/>
        </w:rPr>
        <w:t>(</w:t>
      </w:r>
      <w:r w:rsidR="00CA2B59" w:rsidRPr="00325D78">
        <w:rPr>
          <w:rFonts w:asciiTheme="majorBidi" w:hAnsiTheme="majorBidi" w:cstheme="majorBidi"/>
        </w:rPr>
        <w:t>2001</w:t>
      </w:r>
      <w:r w:rsidR="00CA2B59" w:rsidRPr="00325D78">
        <w:rPr>
          <w:rFonts w:asciiTheme="majorBidi" w:hAnsiTheme="majorBidi" w:cstheme="majorBidi"/>
        </w:rPr>
        <w:t xml:space="preserve">). </w:t>
      </w:r>
      <w:r w:rsidRPr="00325D78">
        <w:rPr>
          <w:rFonts w:asciiTheme="majorBidi" w:hAnsiTheme="majorBidi" w:cstheme="majorBidi"/>
          <w:i/>
          <w:iCs/>
        </w:rPr>
        <w:t xml:space="preserve">A Taxonomy for </w:t>
      </w:r>
      <w:r w:rsidR="00E279A3">
        <w:rPr>
          <w:rFonts w:asciiTheme="majorBidi" w:hAnsiTheme="majorBidi" w:cstheme="majorBidi"/>
          <w:i/>
          <w:iCs/>
        </w:rPr>
        <w:t>l</w:t>
      </w:r>
      <w:r w:rsidRPr="00325D78">
        <w:rPr>
          <w:rFonts w:asciiTheme="majorBidi" w:hAnsiTheme="majorBidi" w:cstheme="majorBidi"/>
          <w:i/>
          <w:iCs/>
        </w:rPr>
        <w:t xml:space="preserve">earning, </w:t>
      </w:r>
      <w:r w:rsidR="00E279A3">
        <w:rPr>
          <w:rFonts w:asciiTheme="majorBidi" w:hAnsiTheme="majorBidi" w:cstheme="majorBidi"/>
          <w:i/>
          <w:iCs/>
        </w:rPr>
        <w:t>t</w:t>
      </w:r>
      <w:r w:rsidRPr="00325D78">
        <w:rPr>
          <w:rFonts w:asciiTheme="majorBidi" w:hAnsiTheme="majorBidi" w:cstheme="majorBidi"/>
          <w:i/>
          <w:iCs/>
        </w:rPr>
        <w:t xml:space="preserve">eaching, and </w:t>
      </w:r>
      <w:r w:rsidR="00E279A3">
        <w:rPr>
          <w:rFonts w:asciiTheme="majorBidi" w:hAnsiTheme="majorBidi" w:cstheme="majorBidi"/>
          <w:i/>
          <w:iCs/>
        </w:rPr>
        <w:t>a</w:t>
      </w:r>
      <w:r w:rsidRPr="00325D78">
        <w:rPr>
          <w:rFonts w:asciiTheme="majorBidi" w:hAnsiTheme="majorBidi" w:cstheme="majorBidi"/>
          <w:i/>
          <w:iCs/>
        </w:rPr>
        <w:t xml:space="preserve">ssessing: A </w:t>
      </w:r>
      <w:r w:rsidR="00E279A3">
        <w:rPr>
          <w:rFonts w:asciiTheme="majorBidi" w:hAnsiTheme="majorBidi" w:cstheme="majorBidi"/>
          <w:i/>
          <w:iCs/>
        </w:rPr>
        <w:t>r</w:t>
      </w:r>
      <w:r w:rsidRPr="00325D78">
        <w:rPr>
          <w:rFonts w:asciiTheme="majorBidi" w:hAnsiTheme="majorBidi" w:cstheme="majorBidi"/>
          <w:i/>
          <w:iCs/>
        </w:rPr>
        <w:t xml:space="preserve">evision of Bloom’s </w:t>
      </w:r>
      <w:r w:rsidR="00E279A3">
        <w:rPr>
          <w:rFonts w:asciiTheme="majorBidi" w:hAnsiTheme="majorBidi" w:cstheme="majorBidi"/>
          <w:i/>
          <w:iCs/>
        </w:rPr>
        <w:t>t</w:t>
      </w:r>
      <w:r w:rsidRPr="00325D78">
        <w:rPr>
          <w:rFonts w:asciiTheme="majorBidi" w:hAnsiTheme="majorBidi" w:cstheme="majorBidi"/>
          <w:i/>
          <w:iCs/>
        </w:rPr>
        <w:t xml:space="preserve">axonomy of </w:t>
      </w:r>
      <w:r w:rsidR="00E279A3">
        <w:rPr>
          <w:rFonts w:asciiTheme="majorBidi" w:hAnsiTheme="majorBidi" w:cstheme="majorBidi"/>
          <w:i/>
          <w:iCs/>
        </w:rPr>
        <w:t>e</w:t>
      </w:r>
      <w:r w:rsidRPr="00325D78">
        <w:rPr>
          <w:rFonts w:asciiTheme="majorBidi" w:hAnsiTheme="majorBidi" w:cstheme="majorBidi"/>
          <w:i/>
          <w:iCs/>
        </w:rPr>
        <w:t xml:space="preserve">ducational </w:t>
      </w:r>
      <w:r w:rsidR="00E279A3">
        <w:rPr>
          <w:rFonts w:asciiTheme="majorBidi" w:hAnsiTheme="majorBidi" w:cstheme="majorBidi"/>
          <w:i/>
          <w:iCs/>
        </w:rPr>
        <w:t>o</w:t>
      </w:r>
      <w:r w:rsidRPr="00325D78">
        <w:rPr>
          <w:rFonts w:asciiTheme="majorBidi" w:hAnsiTheme="majorBidi" w:cstheme="majorBidi"/>
          <w:i/>
          <w:iCs/>
        </w:rPr>
        <w:t>bjectives.</w:t>
      </w:r>
      <w:r w:rsidR="00835BCE">
        <w:rPr>
          <w:rFonts w:asciiTheme="majorBidi" w:hAnsiTheme="majorBidi" w:cstheme="majorBidi"/>
        </w:rPr>
        <w:t xml:space="preserve"> </w:t>
      </w:r>
      <w:r w:rsidRPr="00325D78">
        <w:rPr>
          <w:rFonts w:asciiTheme="majorBidi" w:hAnsiTheme="majorBidi" w:cstheme="majorBidi"/>
        </w:rPr>
        <w:t>Longman</w:t>
      </w:r>
      <w:r w:rsidR="00CA2B59" w:rsidRPr="00325D78">
        <w:rPr>
          <w:rFonts w:asciiTheme="majorBidi" w:hAnsiTheme="majorBidi" w:cstheme="majorBidi"/>
        </w:rPr>
        <w:t xml:space="preserve">. </w:t>
      </w:r>
    </w:p>
    <w:p w14:paraId="03A49767" w14:textId="77777777" w:rsidR="008A42D2" w:rsidRPr="00325D78" w:rsidRDefault="008A42D2" w:rsidP="008A42D2">
      <w:pPr>
        <w:tabs>
          <w:tab w:val="left" w:pos="2442"/>
        </w:tabs>
        <w:autoSpaceDE w:val="0"/>
        <w:autoSpaceDN w:val="0"/>
        <w:bidi w:val="0"/>
        <w:adjustRightInd w:val="0"/>
        <w:ind w:left="709" w:hanging="709"/>
        <w:jc w:val="left"/>
        <w:rPr>
          <w:rFonts w:asciiTheme="majorBidi" w:eastAsiaTheme="minorHAnsi" w:hAnsiTheme="majorBidi" w:cstheme="majorBidi"/>
        </w:rPr>
      </w:pPr>
    </w:p>
    <w:p w14:paraId="51A2C166" w14:textId="77777777" w:rsidR="008A42D2" w:rsidRPr="009725D5" w:rsidRDefault="008A42D2" w:rsidP="008A42D2">
      <w:pPr>
        <w:pStyle w:val="Paragraphedeliste"/>
        <w:tabs>
          <w:tab w:val="left" w:pos="2442"/>
        </w:tabs>
        <w:autoSpaceDE w:val="0"/>
        <w:autoSpaceDN w:val="0"/>
        <w:bidi w:val="0"/>
        <w:adjustRightInd w:val="0"/>
        <w:spacing w:line="480" w:lineRule="auto"/>
        <w:rPr>
          <w:rFonts w:asciiTheme="majorBidi" w:eastAsiaTheme="minorHAnsi" w:hAnsiTheme="majorBidi" w:cstheme="majorBidi"/>
        </w:rPr>
      </w:pPr>
    </w:p>
    <w:p w14:paraId="7B0360EA" w14:textId="0775E9BB" w:rsidR="00CA1644" w:rsidRPr="00DC574C" w:rsidRDefault="00ED771D" w:rsidP="00ED771D">
      <w:pPr>
        <w:tabs>
          <w:tab w:val="left" w:pos="2442"/>
        </w:tabs>
        <w:autoSpaceDE w:val="0"/>
        <w:autoSpaceDN w:val="0"/>
        <w:bidi w:val="0"/>
        <w:adjustRightInd w:val="0"/>
        <w:spacing w:line="480" w:lineRule="auto"/>
        <w:rPr>
          <w:rFonts w:asciiTheme="majorBidi" w:eastAsiaTheme="minorHAnsi" w:hAnsiTheme="majorBidi" w:cstheme="majorBidi"/>
          <w:b/>
          <w:bCs/>
        </w:rPr>
      </w:pPr>
      <w:r>
        <w:rPr>
          <w:rFonts w:asciiTheme="majorBidi" w:eastAsiaTheme="minorHAnsi" w:hAnsiTheme="majorBidi" w:cstheme="majorBidi"/>
          <w:b/>
          <w:bCs/>
        </w:rPr>
        <w:tab/>
      </w:r>
    </w:p>
    <w:p w14:paraId="69C64189" w14:textId="77777777" w:rsidR="0061043F" w:rsidRPr="00CA1644" w:rsidRDefault="0061043F" w:rsidP="00A0667F">
      <w:pPr>
        <w:jc w:val="right"/>
      </w:pPr>
    </w:p>
    <w:sectPr w:rsidR="0061043F" w:rsidRPr="00CA164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59E6A" w14:textId="77777777" w:rsidR="00B0134C" w:rsidRDefault="00B0134C" w:rsidP="001C76B6">
      <w:r>
        <w:separator/>
      </w:r>
    </w:p>
  </w:endnote>
  <w:endnote w:type="continuationSeparator" w:id="0">
    <w:p w14:paraId="31D093A6" w14:textId="77777777" w:rsidR="00B0134C" w:rsidRDefault="00B0134C" w:rsidP="001C7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4884E" w14:textId="77777777" w:rsidR="00B0134C" w:rsidRDefault="00B0134C" w:rsidP="001C76B6">
      <w:r>
        <w:separator/>
      </w:r>
    </w:p>
  </w:footnote>
  <w:footnote w:type="continuationSeparator" w:id="0">
    <w:p w14:paraId="51E17F14" w14:textId="77777777" w:rsidR="00B0134C" w:rsidRDefault="00B0134C" w:rsidP="001C76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DE51B" w14:textId="646A0214" w:rsidR="001C76B6" w:rsidRPr="0033106C" w:rsidRDefault="001C76B6" w:rsidP="001C76B6">
    <w:pPr>
      <w:pStyle w:val="En-tte"/>
      <w:jc w:val="center"/>
    </w:pPr>
    <w:r w:rsidRPr="0033106C">
      <w:t>Abdelhafid BOUSSOUF University-Mila</w:t>
    </w:r>
  </w:p>
  <w:p w14:paraId="62B2C4FF" w14:textId="77777777" w:rsidR="001C76B6" w:rsidRPr="0033106C" w:rsidRDefault="001C76B6" w:rsidP="001C76B6">
    <w:pPr>
      <w:pStyle w:val="En-tte"/>
      <w:jc w:val="center"/>
    </w:pPr>
  </w:p>
  <w:p w14:paraId="2211CA8E" w14:textId="77777777" w:rsidR="001E2878" w:rsidRDefault="001E2878" w:rsidP="001C76B6">
    <w:pPr>
      <w:pStyle w:val="En-tte"/>
      <w:jc w:val="right"/>
    </w:pPr>
  </w:p>
  <w:p w14:paraId="4882F251" w14:textId="7827987C" w:rsidR="001C76B6" w:rsidRPr="001E2878" w:rsidRDefault="001C76B6" w:rsidP="001C76B6">
    <w:pPr>
      <w:pStyle w:val="En-tte"/>
      <w:jc w:val="right"/>
    </w:pPr>
    <w:r w:rsidRPr="001E2878">
      <w:t>Department of Foreign Languages</w:t>
    </w:r>
  </w:p>
  <w:p w14:paraId="279CF40A" w14:textId="7FF23E8D" w:rsidR="001E2878" w:rsidRDefault="001E2878" w:rsidP="001C76B6">
    <w:pPr>
      <w:pStyle w:val="En-tte"/>
      <w:jc w:val="right"/>
    </w:pPr>
    <w:r>
      <w:t>English</w:t>
    </w:r>
  </w:p>
  <w:p w14:paraId="4B4ADC0E" w14:textId="77777777" w:rsidR="001E2878" w:rsidRDefault="001E2878" w:rsidP="001E2878">
    <w:pPr>
      <w:pStyle w:val="En-tte"/>
      <w:jc w:val="right"/>
      <w:rPr>
        <w:rFonts w:asciiTheme="majorBidi" w:hAnsiTheme="majorBidi" w:cstheme="majorBidi"/>
      </w:rPr>
    </w:pPr>
    <w:r w:rsidRPr="00C76627">
      <w:rPr>
        <w:rFonts w:asciiTheme="majorBidi" w:hAnsiTheme="majorBidi" w:cstheme="majorBidi"/>
      </w:rPr>
      <w:t>Level:</w:t>
    </w:r>
    <w:r>
      <w:rPr>
        <w:rFonts w:asciiTheme="majorBidi" w:hAnsiTheme="majorBidi" w:cstheme="majorBidi"/>
      </w:rPr>
      <w:t xml:space="preserve"> 2</w:t>
    </w:r>
    <w:r w:rsidRPr="006B10DD">
      <w:rPr>
        <w:rFonts w:asciiTheme="majorBidi" w:hAnsiTheme="majorBidi" w:cstheme="majorBidi"/>
        <w:vertAlign w:val="superscript"/>
      </w:rPr>
      <w:t>nd</w:t>
    </w:r>
    <w:r>
      <w:rPr>
        <w:rFonts w:asciiTheme="majorBidi" w:hAnsiTheme="majorBidi" w:cstheme="majorBidi"/>
      </w:rPr>
      <w:t xml:space="preserve"> </w:t>
    </w:r>
    <w:r w:rsidRPr="00C76627">
      <w:rPr>
        <w:rFonts w:asciiTheme="majorBidi" w:hAnsiTheme="majorBidi" w:cstheme="majorBidi"/>
      </w:rPr>
      <w:t>year (BA/ LMD)</w:t>
    </w:r>
  </w:p>
  <w:p w14:paraId="6B33D3E3" w14:textId="51D672A2" w:rsidR="001C76B6" w:rsidRPr="001C76B6" w:rsidRDefault="001C76B6" w:rsidP="001C76B6">
    <w:pPr>
      <w:pStyle w:val="En-tte"/>
      <w:jc w:val="right"/>
      <w:rPr>
        <w:lang w:val="fr-FR"/>
      </w:rPr>
    </w:pPr>
    <w:r w:rsidRPr="001E2878">
      <w:t>Study Skills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7BBB"/>
    <w:multiLevelType w:val="hybridMultilevel"/>
    <w:tmpl w:val="901637A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32D6A"/>
    <w:multiLevelType w:val="hybridMultilevel"/>
    <w:tmpl w:val="D4EA8D8A"/>
    <w:lvl w:ilvl="0" w:tplc="20C0AE7C">
      <w:start w:val="1"/>
      <w:numFmt w:val="bullet"/>
      <w:lvlText w:val=""/>
      <w:lvlJc w:val="left"/>
      <w:pPr>
        <w:ind w:left="15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36367554"/>
    <w:multiLevelType w:val="hybridMultilevel"/>
    <w:tmpl w:val="D786C2DA"/>
    <w:lvl w:ilvl="0" w:tplc="A99095E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487875">
    <w:abstractNumId w:val="0"/>
  </w:num>
  <w:num w:numId="2" w16cid:durableId="1790127808">
    <w:abstractNumId w:val="2"/>
  </w:num>
  <w:num w:numId="3" w16cid:durableId="1066101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644"/>
    <w:rsid w:val="0009528A"/>
    <w:rsid w:val="001668A3"/>
    <w:rsid w:val="00172DDD"/>
    <w:rsid w:val="001C76B6"/>
    <w:rsid w:val="001E2878"/>
    <w:rsid w:val="001E293E"/>
    <w:rsid w:val="001F19E2"/>
    <w:rsid w:val="00221A4D"/>
    <w:rsid w:val="0028121E"/>
    <w:rsid w:val="002D1007"/>
    <w:rsid w:val="00325D78"/>
    <w:rsid w:val="0033106C"/>
    <w:rsid w:val="004E1F34"/>
    <w:rsid w:val="0051195A"/>
    <w:rsid w:val="00535BFD"/>
    <w:rsid w:val="0061043F"/>
    <w:rsid w:val="00653F99"/>
    <w:rsid w:val="00835BCE"/>
    <w:rsid w:val="00896760"/>
    <w:rsid w:val="008A42D2"/>
    <w:rsid w:val="009725D5"/>
    <w:rsid w:val="00A0667F"/>
    <w:rsid w:val="00A45F51"/>
    <w:rsid w:val="00AF3F32"/>
    <w:rsid w:val="00B0134C"/>
    <w:rsid w:val="00B12E50"/>
    <w:rsid w:val="00BE44AF"/>
    <w:rsid w:val="00C95E80"/>
    <w:rsid w:val="00CA1644"/>
    <w:rsid w:val="00CA2B59"/>
    <w:rsid w:val="00CC5F07"/>
    <w:rsid w:val="00D67E33"/>
    <w:rsid w:val="00E279A3"/>
    <w:rsid w:val="00ED771D"/>
    <w:rsid w:val="00F421F1"/>
    <w:rsid w:val="00F43EAD"/>
    <w:rsid w:val="00FC2DA7"/>
    <w:rsid w:val="00FE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2EEDC"/>
  <w15:chartTrackingRefBased/>
  <w15:docId w15:val="{8CA57E84-CDF9-4D69-BD54-D82105616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644"/>
    <w:pPr>
      <w:bidi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CA16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A1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A16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A16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A16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A16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A16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A16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A16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A16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A16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A16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A164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A164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A164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A164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A164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A164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A16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A1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A16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A16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A16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A164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A164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A164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A16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A164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A1644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1C76B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C76B6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1C76B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C76B6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267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Redgame Redjas</dc:creator>
  <cp:keywords/>
  <dc:description/>
  <cp:lastModifiedBy>Redgame Redjas</cp:lastModifiedBy>
  <cp:revision>25</cp:revision>
  <dcterms:created xsi:type="dcterms:W3CDTF">2025-11-13T08:32:00Z</dcterms:created>
  <dcterms:modified xsi:type="dcterms:W3CDTF">2025-11-23T11:33:00Z</dcterms:modified>
</cp:coreProperties>
</file>