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CA" w:rsidRPr="00051C26" w:rsidRDefault="009B26CA" w:rsidP="009B26CA">
      <w:pPr>
        <w:bidi/>
        <w:spacing w:before="100" w:beforeAutospacing="1" w:after="100" w:afterAutospacing="1" w:line="240" w:lineRule="auto"/>
        <w:jc w:val="center"/>
        <w:outlineLvl w:val="1"/>
        <w:rPr>
          <w:rFonts w:ascii="ae_AlHor" w:eastAsia="Times New Roman" w:hAnsi="ae_AlHor" w:cs="ae_AlHor"/>
          <w:b/>
          <w:bCs/>
          <w:sz w:val="32"/>
          <w:szCs w:val="32"/>
          <w:lang w:eastAsia="fr-FR"/>
        </w:rPr>
      </w:pPr>
      <w:r w:rsidRPr="00051C26">
        <w:rPr>
          <w:rFonts w:ascii="ae_AlHor" w:eastAsia="Times New Roman" w:hAnsi="ae_AlHor" w:cs="ae_AlHor"/>
          <w:b/>
          <w:bCs/>
          <w:sz w:val="32"/>
          <w:szCs w:val="32"/>
          <w:rtl/>
          <w:lang w:eastAsia="fr-FR"/>
        </w:rPr>
        <w:t>في شعر المعلقات</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lang w:eastAsia="fr-FR"/>
        </w:rPr>
      </w:pPr>
      <w:r w:rsidRPr="00051C26">
        <w:rPr>
          <w:rFonts w:ascii="ae_AlHor" w:eastAsia="Times New Roman" w:hAnsi="ae_AlHor" w:cs="ae_AlHor"/>
          <w:sz w:val="32"/>
          <w:szCs w:val="32"/>
          <w:lang w:eastAsia="fr-FR"/>
        </w:rPr>
        <w:t> </w:t>
      </w:r>
    </w:p>
    <w:p w:rsidR="009B26CA" w:rsidRDefault="00C96D5C" w:rsidP="009B26CA">
      <w:pPr>
        <w:bidi/>
        <w:spacing w:before="100" w:beforeAutospacing="1" w:after="100" w:afterAutospacing="1" w:line="240" w:lineRule="auto"/>
        <w:rPr>
          <w:rFonts w:ascii="ae_AlHor" w:eastAsia="Times New Roman" w:hAnsi="ae_AlHor" w:cs="ae_AlHor"/>
          <w:sz w:val="32"/>
          <w:szCs w:val="32"/>
          <w:rtl/>
          <w:lang w:eastAsia="fr-FR"/>
        </w:rPr>
      </w:pPr>
      <w:r w:rsidRPr="00C96D5C">
        <w:rPr>
          <w:rFonts w:ascii="ae_AlHor" w:eastAsia="Times New Roman" w:hAnsi="ae_AlHor" w:cs="ae_AlHor" w:hint="cs"/>
          <w:b/>
          <w:bCs/>
          <w:color w:val="800000"/>
          <w:sz w:val="32"/>
          <w:szCs w:val="32"/>
          <w:rtl/>
          <w:lang w:eastAsia="fr-FR"/>
        </w:rPr>
        <w:t xml:space="preserve">المعلقات </w:t>
      </w:r>
      <w:r w:rsidR="009B26CA">
        <w:rPr>
          <w:rFonts w:ascii="ae_AlHor" w:eastAsia="Times New Roman" w:hAnsi="ae_AlHor" w:cs="ae_AlHor" w:hint="cs"/>
          <w:color w:val="800000"/>
          <w:sz w:val="32"/>
          <w:szCs w:val="32"/>
          <w:rtl/>
          <w:lang w:eastAsia="fr-FR"/>
        </w:rPr>
        <w:t xml:space="preserve">هي </w:t>
      </w:r>
      <w:r w:rsidR="009B26CA" w:rsidRPr="00051C26">
        <w:rPr>
          <w:rFonts w:ascii="ae_AlHor" w:eastAsia="Times New Roman" w:hAnsi="ae_AlHor" w:cs="ae_AlHor"/>
          <w:sz w:val="32"/>
          <w:szCs w:val="32"/>
          <w:rtl/>
          <w:lang w:eastAsia="fr-FR"/>
        </w:rPr>
        <w:t xml:space="preserve">مجموعةٌ من أروع قصائد شعراء الجاهلية، </w:t>
      </w:r>
      <w:r w:rsidR="009B26CA">
        <w:rPr>
          <w:rFonts w:ascii="ae_AlHor" w:eastAsia="Times New Roman" w:hAnsi="ae_AlHor" w:cs="ae_AlHor" w:hint="cs"/>
          <w:sz w:val="32"/>
          <w:szCs w:val="32"/>
          <w:rtl/>
          <w:lang w:eastAsia="fr-FR"/>
        </w:rPr>
        <w:t>وردت</w:t>
      </w:r>
      <w:r w:rsidR="009B26CA" w:rsidRPr="00051C26">
        <w:rPr>
          <w:rFonts w:ascii="ae_AlHor" w:eastAsia="Times New Roman" w:hAnsi="ae_AlHor" w:cs="ae_AlHor"/>
          <w:sz w:val="32"/>
          <w:szCs w:val="32"/>
          <w:rtl/>
          <w:lang w:eastAsia="fr-FR"/>
        </w:rPr>
        <w:t xml:space="preserve"> في تسميتها</w:t>
      </w:r>
      <w:r w:rsidR="009B26CA">
        <w:rPr>
          <w:rFonts w:ascii="ae_AlHor" w:eastAsia="Times New Roman" w:hAnsi="ae_AlHor" w:cs="ae_AlHor" w:hint="cs"/>
          <w:sz w:val="32"/>
          <w:szCs w:val="32"/>
          <w:rtl/>
          <w:lang w:eastAsia="fr-FR"/>
        </w:rPr>
        <w:t>بهذا الاسم</w:t>
      </w:r>
      <w:r w:rsidR="009B26CA" w:rsidRPr="00051C26">
        <w:rPr>
          <w:rFonts w:ascii="ae_AlHor" w:eastAsia="Times New Roman" w:hAnsi="ae_AlHor" w:cs="ae_AlHor"/>
          <w:sz w:val="32"/>
          <w:szCs w:val="32"/>
          <w:rtl/>
          <w:lang w:eastAsia="fr-FR"/>
        </w:rPr>
        <w:t xml:space="preserve"> عدة آراءٍ منها </w:t>
      </w:r>
      <w:r w:rsidR="009B26CA">
        <w:rPr>
          <w:rFonts w:ascii="ae_AlHor" w:eastAsia="Times New Roman" w:hAnsi="ae_AlHor" w:cs="ae_AlHor" w:hint="cs"/>
          <w:sz w:val="32"/>
          <w:szCs w:val="32"/>
          <w:rtl/>
          <w:lang w:eastAsia="fr-FR"/>
        </w:rPr>
        <w:t>:</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rPr>
      </w:pPr>
      <w:r>
        <w:rPr>
          <w:rFonts w:ascii="ae_AlHor" w:eastAsia="Times New Roman" w:hAnsi="ae_AlHor" w:cs="ae_AlHor" w:hint="cs"/>
          <w:b/>
          <w:bCs/>
          <w:sz w:val="32"/>
          <w:szCs w:val="32"/>
          <w:rtl/>
          <w:lang w:eastAsia="fr-FR"/>
        </w:rPr>
        <w:t>الرأي الأول</w:t>
      </w:r>
      <w:r w:rsidRPr="00E12F85">
        <w:rPr>
          <w:rFonts w:ascii="ae_AlHor" w:eastAsia="Times New Roman" w:hAnsi="ae_AlHor" w:cs="ae_AlHor" w:hint="cs"/>
          <w:b/>
          <w:bCs/>
          <w:sz w:val="32"/>
          <w:szCs w:val="32"/>
          <w:rtl/>
          <w:lang w:eastAsia="fr-FR"/>
        </w:rPr>
        <w:t>:</w:t>
      </w:r>
      <w:r w:rsidRPr="00051C26">
        <w:rPr>
          <w:rFonts w:ascii="ae_AlHor" w:eastAsia="Times New Roman" w:hAnsi="ae_AlHor" w:cs="ae_AlHor"/>
          <w:sz w:val="32"/>
          <w:szCs w:val="32"/>
          <w:rtl/>
          <w:lang w:eastAsia="fr-FR"/>
        </w:rPr>
        <w:t>أنهم انتقوها من شعر فحولهم، وذهَّبوها على الحرير، وناطوها بالكعبة تشريفًا لها، وتعظيمًا لمقامها، قال (ابن عبد ربه): « وقد بلغ من كلف العرب به - أي بالشعر - وتفضيلها له أن عمدت إلى سبع قصائد من الشعر القديم فكتبتها بماء الذهب في القباطي المدرجة، وعلقتها بأستار الكعبة</w:t>
      </w:r>
      <w:r w:rsidRPr="00051C26">
        <w:rPr>
          <w:rFonts w:ascii="ae_AlHor" w:eastAsia="Times New Roman" w:hAnsi="ae_AlHor" w:cs="ae_AlHor"/>
          <w:sz w:val="32"/>
          <w:szCs w:val="32"/>
          <w:lang w:eastAsia="fr-FR"/>
        </w:rPr>
        <w:t xml:space="preserve">. </w:t>
      </w:r>
      <w:r w:rsidRPr="00051C26">
        <w:rPr>
          <w:rFonts w:ascii="ae_AlHor" w:eastAsia="Times New Roman" w:hAnsi="ae_AlHor" w:cs="ae_AlHor"/>
          <w:sz w:val="32"/>
          <w:szCs w:val="32"/>
          <w:rtl/>
          <w:lang w:eastAsia="fr-FR"/>
        </w:rPr>
        <w:t xml:space="preserve">فمنه ما يقال له: "مذهبة امرئ القيس" و"مذهبة زهير". والمذهبات السبع، ويقال لها: المعلقات». [العقد الفريد </w:t>
      </w:r>
      <w:r>
        <w:rPr>
          <w:rFonts w:ascii="ae_AlHor" w:eastAsia="Times New Roman" w:hAnsi="ae_AlHor" w:cs="ae_AlHor" w:hint="cs"/>
          <w:sz w:val="32"/>
          <w:szCs w:val="32"/>
          <w:rtl/>
          <w:lang w:eastAsia="fr-FR"/>
        </w:rPr>
        <w:t>ج</w:t>
      </w:r>
      <w:r w:rsidRPr="00051C26">
        <w:rPr>
          <w:rFonts w:ascii="ae_AlHor" w:eastAsia="Times New Roman" w:hAnsi="ae_AlHor" w:cs="ae_AlHor"/>
          <w:sz w:val="32"/>
          <w:szCs w:val="32"/>
          <w:rtl/>
          <w:lang w:eastAsia="fr-FR"/>
        </w:rPr>
        <w:t>6/ 118</w:t>
      </w:r>
      <w:r w:rsidRPr="00051C26">
        <w:rPr>
          <w:rFonts w:ascii="ae_AlHor" w:eastAsia="Times New Roman" w:hAnsi="ae_AlHor" w:cs="ae_AlHor"/>
          <w:sz w:val="32"/>
          <w:szCs w:val="32"/>
          <w:lang w:eastAsia="fr-FR"/>
        </w:rPr>
        <w:t>.</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sz w:val="32"/>
          <w:szCs w:val="32"/>
          <w:rtl/>
          <w:lang w:eastAsia="fr-FR"/>
        </w:rPr>
        <w:t>وأيد هذا الرأي أيضًا بعض النقاد القدماء منهم (ابن رشيق) صاحب كتاب "العمدة في محاسن الشعر"، ومنهم (ابن خلدون</w:t>
      </w:r>
      <w:r w:rsidRPr="00051C26">
        <w:rPr>
          <w:rFonts w:ascii="ae_AlHor" w:eastAsia="Times New Roman" w:hAnsi="ae_AlHor" w:cs="ae_AlHor"/>
          <w:sz w:val="32"/>
          <w:szCs w:val="32"/>
          <w:lang w:eastAsia="fr-FR"/>
        </w:rPr>
        <w:t xml:space="preserve">) </w:t>
      </w:r>
      <w:r w:rsidRPr="00051C26">
        <w:rPr>
          <w:rFonts w:ascii="ae_AlHor" w:eastAsia="Times New Roman" w:hAnsi="ae_AlHor" w:cs="ae_AlHor"/>
          <w:sz w:val="32"/>
          <w:szCs w:val="32"/>
          <w:rtl/>
          <w:lang w:eastAsia="fr-FR"/>
        </w:rPr>
        <w:t>الأديب والمؤرخ المشهور</w:t>
      </w:r>
      <w:r w:rsidRPr="00051C26">
        <w:rPr>
          <w:rFonts w:ascii="ae_AlHor" w:eastAsia="Times New Roman" w:hAnsi="ae_AlHor" w:cs="ae_AlHor"/>
          <w:sz w:val="32"/>
          <w:szCs w:val="32"/>
          <w:lang w:eastAsia="fr-FR"/>
        </w:rPr>
        <w:t>.</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sz w:val="32"/>
          <w:szCs w:val="32"/>
          <w:rtl/>
          <w:lang w:eastAsia="fr-FR"/>
        </w:rPr>
        <w:t>وأنكر هذا الرأي كثير من المؤرخين؛ وأقدم من أنكره (أبو جعفر النح</w:t>
      </w:r>
      <w:r w:rsidR="00C96D5C">
        <w:rPr>
          <w:rFonts w:ascii="ae_AlHor" w:eastAsia="Times New Roman" w:hAnsi="ae_AlHor" w:cs="ae_AlHor" w:hint="cs"/>
          <w:sz w:val="32"/>
          <w:szCs w:val="32"/>
          <w:rtl/>
          <w:lang w:eastAsia="fr-FR"/>
        </w:rPr>
        <w:t>ّ</w:t>
      </w:r>
      <w:bookmarkStart w:id="0" w:name="_GoBack"/>
      <w:bookmarkEnd w:id="0"/>
      <w:r w:rsidRPr="00051C26">
        <w:rPr>
          <w:rFonts w:ascii="ae_AlHor" w:eastAsia="Times New Roman" w:hAnsi="ae_AlHor" w:cs="ae_AlHor"/>
          <w:sz w:val="32"/>
          <w:szCs w:val="32"/>
          <w:rtl/>
          <w:lang w:eastAsia="fr-FR"/>
        </w:rPr>
        <w:t>اس) النحوي</w:t>
      </w:r>
      <w:r w:rsidRPr="00051C26">
        <w:rPr>
          <w:rFonts w:ascii="ae_AlHor" w:eastAsia="Times New Roman" w:hAnsi="ae_AlHor" w:cs="ae_AlHor"/>
          <w:sz w:val="32"/>
          <w:szCs w:val="32"/>
          <w:lang w:eastAsia="fr-FR"/>
        </w:rPr>
        <w:t>.</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lang w:eastAsia="fr-FR"/>
        </w:rPr>
      </w:pPr>
      <w:r w:rsidRPr="00E12F85">
        <w:rPr>
          <w:rFonts w:ascii="ae_AlHor" w:eastAsia="Times New Roman" w:hAnsi="ae_AlHor" w:cs="ae_AlHor" w:hint="cs"/>
          <w:b/>
          <w:bCs/>
          <w:color w:val="800000"/>
          <w:sz w:val="32"/>
          <w:szCs w:val="32"/>
          <w:rtl/>
          <w:lang w:eastAsia="fr-FR"/>
        </w:rPr>
        <w:t>الرأي الثاني :</w:t>
      </w:r>
      <w:r w:rsidRPr="00051C26">
        <w:rPr>
          <w:rFonts w:ascii="ae_AlHor" w:eastAsia="Times New Roman" w:hAnsi="ae_AlHor" w:cs="ae_AlHor"/>
          <w:color w:val="800000"/>
          <w:sz w:val="32"/>
          <w:szCs w:val="32"/>
          <w:lang w:eastAsia="fr-FR"/>
        </w:rPr>
        <w:t xml:space="preserve"> </w:t>
      </w:r>
      <w:r w:rsidRPr="00051C26">
        <w:rPr>
          <w:rFonts w:ascii="ae_AlHor" w:eastAsia="Times New Roman" w:hAnsi="ae_AlHor" w:cs="ae_AlHor"/>
          <w:sz w:val="32"/>
          <w:szCs w:val="32"/>
          <w:rtl/>
          <w:lang w:eastAsia="fr-FR"/>
        </w:rPr>
        <w:t>إنها سميت بذلك لأنها من القصائد المستجادة التي كانت تُعلَّق في خزائن الملوك</w:t>
      </w:r>
      <w:r w:rsidRPr="00051C26">
        <w:rPr>
          <w:rFonts w:ascii="ae_AlHor" w:eastAsia="Times New Roman" w:hAnsi="ae_AlHor" w:cs="ae_AlHor"/>
          <w:sz w:val="32"/>
          <w:szCs w:val="32"/>
          <w:lang w:eastAsia="fr-FR"/>
        </w:rPr>
        <w:t xml:space="preserve">. </w:t>
      </w:r>
      <w:r w:rsidRPr="00051C26">
        <w:rPr>
          <w:rFonts w:ascii="ae_AlHor" w:eastAsia="Times New Roman" w:hAnsi="ae_AlHor" w:cs="ae_AlHor"/>
          <w:sz w:val="32"/>
          <w:szCs w:val="32"/>
          <w:rtl/>
          <w:lang w:eastAsia="fr-FR"/>
        </w:rPr>
        <w:t>وقيل: بل لكونها جديرة بأن تَعْلق في الأذهان لجمالها</w:t>
      </w:r>
      <w:r w:rsidRPr="00051C26">
        <w:rPr>
          <w:rFonts w:ascii="ae_AlHor" w:eastAsia="Times New Roman" w:hAnsi="ae_AlHor" w:cs="ae_AlHor"/>
          <w:sz w:val="32"/>
          <w:szCs w:val="32"/>
          <w:lang w:eastAsia="fr-FR"/>
        </w:rPr>
        <w:t>. </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E12F85">
        <w:rPr>
          <w:rFonts w:ascii="ae_AlHor" w:eastAsia="Times New Roman" w:hAnsi="ae_AlHor" w:cs="ae_AlHor" w:hint="cs"/>
          <w:b/>
          <w:bCs/>
          <w:sz w:val="32"/>
          <w:szCs w:val="32"/>
          <w:rtl/>
          <w:lang w:eastAsia="fr-FR"/>
        </w:rPr>
        <w:t>الرأي الثالث</w:t>
      </w:r>
      <w:r w:rsidRPr="00051C26">
        <w:rPr>
          <w:rFonts w:ascii="ae_AlHor" w:eastAsia="Times New Roman" w:hAnsi="ae_AlHor" w:cs="ae_AlHor"/>
          <w:b/>
          <w:bCs/>
          <w:sz w:val="32"/>
          <w:szCs w:val="32"/>
          <w:rtl/>
          <w:lang w:eastAsia="fr-FR"/>
        </w:rPr>
        <w:t>:</w:t>
      </w:r>
      <w:r w:rsidRPr="00051C26">
        <w:rPr>
          <w:rFonts w:ascii="ae_AlHor" w:eastAsia="Times New Roman" w:hAnsi="ae_AlHor" w:cs="ae_AlHor"/>
          <w:sz w:val="32"/>
          <w:szCs w:val="32"/>
          <w:rtl/>
          <w:lang w:eastAsia="fr-FR"/>
        </w:rPr>
        <w:t xml:space="preserve"> لأنها كالأسماط التي تُعلَّق في الأعناق، والراجح اليوم أنها سميت بالمعلقات لتشبيهها بالسُّموط، أي العقود التي تُعلَّق بالأعناق، وقد سميت أيضًا بالمذهبات لأنها جديرة أن تكتب بماء الذهب لنفاستها</w:t>
      </w:r>
      <w:r w:rsidRPr="00051C26">
        <w:rPr>
          <w:rFonts w:ascii="ae_AlHor" w:eastAsia="Times New Roman" w:hAnsi="ae_AlHor" w:cs="ae_AlHor"/>
          <w:sz w:val="32"/>
          <w:szCs w:val="32"/>
          <w:lang w:eastAsia="fr-FR"/>
        </w:rPr>
        <w:t>.</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lang w:eastAsia="fr-FR"/>
        </w:rPr>
      </w:pPr>
      <w:r w:rsidRPr="00051C26">
        <w:rPr>
          <w:rFonts w:ascii="ae_AlHor" w:eastAsia="Times New Roman" w:hAnsi="ae_AlHor" w:cs="ae_AlHor"/>
          <w:sz w:val="32"/>
          <w:szCs w:val="32"/>
          <w:rtl/>
          <w:lang w:eastAsia="fr-FR"/>
        </w:rPr>
        <w:t>وقد اتفق كثير من جامعيها على سبعِ قصائد مطوَّلةٍ تعد خير معبر عن روح العصر الجاهلي والبيئة البدوية التي صورها شعراء تلك المعلقات خير تصوير في قصائدهم وهي</w:t>
      </w:r>
      <w:r w:rsidRPr="00051C26">
        <w:rPr>
          <w:rFonts w:ascii="ae_AlHor" w:eastAsia="Times New Roman" w:hAnsi="ae_AlHor" w:cs="ae_AlHor"/>
          <w:sz w:val="32"/>
          <w:szCs w:val="32"/>
          <w:lang w:eastAsia="fr-FR"/>
        </w:rPr>
        <w:t>:</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lang w:eastAsia="fr-FR"/>
        </w:rPr>
      </w:pPr>
      <w:r w:rsidRPr="00051C26">
        <w:rPr>
          <w:rFonts w:ascii="ae_AlHor" w:eastAsia="Times New Roman" w:hAnsi="ae_AlHor" w:cs="ae_AlHor"/>
          <w:b/>
          <w:bCs/>
          <w:color w:val="3366FF"/>
          <w:sz w:val="32"/>
          <w:szCs w:val="32"/>
          <w:rtl/>
          <w:lang w:eastAsia="fr-FR"/>
        </w:rPr>
        <w:t>الأولى</w:t>
      </w:r>
      <w:r w:rsidRPr="00051C26">
        <w:rPr>
          <w:rFonts w:ascii="ae_AlHor" w:eastAsia="Times New Roman" w:hAnsi="ae_AlHor" w:cs="ae_AlHor"/>
          <w:b/>
          <w:bCs/>
          <w:color w:val="3366FF"/>
          <w:sz w:val="32"/>
          <w:szCs w:val="32"/>
          <w:lang w:eastAsia="fr-FR"/>
        </w:rPr>
        <w:t>:</w:t>
      </w:r>
      <w:r w:rsidRPr="00051C26">
        <w:rPr>
          <w:rFonts w:ascii="ae_AlHor" w:eastAsia="Times New Roman" w:hAnsi="ae_AlHor" w:cs="ae_AlHor"/>
          <w:color w:val="3366FF"/>
          <w:sz w:val="32"/>
          <w:szCs w:val="32"/>
          <w:lang w:eastAsia="fr-FR"/>
        </w:rPr>
        <w:t xml:space="preserve"> </w:t>
      </w:r>
      <w:r w:rsidRPr="00051C26">
        <w:rPr>
          <w:rFonts w:ascii="ae_AlHor" w:eastAsia="Times New Roman" w:hAnsi="ae_AlHor" w:cs="ae_AlHor"/>
          <w:color w:val="3366FF"/>
          <w:sz w:val="32"/>
          <w:szCs w:val="32"/>
          <w:rtl/>
          <w:lang w:eastAsia="fr-FR"/>
        </w:rPr>
        <w:t xml:space="preserve">لامْرِئ القَيْسِ، </w:t>
      </w:r>
      <w:r>
        <w:rPr>
          <w:rFonts w:ascii="ae_AlHor" w:eastAsia="Times New Roman" w:hAnsi="ae_AlHor" w:cs="ae_AlHor" w:hint="cs"/>
          <w:color w:val="3366FF"/>
          <w:sz w:val="32"/>
          <w:szCs w:val="32"/>
          <w:rtl/>
          <w:lang w:eastAsia="fr-FR"/>
        </w:rPr>
        <w:t>ومطلعها:</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sz w:val="32"/>
          <w:szCs w:val="32"/>
          <w:rtl/>
          <w:lang w:eastAsia="fr-FR"/>
        </w:rPr>
        <w:t xml:space="preserve">قِفا نَبْكِ مِن ذِكرَى حبيبٍ ومنْزلِ </w:t>
      </w:r>
      <w:r w:rsidRPr="00051C26">
        <w:rPr>
          <w:rFonts w:ascii="ae_AlHor" w:eastAsia="Times New Roman" w:hAnsi="ae_AlHor" w:cs="ae_AlHor"/>
          <w:color w:val="800080"/>
          <w:sz w:val="32"/>
          <w:szCs w:val="32"/>
          <w:lang w:eastAsia="fr-FR"/>
        </w:rPr>
        <w:t xml:space="preserve">*** </w:t>
      </w:r>
      <w:r w:rsidRPr="00051C26">
        <w:rPr>
          <w:rFonts w:ascii="ae_AlHor" w:eastAsia="Times New Roman" w:hAnsi="ae_AlHor" w:cs="ae_AlHor"/>
          <w:sz w:val="32"/>
          <w:szCs w:val="32"/>
          <w:rtl/>
          <w:lang w:eastAsia="fr-FR"/>
        </w:rPr>
        <w:t>بسِقْطِ اللِّوَى بَيْنَ الدَّخُولِ فحَوْمَلِ</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lang w:eastAsia="fr-FR"/>
        </w:rPr>
      </w:pPr>
      <w:r w:rsidRPr="00051C26">
        <w:rPr>
          <w:rFonts w:ascii="ae_AlHor" w:eastAsia="Times New Roman" w:hAnsi="ae_AlHor" w:cs="ae_AlHor"/>
          <w:b/>
          <w:bCs/>
          <w:color w:val="3366FF"/>
          <w:sz w:val="32"/>
          <w:szCs w:val="32"/>
          <w:rtl/>
          <w:lang w:eastAsia="fr-FR"/>
        </w:rPr>
        <w:t>الثانية</w:t>
      </w:r>
      <w:r w:rsidRPr="00051C26">
        <w:rPr>
          <w:rFonts w:ascii="ae_AlHor" w:eastAsia="Times New Roman" w:hAnsi="ae_AlHor" w:cs="ae_AlHor"/>
          <w:b/>
          <w:bCs/>
          <w:color w:val="3366FF"/>
          <w:sz w:val="32"/>
          <w:szCs w:val="32"/>
          <w:lang w:eastAsia="fr-FR"/>
        </w:rPr>
        <w:t>:</w:t>
      </w:r>
      <w:r w:rsidRPr="00051C26">
        <w:rPr>
          <w:rFonts w:ascii="ae_AlHor" w:eastAsia="Times New Roman" w:hAnsi="ae_AlHor" w:cs="ae_AlHor"/>
          <w:color w:val="3366FF"/>
          <w:sz w:val="32"/>
          <w:szCs w:val="32"/>
          <w:lang w:eastAsia="fr-FR"/>
        </w:rPr>
        <w:t xml:space="preserve"> </w:t>
      </w:r>
      <w:r w:rsidRPr="00051C26">
        <w:rPr>
          <w:rFonts w:ascii="ae_AlHor" w:eastAsia="Times New Roman" w:hAnsi="ae_AlHor" w:cs="ae_AlHor"/>
          <w:color w:val="3366FF"/>
          <w:sz w:val="32"/>
          <w:szCs w:val="32"/>
          <w:rtl/>
          <w:lang w:eastAsia="fr-FR"/>
        </w:rPr>
        <w:t xml:space="preserve">لطَرَفةَ بنِ العَبْدِ، </w:t>
      </w:r>
      <w:r>
        <w:rPr>
          <w:rFonts w:ascii="ae_AlHor" w:eastAsia="Times New Roman" w:hAnsi="ae_AlHor" w:cs="ae_AlHor" w:hint="cs"/>
          <w:color w:val="3366FF"/>
          <w:sz w:val="32"/>
          <w:szCs w:val="32"/>
          <w:rtl/>
          <w:lang w:eastAsia="fr-FR"/>
        </w:rPr>
        <w:t>ومطلعها:</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sz w:val="32"/>
          <w:szCs w:val="32"/>
          <w:rtl/>
          <w:lang w:eastAsia="fr-FR"/>
        </w:rPr>
        <w:t xml:space="preserve">لِخَوْلةَ أَطلالٌ بِبَرْقةَ ثَهْمَدِ </w:t>
      </w:r>
      <w:r w:rsidRPr="00051C26">
        <w:rPr>
          <w:rFonts w:ascii="ae_AlHor" w:eastAsia="Times New Roman" w:hAnsi="ae_AlHor" w:cs="ae_AlHor"/>
          <w:color w:val="800080"/>
          <w:sz w:val="32"/>
          <w:szCs w:val="32"/>
          <w:lang w:eastAsia="fr-FR"/>
        </w:rPr>
        <w:t xml:space="preserve">*** </w:t>
      </w:r>
      <w:r w:rsidRPr="00051C26">
        <w:rPr>
          <w:rFonts w:ascii="ae_AlHor" w:eastAsia="Times New Roman" w:hAnsi="ae_AlHor" w:cs="ae_AlHor"/>
          <w:sz w:val="32"/>
          <w:szCs w:val="32"/>
          <w:rtl/>
          <w:lang w:eastAsia="fr-FR"/>
        </w:rPr>
        <w:t>ظَلِلْتُ بها أبْكِي وأبْكِي إلى الغَدِ</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lang w:eastAsia="fr-FR"/>
        </w:rPr>
      </w:pPr>
      <w:r w:rsidRPr="00051C26">
        <w:rPr>
          <w:rFonts w:ascii="ae_AlHor" w:eastAsia="Times New Roman" w:hAnsi="ae_AlHor" w:cs="ae_AlHor"/>
          <w:b/>
          <w:bCs/>
          <w:color w:val="3366FF"/>
          <w:sz w:val="32"/>
          <w:szCs w:val="32"/>
          <w:rtl/>
          <w:lang w:eastAsia="fr-FR"/>
        </w:rPr>
        <w:t>الثالثة</w:t>
      </w:r>
      <w:r w:rsidRPr="00051C26">
        <w:rPr>
          <w:rFonts w:ascii="ae_AlHor" w:eastAsia="Times New Roman" w:hAnsi="ae_AlHor" w:cs="ae_AlHor"/>
          <w:b/>
          <w:bCs/>
          <w:color w:val="3366FF"/>
          <w:sz w:val="32"/>
          <w:szCs w:val="32"/>
          <w:lang w:eastAsia="fr-FR"/>
        </w:rPr>
        <w:t>:</w:t>
      </w:r>
      <w:r w:rsidRPr="00051C26">
        <w:rPr>
          <w:rFonts w:ascii="ae_AlHor" w:eastAsia="Times New Roman" w:hAnsi="ae_AlHor" w:cs="ae_AlHor"/>
          <w:color w:val="3366FF"/>
          <w:sz w:val="32"/>
          <w:szCs w:val="32"/>
          <w:lang w:eastAsia="fr-FR"/>
        </w:rPr>
        <w:t xml:space="preserve"> </w:t>
      </w:r>
      <w:r w:rsidRPr="00051C26">
        <w:rPr>
          <w:rFonts w:ascii="ae_AlHor" w:eastAsia="Times New Roman" w:hAnsi="ae_AlHor" w:cs="ae_AlHor"/>
          <w:color w:val="3366FF"/>
          <w:sz w:val="32"/>
          <w:szCs w:val="32"/>
          <w:rtl/>
          <w:lang w:eastAsia="fr-FR"/>
        </w:rPr>
        <w:t xml:space="preserve">لزُهَيْرِ بن أبي سُلْمَى، </w:t>
      </w:r>
      <w:r>
        <w:rPr>
          <w:rFonts w:ascii="ae_AlHor" w:eastAsia="Times New Roman" w:hAnsi="ae_AlHor" w:cs="ae_AlHor" w:hint="cs"/>
          <w:color w:val="3366FF"/>
          <w:sz w:val="32"/>
          <w:szCs w:val="32"/>
          <w:rtl/>
          <w:lang w:eastAsia="fr-FR"/>
        </w:rPr>
        <w:t>ومطلعها:</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sz w:val="32"/>
          <w:szCs w:val="32"/>
          <w:rtl/>
          <w:lang w:eastAsia="fr-FR"/>
        </w:rPr>
        <w:t xml:space="preserve">أَمِنْ أُمِّ أَوْفَى دِمْنَةٌ لمْ تَكَلَّمِ </w:t>
      </w:r>
      <w:r w:rsidRPr="00051C26">
        <w:rPr>
          <w:rFonts w:ascii="ae_AlHor" w:eastAsia="Times New Roman" w:hAnsi="ae_AlHor" w:cs="ae_AlHor"/>
          <w:color w:val="800080"/>
          <w:sz w:val="32"/>
          <w:szCs w:val="32"/>
          <w:lang w:eastAsia="fr-FR"/>
        </w:rPr>
        <w:t xml:space="preserve">*** </w:t>
      </w:r>
      <w:r w:rsidRPr="00051C26">
        <w:rPr>
          <w:rFonts w:ascii="ae_AlHor" w:eastAsia="Times New Roman" w:hAnsi="ae_AlHor" w:cs="ae_AlHor"/>
          <w:sz w:val="32"/>
          <w:szCs w:val="32"/>
          <w:rtl/>
          <w:lang w:eastAsia="fr-FR"/>
        </w:rPr>
        <w:t>بِحَوْمانةِ الدُّرَّاجِ فالمتَثَلَّمِ</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lang w:eastAsia="fr-FR"/>
        </w:rPr>
      </w:pPr>
      <w:r w:rsidRPr="00051C26">
        <w:rPr>
          <w:rFonts w:ascii="ae_AlHor" w:eastAsia="Times New Roman" w:hAnsi="ae_AlHor" w:cs="ae_AlHor"/>
          <w:color w:val="3366FF"/>
          <w:sz w:val="32"/>
          <w:szCs w:val="32"/>
          <w:rtl/>
          <w:lang w:eastAsia="fr-FR"/>
        </w:rPr>
        <w:lastRenderedPageBreak/>
        <w:t xml:space="preserve">الرابعة: لِلَبيدِ بنِ رَبِيعَةَ، </w:t>
      </w:r>
      <w:r>
        <w:rPr>
          <w:rFonts w:ascii="ae_AlHor" w:eastAsia="Times New Roman" w:hAnsi="ae_AlHor" w:cs="ae_AlHor" w:hint="cs"/>
          <w:color w:val="3366FF"/>
          <w:sz w:val="32"/>
          <w:szCs w:val="32"/>
          <w:rtl/>
          <w:lang w:eastAsia="fr-FR"/>
        </w:rPr>
        <w:t>ومطلعها:</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sz w:val="32"/>
          <w:szCs w:val="32"/>
          <w:rtl/>
          <w:lang w:eastAsia="fr-FR"/>
        </w:rPr>
        <w:t xml:space="preserve">عَفَتِ الدِّيارُ مَحَلُّها فمُقامُها </w:t>
      </w:r>
      <w:r w:rsidRPr="00051C26">
        <w:rPr>
          <w:rFonts w:ascii="ae_AlHor" w:eastAsia="Times New Roman" w:hAnsi="ae_AlHor" w:cs="ae_AlHor"/>
          <w:color w:val="800080"/>
          <w:sz w:val="32"/>
          <w:szCs w:val="32"/>
          <w:lang w:eastAsia="fr-FR"/>
        </w:rPr>
        <w:t xml:space="preserve">*** </w:t>
      </w:r>
      <w:r w:rsidRPr="00051C26">
        <w:rPr>
          <w:rFonts w:ascii="ae_AlHor" w:eastAsia="Times New Roman" w:hAnsi="ae_AlHor" w:cs="ae_AlHor"/>
          <w:sz w:val="32"/>
          <w:szCs w:val="32"/>
          <w:rtl/>
          <w:lang w:eastAsia="fr-FR"/>
        </w:rPr>
        <w:t>بِمِنًى تأبَّدَ غَوْلُهَا فرِجامُها</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lang w:eastAsia="fr-FR"/>
        </w:rPr>
      </w:pPr>
      <w:r w:rsidRPr="00051C26">
        <w:rPr>
          <w:rFonts w:ascii="ae_AlHor" w:eastAsia="Times New Roman" w:hAnsi="ae_AlHor" w:cs="ae_AlHor"/>
          <w:b/>
          <w:bCs/>
          <w:color w:val="3366FF"/>
          <w:sz w:val="32"/>
          <w:szCs w:val="32"/>
          <w:rtl/>
          <w:lang w:eastAsia="fr-FR"/>
        </w:rPr>
        <w:t>الخامسة</w:t>
      </w:r>
      <w:r w:rsidRPr="00051C26">
        <w:rPr>
          <w:rFonts w:ascii="ae_AlHor" w:eastAsia="Times New Roman" w:hAnsi="ae_AlHor" w:cs="ae_AlHor"/>
          <w:b/>
          <w:bCs/>
          <w:color w:val="3366FF"/>
          <w:sz w:val="32"/>
          <w:szCs w:val="32"/>
          <w:lang w:eastAsia="fr-FR"/>
        </w:rPr>
        <w:t>:</w:t>
      </w:r>
      <w:r w:rsidRPr="00051C26">
        <w:rPr>
          <w:rFonts w:ascii="ae_AlHor" w:eastAsia="Times New Roman" w:hAnsi="ae_AlHor" w:cs="ae_AlHor"/>
          <w:color w:val="3366FF"/>
          <w:sz w:val="32"/>
          <w:szCs w:val="32"/>
          <w:lang w:eastAsia="fr-FR"/>
        </w:rPr>
        <w:t xml:space="preserve"> </w:t>
      </w:r>
      <w:r w:rsidRPr="00051C26">
        <w:rPr>
          <w:rFonts w:ascii="ae_AlHor" w:eastAsia="Times New Roman" w:hAnsi="ae_AlHor" w:cs="ae_AlHor"/>
          <w:color w:val="3366FF"/>
          <w:sz w:val="32"/>
          <w:szCs w:val="32"/>
          <w:rtl/>
          <w:lang w:eastAsia="fr-FR"/>
        </w:rPr>
        <w:t xml:space="preserve">لعَمْرو بن كُلثُومٍ، </w:t>
      </w:r>
      <w:r>
        <w:rPr>
          <w:rFonts w:ascii="ae_AlHor" w:eastAsia="Times New Roman" w:hAnsi="ae_AlHor" w:cs="ae_AlHor" w:hint="cs"/>
          <w:color w:val="3366FF"/>
          <w:sz w:val="32"/>
          <w:szCs w:val="32"/>
          <w:rtl/>
          <w:lang w:eastAsia="fr-FR"/>
        </w:rPr>
        <w:t>ومطلعها:</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lang w:eastAsia="fr-FR"/>
        </w:rPr>
      </w:pPr>
      <w:r w:rsidRPr="00051C26">
        <w:rPr>
          <w:rFonts w:ascii="ae_AlHor" w:eastAsia="Times New Roman" w:hAnsi="ae_AlHor" w:cs="ae_AlHor"/>
          <w:sz w:val="32"/>
          <w:szCs w:val="32"/>
          <w:rtl/>
          <w:lang w:eastAsia="fr-FR"/>
        </w:rPr>
        <w:t xml:space="preserve">أَلَا هُبِّي بصَحْنِكِ فَاصبَحِينا </w:t>
      </w:r>
      <w:r w:rsidRPr="00051C26">
        <w:rPr>
          <w:rFonts w:ascii="ae_AlHor" w:eastAsia="Times New Roman" w:hAnsi="ae_AlHor" w:cs="ae_AlHor"/>
          <w:color w:val="800080"/>
          <w:sz w:val="32"/>
          <w:szCs w:val="32"/>
          <w:lang w:eastAsia="fr-FR"/>
        </w:rPr>
        <w:t xml:space="preserve">*** </w:t>
      </w:r>
      <w:r w:rsidRPr="00051C26">
        <w:rPr>
          <w:rFonts w:ascii="ae_AlHor" w:eastAsia="Times New Roman" w:hAnsi="ae_AlHor" w:cs="ae_AlHor"/>
          <w:sz w:val="32"/>
          <w:szCs w:val="32"/>
          <w:rtl/>
          <w:lang w:eastAsia="fr-FR"/>
        </w:rPr>
        <w:t>ولَا تُبْقي خُمورَ الأَنْدَرِينا</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lang w:eastAsia="fr-FR"/>
        </w:rPr>
      </w:pPr>
      <w:r w:rsidRPr="00051C26">
        <w:rPr>
          <w:rFonts w:ascii="ae_AlHor" w:eastAsia="Times New Roman" w:hAnsi="ae_AlHor" w:cs="ae_AlHor"/>
          <w:sz w:val="32"/>
          <w:szCs w:val="32"/>
          <w:lang w:eastAsia="fr-FR"/>
        </w:rPr>
        <w:t> </w:t>
      </w:r>
      <w:r w:rsidRPr="00051C26">
        <w:rPr>
          <w:rFonts w:ascii="ae_AlHor" w:eastAsia="Times New Roman" w:hAnsi="ae_AlHor" w:cs="ae_AlHor"/>
          <w:b/>
          <w:bCs/>
          <w:color w:val="3366FF"/>
          <w:sz w:val="32"/>
          <w:szCs w:val="32"/>
          <w:rtl/>
          <w:lang w:eastAsia="fr-FR"/>
        </w:rPr>
        <w:t>السادسة</w:t>
      </w:r>
      <w:r w:rsidRPr="00051C26">
        <w:rPr>
          <w:rFonts w:ascii="ae_AlHor" w:eastAsia="Times New Roman" w:hAnsi="ae_AlHor" w:cs="ae_AlHor"/>
          <w:b/>
          <w:bCs/>
          <w:color w:val="3366FF"/>
          <w:sz w:val="32"/>
          <w:szCs w:val="32"/>
          <w:lang w:eastAsia="fr-FR"/>
        </w:rPr>
        <w:t>:</w:t>
      </w:r>
      <w:r w:rsidRPr="00051C26">
        <w:rPr>
          <w:rFonts w:ascii="ae_AlHor" w:eastAsia="Times New Roman" w:hAnsi="ae_AlHor" w:cs="ae_AlHor"/>
          <w:color w:val="3366FF"/>
          <w:sz w:val="32"/>
          <w:szCs w:val="32"/>
          <w:lang w:eastAsia="fr-FR"/>
        </w:rPr>
        <w:t xml:space="preserve"> </w:t>
      </w:r>
      <w:r w:rsidRPr="00051C26">
        <w:rPr>
          <w:rFonts w:ascii="ae_AlHor" w:eastAsia="Times New Roman" w:hAnsi="ae_AlHor" w:cs="ae_AlHor"/>
          <w:color w:val="3366FF"/>
          <w:sz w:val="32"/>
          <w:szCs w:val="32"/>
          <w:rtl/>
          <w:lang w:eastAsia="fr-FR"/>
        </w:rPr>
        <w:t>لعنْتَرةَ بنِ شَدَّادٍ، وأولها</w:t>
      </w:r>
      <w:r w:rsidRPr="00051C26">
        <w:rPr>
          <w:rFonts w:ascii="ae_AlHor" w:eastAsia="Times New Roman" w:hAnsi="ae_AlHor" w:cs="ae_AlHor"/>
          <w:color w:val="3366FF"/>
          <w:sz w:val="32"/>
          <w:szCs w:val="32"/>
          <w:lang w:eastAsia="fr-FR"/>
        </w:rPr>
        <w:t>:</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sz w:val="32"/>
          <w:szCs w:val="32"/>
          <w:rtl/>
          <w:lang w:eastAsia="fr-FR"/>
        </w:rPr>
        <w:t xml:space="preserve">هَلْ غادَرَ الشُّعَراءُ مِنْ مُترَدَّمِ </w:t>
      </w:r>
      <w:r w:rsidRPr="00051C26">
        <w:rPr>
          <w:rFonts w:ascii="ae_AlHor" w:eastAsia="Times New Roman" w:hAnsi="ae_AlHor" w:cs="ae_AlHor"/>
          <w:color w:val="800080"/>
          <w:sz w:val="32"/>
          <w:szCs w:val="32"/>
          <w:lang w:eastAsia="fr-FR"/>
        </w:rPr>
        <w:t xml:space="preserve">*** </w:t>
      </w:r>
      <w:r w:rsidRPr="00051C26">
        <w:rPr>
          <w:rFonts w:ascii="ae_AlHor" w:eastAsia="Times New Roman" w:hAnsi="ae_AlHor" w:cs="ae_AlHor"/>
          <w:sz w:val="32"/>
          <w:szCs w:val="32"/>
          <w:rtl/>
          <w:lang w:eastAsia="fr-FR"/>
        </w:rPr>
        <w:t>أَمْ هَلْ عَرَفْتَ الدَّارَ بَعْدَ توَهُّمِ</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lang w:eastAsia="fr-FR"/>
        </w:rPr>
      </w:pPr>
      <w:r w:rsidRPr="00051C26">
        <w:rPr>
          <w:rFonts w:ascii="ae_AlHor" w:eastAsia="Times New Roman" w:hAnsi="ae_AlHor" w:cs="ae_AlHor"/>
          <w:b/>
          <w:bCs/>
          <w:color w:val="3366FF"/>
          <w:sz w:val="32"/>
          <w:szCs w:val="32"/>
          <w:rtl/>
          <w:lang w:eastAsia="fr-FR"/>
        </w:rPr>
        <w:t>السابعة</w:t>
      </w:r>
      <w:r w:rsidRPr="00051C26">
        <w:rPr>
          <w:rFonts w:ascii="ae_AlHor" w:eastAsia="Times New Roman" w:hAnsi="ae_AlHor" w:cs="ae_AlHor"/>
          <w:b/>
          <w:bCs/>
          <w:color w:val="3366FF"/>
          <w:sz w:val="32"/>
          <w:szCs w:val="32"/>
          <w:lang w:eastAsia="fr-FR"/>
        </w:rPr>
        <w:t>:</w:t>
      </w:r>
      <w:r w:rsidRPr="00051C26">
        <w:rPr>
          <w:rFonts w:ascii="ae_AlHor" w:eastAsia="Times New Roman" w:hAnsi="ae_AlHor" w:cs="ae_AlHor"/>
          <w:color w:val="3366FF"/>
          <w:sz w:val="32"/>
          <w:szCs w:val="32"/>
          <w:lang w:eastAsia="fr-FR"/>
        </w:rPr>
        <w:t xml:space="preserve"> </w:t>
      </w:r>
      <w:r w:rsidRPr="00051C26">
        <w:rPr>
          <w:rFonts w:ascii="ae_AlHor" w:eastAsia="Times New Roman" w:hAnsi="ae_AlHor" w:cs="ae_AlHor"/>
          <w:color w:val="3366FF"/>
          <w:sz w:val="32"/>
          <w:szCs w:val="32"/>
          <w:rtl/>
          <w:lang w:eastAsia="fr-FR"/>
        </w:rPr>
        <w:t>للحارَثِ بنِ حِلِّزة اليَشْكُري، وأولها</w:t>
      </w:r>
      <w:r w:rsidRPr="00051C26">
        <w:rPr>
          <w:rFonts w:ascii="ae_AlHor" w:eastAsia="Times New Roman" w:hAnsi="ae_AlHor" w:cs="ae_AlHor"/>
          <w:color w:val="3366FF"/>
          <w:sz w:val="32"/>
          <w:szCs w:val="32"/>
          <w:lang w:eastAsia="fr-FR"/>
        </w:rPr>
        <w:t>:</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sz w:val="32"/>
          <w:szCs w:val="32"/>
          <w:rtl/>
          <w:lang w:eastAsia="fr-FR"/>
        </w:rPr>
        <w:t xml:space="preserve">آذَنَتْنا بِبيْنِهَا أسْماءُ </w:t>
      </w:r>
      <w:r w:rsidRPr="00051C26">
        <w:rPr>
          <w:rFonts w:ascii="ae_AlHor" w:eastAsia="Times New Roman" w:hAnsi="ae_AlHor" w:cs="ae_AlHor"/>
          <w:color w:val="800080"/>
          <w:sz w:val="32"/>
          <w:szCs w:val="32"/>
          <w:lang w:eastAsia="fr-FR"/>
        </w:rPr>
        <w:t xml:space="preserve">*** </w:t>
      </w:r>
      <w:r w:rsidRPr="00051C26">
        <w:rPr>
          <w:rFonts w:ascii="ae_AlHor" w:eastAsia="Times New Roman" w:hAnsi="ae_AlHor" w:cs="ae_AlHor"/>
          <w:sz w:val="32"/>
          <w:szCs w:val="32"/>
          <w:rtl/>
          <w:lang w:eastAsia="fr-FR"/>
        </w:rPr>
        <w:t>رُبَّ ثاوٍ يُمَلُّ منه الثَّواءُ</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lang w:eastAsia="fr-FR"/>
        </w:rPr>
      </w:pPr>
      <w:r w:rsidRPr="00051C26">
        <w:rPr>
          <w:rFonts w:ascii="ae_AlHor" w:eastAsia="Times New Roman" w:hAnsi="ae_AlHor" w:cs="ae_AlHor"/>
          <w:sz w:val="32"/>
          <w:szCs w:val="32"/>
          <w:rtl/>
          <w:lang w:eastAsia="fr-FR"/>
        </w:rPr>
        <w:t>وأَلحق بها البعض ثلاث معلَّقاتٍ أخرَى هي</w:t>
      </w:r>
      <w:r w:rsidRPr="00051C26">
        <w:rPr>
          <w:rFonts w:ascii="ae_AlHor" w:eastAsia="Times New Roman" w:hAnsi="ae_AlHor" w:cs="ae_AlHor"/>
          <w:sz w:val="32"/>
          <w:szCs w:val="32"/>
          <w:lang w:eastAsia="fr-FR"/>
        </w:rPr>
        <w:t>:</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lang w:eastAsia="fr-FR"/>
        </w:rPr>
      </w:pPr>
      <w:r>
        <w:rPr>
          <w:rFonts w:ascii="ae_AlHor" w:eastAsia="Times New Roman" w:hAnsi="ae_AlHor" w:cs="ae_AlHor" w:hint="cs"/>
          <w:b/>
          <w:bCs/>
          <w:sz w:val="32"/>
          <w:szCs w:val="32"/>
          <w:rtl/>
          <w:lang w:eastAsia="fr-FR"/>
        </w:rPr>
        <w:t>1-</w:t>
      </w:r>
      <w:r w:rsidRPr="00051C26">
        <w:rPr>
          <w:rFonts w:ascii="ae_AlHor" w:eastAsia="Times New Roman" w:hAnsi="ae_AlHor" w:cs="ae_AlHor"/>
          <w:b/>
          <w:bCs/>
          <w:sz w:val="32"/>
          <w:szCs w:val="32"/>
          <w:rtl/>
          <w:lang w:eastAsia="fr-FR"/>
        </w:rPr>
        <w:t>معلقة (النابغة الذُّبياني)</w:t>
      </w:r>
      <w:r w:rsidRPr="00051C26">
        <w:rPr>
          <w:rFonts w:ascii="ae_AlHor" w:eastAsia="Times New Roman" w:hAnsi="ae_AlHor" w:cs="ae_AlHor"/>
          <w:sz w:val="32"/>
          <w:szCs w:val="32"/>
          <w:rtl/>
          <w:lang w:eastAsia="fr-FR"/>
        </w:rPr>
        <w:t xml:space="preserve"> </w:t>
      </w:r>
      <w:r w:rsidRPr="004B0819">
        <w:rPr>
          <w:rFonts w:ascii="ae_AlHor" w:eastAsia="Times New Roman" w:hAnsi="ae_AlHor" w:cs="ae_AlHor" w:hint="cs"/>
          <w:sz w:val="32"/>
          <w:szCs w:val="32"/>
          <w:rtl/>
          <w:lang w:eastAsia="fr-FR"/>
        </w:rPr>
        <w:t>ومطلعها:</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sz w:val="32"/>
          <w:szCs w:val="32"/>
          <w:rtl/>
          <w:lang w:eastAsia="fr-FR"/>
        </w:rPr>
        <w:t xml:space="preserve">يَا دَارَ ميَّةَ بالعلياءِ فالسَّنَدِ </w:t>
      </w:r>
      <w:r w:rsidRPr="00051C26">
        <w:rPr>
          <w:rFonts w:ascii="ae_AlHor" w:eastAsia="Times New Roman" w:hAnsi="ae_AlHor" w:cs="ae_AlHor"/>
          <w:color w:val="800080"/>
          <w:sz w:val="32"/>
          <w:szCs w:val="32"/>
          <w:lang w:eastAsia="fr-FR"/>
        </w:rPr>
        <w:t xml:space="preserve">*** </w:t>
      </w:r>
      <w:r w:rsidRPr="00051C26">
        <w:rPr>
          <w:rFonts w:ascii="ae_AlHor" w:eastAsia="Times New Roman" w:hAnsi="ae_AlHor" w:cs="ae_AlHor"/>
          <w:sz w:val="32"/>
          <w:szCs w:val="32"/>
          <w:rtl/>
          <w:lang w:eastAsia="fr-FR"/>
        </w:rPr>
        <w:t>أَقْوَتْ وطال عليْها سَالِفُ الأَبَدِ</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lang w:eastAsia="fr-FR"/>
        </w:rPr>
      </w:pPr>
      <w:r>
        <w:rPr>
          <w:rFonts w:ascii="ae_AlHor" w:eastAsia="Times New Roman" w:hAnsi="ae_AlHor" w:cs="ae_AlHor" w:hint="cs"/>
          <w:b/>
          <w:bCs/>
          <w:sz w:val="32"/>
          <w:szCs w:val="32"/>
          <w:rtl/>
          <w:lang w:eastAsia="fr-FR"/>
        </w:rPr>
        <w:t>2-</w:t>
      </w:r>
      <w:r w:rsidRPr="00051C26">
        <w:rPr>
          <w:rFonts w:ascii="ae_AlHor" w:eastAsia="Times New Roman" w:hAnsi="ae_AlHor" w:cs="ae_AlHor"/>
          <w:b/>
          <w:bCs/>
          <w:sz w:val="32"/>
          <w:szCs w:val="32"/>
          <w:rtl/>
          <w:lang w:eastAsia="fr-FR"/>
        </w:rPr>
        <w:t>معلقة (الأعشى ميمون)</w:t>
      </w:r>
      <w:r w:rsidRPr="00051C26">
        <w:rPr>
          <w:rFonts w:ascii="ae_AlHor" w:eastAsia="Times New Roman" w:hAnsi="ae_AlHor" w:cs="ae_AlHor"/>
          <w:sz w:val="32"/>
          <w:szCs w:val="32"/>
          <w:rtl/>
          <w:lang w:eastAsia="fr-FR"/>
        </w:rPr>
        <w:t xml:space="preserve"> </w:t>
      </w:r>
      <w:r w:rsidRPr="004B0819">
        <w:rPr>
          <w:rFonts w:ascii="ae_AlHor" w:eastAsia="Times New Roman" w:hAnsi="ae_AlHor" w:cs="ae_AlHor" w:hint="cs"/>
          <w:sz w:val="32"/>
          <w:szCs w:val="32"/>
          <w:rtl/>
          <w:lang w:eastAsia="fr-FR"/>
        </w:rPr>
        <w:t>ومطلعها:</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sz w:val="32"/>
          <w:szCs w:val="32"/>
          <w:rtl/>
          <w:lang w:eastAsia="fr-FR"/>
        </w:rPr>
        <w:t xml:space="preserve">وَدِّعْ هُريرةَ إِنَّ الرَّكْبَ مُرْتَحِلٌ </w:t>
      </w:r>
      <w:r w:rsidRPr="00051C26">
        <w:rPr>
          <w:rFonts w:ascii="ae_AlHor" w:eastAsia="Times New Roman" w:hAnsi="ae_AlHor" w:cs="ae_AlHor"/>
          <w:sz w:val="32"/>
          <w:szCs w:val="32"/>
          <w:lang w:eastAsia="fr-FR"/>
        </w:rPr>
        <w:t xml:space="preserve">*** </w:t>
      </w:r>
      <w:r w:rsidRPr="00051C26">
        <w:rPr>
          <w:rFonts w:ascii="ae_AlHor" w:eastAsia="Times New Roman" w:hAnsi="ae_AlHor" w:cs="ae_AlHor"/>
          <w:sz w:val="32"/>
          <w:szCs w:val="32"/>
          <w:rtl/>
          <w:lang w:eastAsia="fr-FR"/>
        </w:rPr>
        <w:t>وَهَلْ تُطِيقُ وَدَاعًا أَيُّهَا الرَّجُلُ</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lang w:eastAsia="fr-FR"/>
        </w:rPr>
      </w:pPr>
      <w:r>
        <w:rPr>
          <w:rFonts w:ascii="ae_AlHor" w:eastAsia="Times New Roman" w:hAnsi="ae_AlHor" w:cs="ae_AlHor" w:hint="cs"/>
          <w:b/>
          <w:bCs/>
          <w:sz w:val="32"/>
          <w:szCs w:val="32"/>
          <w:rtl/>
          <w:lang w:eastAsia="fr-FR"/>
        </w:rPr>
        <w:t>3-</w:t>
      </w:r>
      <w:r w:rsidRPr="00051C26">
        <w:rPr>
          <w:rFonts w:ascii="ae_AlHor" w:eastAsia="Times New Roman" w:hAnsi="ae_AlHor" w:cs="ae_AlHor"/>
          <w:b/>
          <w:bCs/>
          <w:sz w:val="32"/>
          <w:szCs w:val="32"/>
          <w:rtl/>
          <w:lang w:eastAsia="fr-FR"/>
        </w:rPr>
        <w:t>معلقة (عَبيدَ بنِ الأَبْرَصِ)</w:t>
      </w:r>
      <w:r w:rsidRPr="00051C26">
        <w:rPr>
          <w:rFonts w:ascii="ae_AlHor" w:eastAsia="Times New Roman" w:hAnsi="ae_AlHor" w:cs="ae_AlHor"/>
          <w:sz w:val="32"/>
          <w:szCs w:val="32"/>
          <w:rtl/>
          <w:lang w:eastAsia="fr-FR"/>
        </w:rPr>
        <w:t xml:space="preserve"> </w:t>
      </w:r>
      <w:r>
        <w:rPr>
          <w:rFonts w:ascii="ae_AlHor" w:eastAsia="Times New Roman" w:hAnsi="ae_AlHor" w:cs="ae_AlHor" w:hint="cs"/>
          <w:sz w:val="32"/>
          <w:szCs w:val="32"/>
          <w:rtl/>
          <w:lang w:eastAsia="fr-FR"/>
        </w:rPr>
        <w:t>ومطلعها</w:t>
      </w:r>
      <w:r w:rsidRPr="00051C26">
        <w:rPr>
          <w:rFonts w:ascii="ae_AlHor" w:eastAsia="Times New Roman" w:hAnsi="ae_AlHor" w:cs="ae_AlHor"/>
          <w:sz w:val="32"/>
          <w:szCs w:val="32"/>
          <w:lang w:eastAsia="fr-FR"/>
        </w:rPr>
        <w:t>:</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sz w:val="32"/>
          <w:szCs w:val="32"/>
          <w:rtl/>
          <w:lang w:eastAsia="fr-FR"/>
        </w:rPr>
        <w:t xml:space="preserve">أَقْفَرَ مِنْ أَهْلِهِ مَلْحُوبُ </w:t>
      </w:r>
      <w:r w:rsidRPr="00051C26">
        <w:rPr>
          <w:rFonts w:ascii="ae_AlHor" w:eastAsia="Times New Roman" w:hAnsi="ae_AlHor" w:cs="ae_AlHor"/>
          <w:color w:val="800080"/>
          <w:sz w:val="32"/>
          <w:szCs w:val="32"/>
          <w:lang w:eastAsia="fr-FR"/>
        </w:rPr>
        <w:t xml:space="preserve">*** </w:t>
      </w:r>
      <w:r w:rsidRPr="00051C26">
        <w:rPr>
          <w:rFonts w:ascii="ae_AlHor" w:eastAsia="Times New Roman" w:hAnsi="ae_AlHor" w:cs="ae_AlHor"/>
          <w:sz w:val="32"/>
          <w:szCs w:val="32"/>
          <w:rtl/>
          <w:lang w:eastAsia="fr-FR"/>
        </w:rPr>
        <w:t>فَالقُطْبِيَّاتُ فالذَّنُ</w:t>
      </w:r>
      <w:r>
        <w:rPr>
          <w:rFonts w:ascii="ae_AlHor" w:eastAsia="Times New Roman" w:hAnsi="ae_AlHor" w:cs="ae_AlHor" w:hint="cs"/>
          <w:sz w:val="32"/>
          <w:szCs w:val="32"/>
          <w:rtl/>
          <w:lang w:eastAsia="fr-FR"/>
        </w:rPr>
        <w:t>و</w:t>
      </w:r>
      <w:r w:rsidRPr="00051C26">
        <w:rPr>
          <w:rFonts w:ascii="ae_AlHor" w:eastAsia="Times New Roman" w:hAnsi="ae_AlHor" w:cs="ae_AlHor"/>
          <w:sz w:val="32"/>
          <w:szCs w:val="32"/>
          <w:rtl/>
          <w:lang w:eastAsia="fr-FR"/>
        </w:rPr>
        <w:t>بُ</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sz w:val="32"/>
          <w:szCs w:val="32"/>
          <w:rtl/>
          <w:lang w:eastAsia="fr-FR"/>
        </w:rPr>
        <w:t xml:space="preserve">وقد اتفق أغلب نقاد الشعر على ريادة هؤلاء الشعراء ووضعوهم في الطبقات الأولى من رواة الشعر، « فعقد </w:t>
      </w:r>
      <w:r w:rsidRPr="00051C26">
        <w:rPr>
          <w:rFonts w:ascii="ae_AlHor" w:eastAsia="Times New Roman" w:hAnsi="ae_AlHor" w:cs="ae_AlHor"/>
          <w:b/>
          <w:bCs/>
          <w:sz w:val="32"/>
          <w:szCs w:val="32"/>
          <w:rtl/>
          <w:lang w:eastAsia="fr-FR"/>
        </w:rPr>
        <w:t>ابن سلام الجمحي</w:t>
      </w:r>
      <w:r w:rsidRPr="00051C26">
        <w:rPr>
          <w:rFonts w:ascii="ae_AlHor" w:eastAsia="Times New Roman" w:hAnsi="ae_AlHor" w:cs="ae_AlHor"/>
          <w:sz w:val="32"/>
          <w:szCs w:val="32"/>
          <w:rtl/>
          <w:lang w:eastAsia="fr-FR"/>
        </w:rPr>
        <w:t xml:space="preserve"> فصلًا تحدث فيه عن أوائل الشعراء الجاهليين، وتأثر به ابن قتيبة في مقدمة كتابه: "</w:t>
      </w:r>
      <w:r w:rsidRPr="00051C26">
        <w:rPr>
          <w:rFonts w:ascii="ae_AlHor" w:eastAsia="Times New Roman" w:hAnsi="ae_AlHor" w:cs="ae_AlHor"/>
          <w:b/>
          <w:bCs/>
          <w:sz w:val="32"/>
          <w:szCs w:val="32"/>
          <w:rtl/>
          <w:lang w:eastAsia="fr-FR"/>
        </w:rPr>
        <w:t>الشعر والشعراء"،</w:t>
      </w:r>
      <w:r w:rsidRPr="00051C26">
        <w:rPr>
          <w:rFonts w:ascii="ae_AlHor" w:eastAsia="Times New Roman" w:hAnsi="ae_AlHor" w:cs="ae_AlHor"/>
          <w:sz w:val="32"/>
          <w:szCs w:val="32"/>
          <w:rtl/>
          <w:lang w:eastAsia="fr-FR"/>
        </w:rPr>
        <w:t xml:space="preserve"> فعرض هو الآخر لهؤلاء الأوائل، وهم عندهما جميعًا أوائل الحقبة الجاهلية المكتملة الخلق والبناء في صياغة القصيدة العربية، وكأن الأوائل الذين أنشئوا هذه القصيدة في الزمن الأقدم، ونهجوا لها سُننَها طواهم الزمان». [شرح المعلقات السبع للزوزني صـ 5</w:t>
      </w:r>
      <w:r>
        <w:rPr>
          <w:rFonts w:ascii="ae_AlHor" w:eastAsia="Times New Roman" w:hAnsi="ae_AlHor" w:cs="ae_AlHor" w:hint="cs"/>
          <w:sz w:val="32"/>
          <w:szCs w:val="32"/>
          <w:rtl/>
          <w:lang w:eastAsia="fr-FR"/>
        </w:rPr>
        <w:t>.</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sz w:val="32"/>
          <w:szCs w:val="32"/>
          <w:rtl/>
          <w:lang w:eastAsia="fr-FR"/>
        </w:rPr>
        <w:t xml:space="preserve">والغالب على هذه القصائد بداوة التعبير، وطزاجة اللغة «فقد جاء الأدب الجاهلي ابن بيئة يمثلها في الفطرة والبداهة الشائعتين في أغراضه ومعانيه ولغته وتصاويره، </w:t>
      </w:r>
      <w:r w:rsidRPr="00051C26">
        <w:rPr>
          <w:rFonts w:ascii="ae_AlHor" w:eastAsia="Times New Roman" w:hAnsi="ae_AlHor" w:cs="ae_AlHor"/>
          <w:sz w:val="32"/>
          <w:szCs w:val="32"/>
          <w:rtl/>
          <w:lang w:eastAsia="fr-FR"/>
        </w:rPr>
        <w:lastRenderedPageBreak/>
        <w:t>وكان الشاعر في هذا العصر لا يحاول تأليف معانيه، وإنما يرسلها إرسالًا يخلو من الترتيب». [شرح المعلقات السبع للزوزني صـ 8</w:t>
      </w:r>
      <w:r>
        <w:rPr>
          <w:rFonts w:ascii="ae_AlHor" w:eastAsia="Times New Roman" w:hAnsi="ae_AlHor" w:cs="ae_AlHor" w:hint="cs"/>
          <w:sz w:val="32"/>
          <w:szCs w:val="32"/>
          <w:rtl/>
          <w:lang w:eastAsia="fr-FR"/>
        </w:rPr>
        <w:t>.</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b/>
          <w:bCs/>
          <w:sz w:val="32"/>
          <w:szCs w:val="32"/>
          <w:rtl/>
          <w:lang w:eastAsia="fr-FR"/>
        </w:rPr>
        <w:t>ودواوين المعلقات</w:t>
      </w:r>
      <w:r w:rsidRPr="00051C26">
        <w:rPr>
          <w:rFonts w:ascii="ae_AlHor" w:eastAsia="Times New Roman" w:hAnsi="ae_AlHor" w:cs="ae_AlHor"/>
          <w:sz w:val="32"/>
          <w:szCs w:val="32"/>
          <w:rtl/>
          <w:lang w:eastAsia="fr-FR"/>
        </w:rPr>
        <w:t xml:space="preserve"> صنعها الأصمعى، ورواها أبو حاتم السجستانى، وابن دريد، ونقلها أبو على القالى إلى الأندلس. [تاريخ التراث العربي لسزكين - الشعر (2/ 3</w:t>
      </w:r>
      <w:r w:rsidRPr="00051C26">
        <w:rPr>
          <w:rFonts w:ascii="ae_AlHor" w:eastAsia="Times New Roman" w:hAnsi="ae_AlHor" w:cs="ae_AlHor"/>
          <w:sz w:val="32"/>
          <w:szCs w:val="32"/>
          <w:lang w:eastAsia="fr-FR"/>
        </w:rPr>
        <w:t>)].</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sz w:val="32"/>
          <w:szCs w:val="32"/>
          <w:rtl/>
          <w:lang w:eastAsia="fr-FR"/>
        </w:rPr>
        <w:t>وبعضهم يرى أن "حماد الراوية" المتوفى 155 هـ أو 158 هـ هو أول من جمعها من مجموعات الشعر المتاحة لديه. والمرجح أن عادة اختيار بعض القصائد من الرصيد الشعرى الكبير المتاح، لتكون بمثابة النماذج الشعرية، ترجع إلى زمن أقدم من زمن حماد الراوية، ذكر عبد القادر البغدادى أن معاوية بن أبى سفيان قال: « قصيدة عمرو بن كلثوم، وقصيدة الحارث بن حلّزة، من مفاخر العرب، كانتا معلقتين بالكعبة دهرًا». [خزانة الأدب (3/ 181</w:t>
      </w:r>
      <w:r w:rsidRPr="00051C26">
        <w:rPr>
          <w:rFonts w:ascii="ae_AlHor" w:eastAsia="Times New Roman" w:hAnsi="ae_AlHor" w:cs="ae_AlHor"/>
          <w:sz w:val="32"/>
          <w:szCs w:val="32"/>
          <w:lang w:eastAsia="fr-FR"/>
        </w:rPr>
        <w:t>)].</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sz w:val="32"/>
          <w:szCs w:val="32"/>
          <w:rtl/>
          <w:lang w:eastAsia="fr-FR"/>
        </w:rPr>
        <w:t>وذكر البغدادي: وروي أن بعض أمراء بني أمية أمر من اختار له سبعة أشعار فسماها المعلقات، وفي رواية أخرى: فماسها المعلقات الثواني</w:t>
      </w:r>
      <w:r w:rsidRPr="00051C26">
        <w:rPr>
          <w:rFonts w:ascii="ae_AlHor" w:eastAsia="Times New Roman" w:hAnsi="ae_AlHor" w:cs="ae_AlHor"/>
          <w:sz w:val="32"/>
          <w:szCs w:val="32"/>
          <w:lang w:eastAsia="fr-FR"/>
        </w:rPr>
        <w:t>.</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sz w:val="32"/>
          <w:szCs w:val="32"/>
          <w:rtl/>
          <w:lang w:eastAsia="fr-FR"/>
        </w:rPr>
        <w:t>وقال البغدادي أيضًا بعد أن ذكر أصحاب المعلقات: « وقد طرح عبد الملك بن مروان شعر أربعة منهم وأثبت مكانهم أربعة». [خزانة الأدب (</w:t>
      </w:r>
      <w:r>
        <w:rPr>
          <w:rFonts w:ascii="ae_AlHor" w:eastAsia="Times New Roman" w:hAnsi="ae_AlHor" w:cs="ae_AlHor" w:hint="cs"/>
          <w:sz w:val="32"/>
          <w:szCs w:val="32"/>
          <w:rtl/>
          <w:lang w:eastAsia="fr-FR"/>
        </w:rPr>
        <w:t>ج</w:t>
      </w:r>
      <w:r w:rsidRPr="00051C26">
        <w:rPr>
          <w:rFonts w:ascii="ae_AlHor" w:eastAsia="Times New Roman" w:hAnsi="ae_AlHor" w:cs="ae_AlHor"/>
          <w:sz w:val="32"/>
          <w:szCs w:val="32"/>
          <w:rtl/>
          <w:lang w:eastAsia="fr-FR"/>
        </w:rPr>
        <w:t>1/</w:t>
      </w:r>
      <w:r>
        <w:rPr>
          <w:rFonts w:ascii="ae_AlHor" w:eastAsia="Times New Roman" w:hAnsi="ae_AlHor" w:cs="ae_AlHor" w:hint="cs"/>
          <w:sz w:val="32"/>
          <w:szCs w:val="32"/>
          <w:rtl/>
          <w:lang w:eastAsia="fr-FR"/>
        </w:rPr>
        <w:t>ص</w:t>
      </w:r>
      <w:r w:rsidRPr="00051C26">
        <w:rPr>
          <w:rFonts w:ascii="ae_AlHor" w:eastAsia="Times New Roman" w:hAnsi="ae_AlHor" w:cs="ae_AlHor"/>
          <w:sz w:val="32"/>
          <w:szCs w:val="32"/>
          <w:rtl/>
          <w:lang w:eastAsia="fr-FR"/>
        </w:rPr>
        <w:t xml:space="preserve"> 16). وعبد الملك توفي سنة 86 هـ، فبين وفاته ووفاة حماد الراوية حوالي 69 سنة</w:t>
      </w:r>
      <w:r w:rsidRPr="00051C26">
        <w:rPr>
          <w:rFonts w:ascii="ae_AlHor" w:eastAsia="Times New Roman" w:hAnsi="ae_AlHor" w:cs="ae_AlHor"/>
          <w:sz w:val="32"/>
          <w:szCs w:val="32"/>
          <w:lang w:eastAsia="fr-FR"/>
        </w:rPr>
        <w:t>.</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sz w:val="32"/>
          <w:szCs w:val="32"/>
          <w:rtl/>
          <w:lang w:eastAsia="fr-FR"/>
        </w:rPr>
        <w:t>وقد تناوب الكثير من الشراح على شرح هذه القصائد وأفردوها بالتعليقات وبيان مفرداتها الغريبة وإعرابها، ومن أشهر هذه الشروح المعروفة لهذه المعلقات: شرح ابن الأنباري المسمى بـ "شرح القصائد السبع"، وقد شرحها أيضًا أبو جعفر أحمد بن محمد النحاس النحوي شرحًا مختصرًا، وشرحها أيضًا أبو إسماعيل ابن قاسم القالي، وأيضًا نجد شرح الشنقيطي "شرح المعلقات العشر"، والخطيب التبريزي "شرح القصائد العشر</w:t>
      </w:r>
      <w:r w:rsidRPr="00051C26">
        <w:rPr>
          <w:rFonts w:ascii="ae_AlHor" w:eastAsia="Times New Roman" w:hAnsi="ae_AlHor" w:cs="ae_AlHor"/>
          <w:sz w:val="32"/>
          <w:szCs w:val="32"/>
          <w:lang w:eastAsia="fr-FR"/>
        </w:rPr>
        <w:t>"</w:t>
      </w:r>
      <w:r w:rsidRPr="00051C26">
        <w:rPr>
          <w:rFonts w:ascii="ae_AlHor" w:eastAsia="Times New Roman" w:hAnsi="ae_AlHor" w:cs="ae_AlHor"/>
          <w:sz w:val="32"/>
          <w:szCs w:val="32"/>
          <w:rtl/>
          <w:lang w:eastAsia="fr-FR"/>
        </w:rPr>
        <w:t>، وأبو بكر عاصم بن أيوب البطليموسي، والشيخ أبو زكريا يحيى بن علي المعروف بابن الخطيب التبريزي، ومحمد بن محمود بن محمد المسكان، والإمام الدميري الشافعي، والقاضي الإمام المتحقق أبو عبد الله الحسين بن أحمد بن الحسين الزَّوزَني في "شرح المعلقات السبع"، أما أقدم الشروح لها فهو شرح الأعلم الشّنتمرى المتوفى 476 هـ</w:t>
      </w:r>
      <w:r w:rsidRPr="00051C26">
        <w:rPr>
          <w:rFonts w:ascii="ae_AlHor" w:eastAsia="Times New Roman" w:hAnsi="ae_AlHor" w:cs="ae_AlHor"/>
          <w:sz w:val="32"/>
          <w:szCs w:val="32"/>
          <w:lang w:eastAsia="fr-FR"/>
        </w:rPr>
        <w:t>.</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rtl/>
          <w:lang w:eastAsia="fr-FR" w:bidi="ar-DZ"/>
        </w:rPr>
      </w:pPr>
      <w:r w:rsidRPr="00051C26">
        <w:rPr>
          <w:rFonts w:ascii="ae_AlHor" w:eastAsia="Times New Roman" w:hAnsi="ae_AlHor" w:cs="ae_AlHor"/>
          <w:sz w:val="32"/>
          <w:szCs w:val="32"/>
          <w:rtl/>
          <w:lang w:eastAsia="fr-FR"/>
        </w:rPr>
        <w:t>وتتراءى لنا مطولات الشعر الجاهلي في نظام معين من المعاني والموضوعات، إذ نرى أصحابها يفتتحونها غالبًا بوصف الأطلال وبكاء آثار الديار، ثم يصفون رحلاتهم في الصحراء، وما يركبونه من إبل وخيل، وكثيرًا ما يشبهون الناقة في سرعتها ببعض الحيوانات الوحشية، ويمضون في تصويرها، ثم يخرجون إلى الغرض من قصيدتهم مديحًا أو هجاء أوفخرًا أو عتابًا أو رثاء. وللقصيدة مهما طالت تقليد ثابت في أوزانها وقوافيها، فهي تتألف من وحدات موسيقية يسمونها الأبيات، وتتحد جميع الأبيات في وزنها وقافيتها، وما تنتهي به من رَوِي</w:t>
      </w:r>
      <w:r w:rsidRPr="00051C26">
        <w:rPr>
          <w:rFonts w:ascii="ae_AlHor" w:eastAsia="Times New Roman" w:hAnsi="ae_AlHor" w:cs="ae_AlHor"/>
          <w:sz w:val="32"/>
          <w:szCs w:val="32"/>
          <w:lang w:eastAsia="fr-FR"/>
        </w:rPr>
        <w:t>.</w:t>
      </w:r>
    </w:p>
    <w:p w:rsidR="009B26CA" w:rsidRPr="009B26CA" w:rsidRDefault="009B26CA" w:rsidP="009B26CA">
      <w:pPr>
        <w:bidi/>
        <w:spacing w:before="100" w:beforeAutospacing="1" w:after="100" w:afterAutospacing="1" w:line="240" w:lineRule="auto"/>
        <w:rPr>
          <w:rFonts w:ascii="ae_AlHor" w:eastAsia="Times New Roman" w:hAnsi="ae_AlHor" w:cs="ae_AlHor"/>
          <w:sz w:val="32"/>
          <w:szCs w:val="32"/>
          <w:lang w:eastAsia="fr-FR"/>
        </w:rPr>
      </w:pPr>
      <w:r w:rsidRPr="009B26CA">
        <w:rPr>
          <w:rFonts w:ascii="ae_AlHor" w:eastAsia="Times New Roman" w:hAnsi="ae_AlHor" w:cs="ae_AlHor"/>
          <w:sz w:val="32"/>
          <w:szCs w:val="32"/>
          <w:rtl/>
          <w:lang w:eastAsia="fr-FR"/>
        </w:rPr>
        <w:lastRenderedPageBreak/>
        <w:t>يقول الأستاذ مصطفى صادق الرافعي في "تاريخ آداب العرب</w:t>
      </w:r>
      <w:r w:rsidRPr="009B26CA">
        <w:rPr>
          <w:rFonts w:ascii="ae_AlHor" w:eastAsia="Times New Roman" w:hAnsi="ae_AlHor" w:cs="ae_AlHor"/>
          <w:sz w:val="32"/>
          <w:szCs w:val="32"/>
          <w:lang w:eastAsia="fr-FR"/>
        </w:rPr>
        <w:t>":</w:t>
      </w:r>
    </w:p>
    <w:p w:rsidR="009B26CA" w:rsidRPr="00051C26" w:rsidRDefault="009B26CA" w:rsidP="009B26CA">
      <w:pPr>
        <w:bidi/>
        <w:spacing w:before="100" w:beforeAutospacing="1" w:after="100" w:afterAutospacing="1" w:line="240" w:lineRule="auto"/>
        <w:rPr>
          <w:rFonts w:ascii="ae_AlHor" w:eastAsia="Times New Roman" w:hAnsi="ae_AlHor" w:cs="ae_AlHor"/>
          <w:sz w:val="32"/>
          <w:szCs w:val="32"/>
          <w:lang w:eastAsia="fr-FR"/>
        </w:rPr>
      </w:pPr>
      <w:r>
        <w:rPr>
          <w:rFonts w:ascii="ae_AlHor" w:eastAsia="Times New Roman" w:hAnsi="ae_AlHor" w:cs="ae_AlHor" w:hint="cs"/>
          <w:sz w:val="32"/>
          <w:szCs w:val="32"/>
          <w:rtl/>
          <w:lang w:eastAsia="fr-FR"/>
        </w:rPr>
        <w:t>(</w:t>
      </w:r>
      <w:r w:rsidRPr="00051C26">
        <w:rPr>
          <w:rFonts w:ascii="ae_AlHor" w:eastAsia="Times New Roman" w:hAnsi="ae_AlHor" w:cs="ae_AlHor"/>
          <w:sz w:val="32"/>
          <w:szCs w:val="32"/>
          <w:lang w:eastAsia="fr-FR"/>
        </w:rPr>
        <w:t xml:space="preserve"> </w:t>
      </w:r>
      <w:r w:rsidRPr="00051C26">
        <w:rPr>
          <w:rFonts w:ascii="ae_AlHor" w:eastAsia="Times New Roman" w:hAnsi="ae_AlHor" w:cs="ae_AlHor"/>
          <w:sz w:val="32"/>
          <w:szCs w:val="32"/>
          <w:rtl/>
          <w:lang w:eastAsia="fr-FR"/>
        </w:rPr>
        <w:t>وقد رأينا من ينكر أن هذه القصائد صحيحة النسبة إلى قائليها، مرجحًا أنها منحولة وضعها مثل حماد الراوية، أو خلف الأحمر، وهو رأي فائل؛ لأن الروايات قد تواردت على نسبتها، وتجد أشياء منها في كلام الصدر الأول؛ وإنما تصحح الروايات بالمعارضة بينها؛ فإذا اتفقت فلا سبيل إلى ذلك، غير أنه مما لا شك فيه عندنا أن تلك القصائد لا تخلو من الزيادة وتعارض الألسنة، قل ذلك أو كثر؛ أما أن تكون بجملتها مولدة فدون هذا البناء نقض التاريخ</w:t>
      </w:r>
      <w:r>
        <w:rPr>
          <w:rFonts w:ascii="ae_AlHor" w:eastAsia="Times New Roman" w:hAnsi="ae_AlHor" w:cs="ae_AlHor" w:hint="cs"/>
          <w:sz w:val="32"/>
          <w:szCs w:val="32"/>
          <w:rtl/>
          <w:lang w:eastAsia="fr-FR"/>
        </w:rPr>
        <w:t>)</w:t>
      </w:r>
      <w:r w:rsidRPr="00051C26">
        <w:rPr>
          <w:rFonts w:ascii="ae_AlHor" w:eastAsia="Times New Roman" w:hAnsi="ae_AlHor" w:cs="ae_AlHor"/>
          <w:sz w:val="32"/>
          <w:szCs w:val="32"/>
          <w:rtl/>
          <w:lang w:eastAsia="fr-FR"/>
        </w:rPr>
        <w:t xml:space="preserve">. </w:t>
      </w:r>
      <w:r>
        <w:rPr>
          <w:rFonts w:ascii="ae_AlHor" w:eastAsia="Times New Roman" w:hAnsi="ae_AlHor" w:cs="ae_AlHor" w:hint="cs"/>
          <w:sz w:val="32"/>
          <w:szCs w:val="32"/>
          <w:rtl/>
          <w:lang w:eastAsia="fr-FR"/>
        </w:rPr>
        <w:t>ص</w:t>
      </w:r>
      <w:r w:rsidRPr="00051C26">
        <w:rPr>
          <w:rFonts w:ascii="ae_AlHor" w:eastAsia="Times New Roman" w:hAnsi="ae_AlHor" w:cs="ae_AlHor"/>
          <w:sz w:val="32"/>
          <w:szCs w:val="32"/>
          <w:rtl/>
          <w:lang w:eastAsia="fr-FR"/>
        </w:rPr>
        <w:t>3/ 125</w:t>
      </w:r>
      <w:r w:rsidRPr="00051C26">
        <w:rPr>
          <w:rFonts w:ascii="ae_AlHor" w:eastAsia="Times New Roman" w:hAnsi="ae_AlHor" w:cs="ae_AlHor"/>
          <w:sz w:val="32"/>
          <w:szCs w:val="32"/>
          <w:lang w:eastAsia="fr-FR"/>
        </w:rPr>
        <w:t>.</w:t>
      </w:r>
    </w:p>
    <w:p w:rsidR="009B26CA" w:rsidRPr="00051C26" w:rsidRDefault="009B26CA" w:rsidP="009B26CA">
      <w:pPr>
        <w:bidi/>
        <w:rPr>
          <w:rFonts w:ascii="ae_AlHor" w:hAnsi="ae_AlHor" w:cs="ae_AlHor"/>
          <w:sz w:val="32"/>
          <w:szCs w:val="32"/>
        </w:rPr>
      </w:pPr>
    </w:p>
    <w:p w:rsidR="00C73C43" w:rsidRDefault="00C73C43"/>
    <w:sectPr w:rsidR="00C73C43">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3AD" w:rsidRDefault="00C253AD" w:rsidP="009B26CA">
      <w:pPr>
        <w:spacing w:after="0" w:line="240" w:lineRule="auto"/>
      </w:pPr>
      <w:r>
        <w:separator/>
      </w:r>
    </w:p>
  </w:endnote>
  <w:endnote w:type="continuationSeparator" w:id="0">
    <w:p w:rsidR="00C253AD" w:rsidRDefault="00C253AD" w:rsidP="009B2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e_AlHor">
    <w:altName w:val="Times New Roman"/>
    <w:charset w:val="00"/>
    <w:family w:val="roman"/>
    <w:pitch w:val="variable"/>
    <w:sig w:usb0="00000000" w:usb1="C0002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97873"/>
      <w:docPartObj>
        <w:docPartGallery w:val="Page Numbers (Bottom of Page)"/>
        <w:docPartUnique/>
      </w:docPartObj>
    </w:sdtPr>
    <w:sdtEndPr/>
    <w:sdtContent>
      <w:p w:rsidR="009B26CA" w:rsidRDefault="009B26CA">
        <w:pPr>
          <w:pStyle w:val="Footer"/>
          <w:jc w:val="center"/>
        </w:pPr>
        <w:r>
          <w:fldChar w:fldCharType="begin"/>
        </w:r>
        <w:r>
          <w:instrText>PAGE   \* MERGEFORMAT</w:instrText>
        </w:r>
        <w:r>
          <w:fldChar w:fldCharType="separate"/>
        </w:r>
        <w:r w:rsidR="00C96D5C">
          <w:rPr>
            <w:noProof/>
          </w:rPr>
          <w:t>4</w:t>
        </w:r>
        <w:r>
          <w:fldChar w:fldCharType="end"/>
        </w:r>
      </w:p>
    </w:sdtContent>
  </w:sdt>
  <w:p w:rsidR="009B26CA" w:rsidRDefault="009B2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3AD" w:rsidRDefault="00C253AD" w:rsidP="009B26CA">
      <w:pPr>
        <w:spacing w:after="0" w:line="240" w:lineRule="auto"/>
      </w:pPr>
      <w:r>
        <w:separator/>
      </w:r>
    </w:p>
  </w:footnote>
  <w:footnote w:type="continuationSeparator" w:id="0">
    <w:p w:rsidR="00C253AD" w:rsidRDefault="00C253AD" w:rsidP="009B26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DDB"/>
    <w:rsid w:val="0015504C"/>
    <w:rsid w:val="00952E80"/>
    <w:rsid w:val="009B26CA"/>
    <w:rsid w:val="00A37F01"/>
    <w:rsid w:val="00AA1C6F"/>
    <w:rsid w:val="00BC691D"/>
    <w:rsid w:val="00C13865"/>
    <w:rsid w:val="00C203D1"/>
    <w:rsid w:val="00C253AD"/>
    <w:rsid w:val="00C73C43"/>
    <w:rsid w:val="00C96D5C"/>
    <w:rsid w:val="00D45259"/>
    <w:rsid w:val="00EC2DDB"/>
    <w:rsid w:val="00FD0B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C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26CA"/>
  </w:style>
  <w:style w:type="paragraph" w:styleId="Footer">
    <w:name w:val="footer"/>
    <w:basedOn w:val="Normal"/>
    <w:link w:val="FooterChar"/>
    <w:uiPriority w:val="99"/>
    <w:unhideWhenUsed/>
    <w:rsid w:val="009B26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26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C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26CA"/>
  </w:style>
  <w:style w:type="paragraph" w:styleId="Footer">
    <w:name w:val="footer"/>
    <w:basedOn w:val="Normal"/>
    <w:link w:val="FooterChar"/>
    <w:uiPriority w:val="99"/>
    <w:unhideWhenUsed/>
    <w:rsid w:val="009B26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2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857</Words>
  <Characters>4890</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Utilisateur Windows</cp:lastModifiedBy>
  <cp:revision>3</cp:revision>
  <dcterms:created xsi:type="dcterms:W3CDTF">2021-02-07T19:35:00Z</dcterms:created>
  <dcterms:modified xsi:type="dcterms:W3CDTF">2025-11-02T08:04:00Z</dcterms:modified>
</cp:coreProperties>
</file>