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C814" w14:textId="7777777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t>ICT Proficiency: Revision Lesson</w:t>
      </w:r>
    </w:p>
    <w:p w14:paraId="16B5AFCA" w14:textId="7777777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t>This lesson follows your syllabus points and connects ICT to scientific research methodology. Review each section to prepare for your test.</w:t>
      </w:r>
    </w:p>
    <w:p w14:paraId="53258A0F" w14:textId="7777777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pict w14:anchorId="07F5A01B">
          <v:rect id="_x0000_i1055" style="width:0;height:.75pt" o:hralign="center" o:hrstd="t" o:hr="t" fillcolor="#a0a0a0" stroked="f"/>
        </w:pict>
      </w:r>
    </w:p>
    <w:p w14:paraId="622E4BB2" w14:textId="77777777" w:rsidR="00380B87" w:rsidRPr="00380B87" w:rsidRDefault="00380B87" w:rsidP="003C5300">
      <w:pPr>
        <w:spacing w:line="360" w:lineRule="auto"/>
        <w:jc w:val="center"/>
        <w:rPr>
          <w:rFonts w:asciiTheme="majorBidi" w:hAnsiTheme="majorBidi" w:cstheme="majorBidi"/>
          <w:b/>
          <w:bCs/>
          <w:sz w:val="24"/>
          <w:szCs w:val="24"/>
        </w:rPr>
      </w:pPr>
      <w:r w:rsidRPr="00380B87">
        <w:rPr>
          <w:rFonts w:asciiTheme="majorBidi" w:hAnsiTheme="majorBidi" w:cstheme="majorBidi"/>
          <w:b/>
          <w:bCs/>
          <w:sz w:val="24"/>
          <w:szCs w:val="24"/>
        </w:rPr>
        <w:t>1. What is ICT and Its History</w:t>
      </w:r>
    </w:p>
    <w:p w14:paraId="5F59E683" w14:textId="77777777" w:rsidR="003C5300" w:rsidRDefault="00380B87" w:rsidP="00380B87">
      <w:pPr>
        <w:spacing w:line="480" w:lineRule="auto"/>
        <w:jc w:val="both"/>
        <w:rPr>
          <w:rFonts w:asciiTheme="majorBidi" w:hAnsiTheme="majorBidi" w:cstheme="majorBidi"/>
          <w:sz w:val="24"/>
          <w:szCs w:val="24"/>
        </w:rPr>
      </w:pPr>
      <w:r w:rsidRPr="00380B87">
        <w:rPr>
          <w:rFonts w:asciiTheme="majorBidi" w:hAnsiTheme="majorBidi" w:cstheme="majorBidi"/>
          <w:sz w:val="24"/>
          <w:szCs w:val="24"/>
        </w:rPr>
        <w:t xml:space="preserve">Information and Communication Technology (ICT) </w:t>
      </w:r>
      <w:r w:rsidRPr="00380B87">
        <w:rPr>
          <w:rFonts w:asciiTheme="majorBidi" w:hAnsiTheme="majorBidi" w:cstheme="majorBidi"/>
          <w:sz w:val="24"/>
          <w:szCs w:val="24"/>
        </w:rPr>
        <w:t>refer</w:t>
      </w:r>
      <w:r w:rsidRPr="00380B87">
        <w:rPr>
          <w:rFonts w:asciiTheme="majorBidi" w:hAnsiTheme="majorBidi" w:cstheme="majorBidi"/>
          <w:sz w:val="24"/>
          <w:szCs w:val="24"/>
        </w:rPr>
        <w:t xml:space="preserve"> to digital technologies that are used to create, store, share, and communicate information, including computers, the internet, telecommunications, and software (Livingstone, 2004). ICT has evolved from early communication forms like the telegraph and telephone to current sophisticated digital networks that support real-time global interaction (Buckingham, 2007</w:t>
      </w:r>
      <w:r w:rsidRPr="00380B87">
        <w:rPr>
          <w:rFonts w:asciiTheme="majorBidi" w:hAnsiTheme="majorBidi" w:cstheme="majorBidi"/>
          <w:sz w:val="24"/>
          <w:szCs w:val="24"/>
        </w:rPr>
        <w:t xml:space="preserve">). </w:t>
      </w:r>
    </w:p>
    <w:p w14:paraId="12595209" w14:textId="5C5FB970" w:rsidR="00380B87" w:rsidRPr="00380B87" w:rsidRDefault="00380B87" w:rsidP="003C5300">
      <w:pPr>
        <w:spacing w:line="480" w:lineRule="auto"/>
        <w:jc w:val="center"/>
        <w:rPr>
          <w:rFonts w:asciiTheme="majorBidi" w:hAnsiTheme="majorBidi" w:cstheme="majorBidi"/>
          <w:b/>
          <w:bCs/>
          <w:sz w:val="24"/>
          <w:szCs w:val="24"/>
        </w:rPr>
      </w:pPr>
      <w:r w:rsidRPr="003C5300">
        <w:rPr>
          <w:rFonts w:asciiTheme="majorBidi" w:hAnsiTheme="majorBidi" w:cstheme="majorBidi"/>
          <w:b/>
          <w:bCs/>
          <w:sz w:val="24"/>
          <w:szCs w:val="24"/>
        </w:rPr>
        <w:t>Brief</w:t>
      </w:r>
      <w:r w:rsidRPr="00380B87">
        <w:rPr>
          <w:rFonts w:asciiTheme="majorBidi" w:hAnsiTheme="majorBidi" w:cstheme="majorBidi"/>
          <w:b/>
          <w:bCs/>
          <w:sz w:val="24"/>
          <w:szCs w:val="24"/>
        </w:rPr>
        <w:t xml:space="preserve"> Historical Timeline:</w:t>
      </w:r>
    </w:p>
    <w:p w14:paraId="07ACD074" w14:textId="4F98B556"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Telegraph (1837) and Telephone (1876):</w:t>
      </w:r>
      <w:r w:rsidRPr="00380B87">
        <w:rPr>
          <w:rFonts w:asciiTheme="majorBidi" w:hAnsiTheme="majorBidi" w:cstheme="majorBidi"/>
          <w:sz w:val="24"/>
          <w:szCs w:val="24"/>
        </w:rPr>
        <w:t> Made instant long-distance communication possible.</w:t>
      </w:r>
      <w:r w:rsidRPr="00380B87">
        <w:rPr>
          <w:rFonts w:asciiTheme="majorBidi" w:hAnsiTheme="majorBidi" w:cstheme="majorBidi"/>
          <w:sz w:val="24"/>
          <w:szCs w:val="24"/>
        </w:rPr>
        <w:t xml:space="preserve"> </w:t>
      </w:r>
    </w:p>
    <w:p w14:paraId="0BC5B9ED" w14:textId="0DB0F549"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Wireless &amp; Radio (1895–1946):</w:t>
      </w:r>
      <w:r w:rsidRPr="00380B87">
        <w:rPr>
          <w:rFonts w:asciiTheme="majorBidi" w:hAnsiTheme="majorBidi" w:cstheme="majorBidi"/>
          <w:sz w:val="24"/>
          <w:szCs w:val="24"/>
        </w:rPr>
        <w:t> Allowed communication without wires and led to TV and space communications.</w:t>
      </w:r>
      <w:r w:rsidRPr="00380B87">
        <w:rPr>
          <w:rFonts w:asciiTheme="majorBidi" w:hAnsiTheme="majorBidi" w:cstheme="majorBidi"/>
          <w:sz w:val="24"/>
          <w:szCs w:val="24"/>
        </w:rPr>
        <w:t xml:space="preserve"> </w:t>
      </w:r>
    </w:p>
    <w:p w14:paraId="3B7A6D06" w14:textId="26AF8695"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Computers &amp; Networks (1946–present):</w:t>
      </w:r>
      <w:r w:rsidRPr="00380B87">
        <w:rPr>
          <w:rFonts w:asciiTheme="majorBidi" w:hAnsiTheme="majorBidi" w:cstheme="majorBidi"/>
          <w:sz w:val="24"/>
          <w:szCs w:val="24"/>
        </w:rPr>
        <w:t> First computers used for business in the 1950s; networks like ARPANET in 1969 paved the way for the internet.</w:t>
      </w:r>
      <w:r w:rsidRPr="00380B87">
        <w:rPr>
          <w:rFonts w:asciiTheme="majorBidi" w:hAnsiTheme="majorBidi" w:cstheme="majorBidi"/>
          <w:sz w:val="24"/>
          <w:szCs w:val="24"/>
        </w:rPr>
        <w:t xml:space="preserve"> </w:t>
      </w:r>
    </w:p>
    <w:p w14:paraId="62B5544C" w14:textId="1F0F4EA6"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Internet Era (1990s): </w:t>
      </w:r>
      <w:r w:rsidRPr="00380B87">
        <w:rPr>
          <w:rFonts w:asciiTheme="majorBidi" w:hAnsiTheme="majorBidi" w:cstheme="majorBidi"/>
          <w:sz w:val="24"/>
          <w:szCs w:val="24"/>
        </w:rPr>
        <w:t>Worldwide web, email, search engines, and mobile phones became widespread, changing communication, education, and work forever.</w:t>
      </w:r>
      <w:r w:rsidRPr="00380B87">
        <w:rPr>
          <w:rFonts w:asciiTheme="majorBidi" w:hAnsiTheme="majorBidi" w:cstheme="majorBidi"/>
          <w:sz w:val="24"/>
          <w:szCs w:val="24"/>
        </w:rPr>
        <w:t xml:space="preserve"> </w:t>
      </w:r>
    </w:p>
    <w:p w14:paraId="616FCEA2" w14:textId="7777777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pict w14:anchorId="750BE6ED">
          <v:rect id="_x0000_i1056" style="width:0;height:.75pt" o:hralign="center" o:hrstd="t" o:hr="t" fillcolor="#a0a0a0" stroked="f"/>
        </w:pict>
      </w:r>
    </w:p>
    <w:p w14:paraId="195713B1" w14:textId="768E389C" w:rsidR="00380B87" w:rsidRPr="00380B87" w:rsidRDefault="00380B87" w:rsidP="00EA1248">
      <w:pPr>
        <w:spacing w:line="360" w:lineRule="auto"/>
        <w:jc w:val="center"/>
        <w:rPr>
          <w:rFonts w:asciiTheme="majorBidi" w:hAnsiTheme="majorBidi" w:cstheme="majorBidi"/>
          <w:b/>
          <w:bCs/>
          <w:sz w:val="24"/>
          <w:szCs w:val="24"/>
        </w:rPr>
      </w:pPr>
      <w:r w:rsidRPr="00380B87">
        <w:rPr>
          <w:rFonts w:asciiTheme="majorBidi" w:hAnsiTheme="majorBidi" w:cstheme="majorBidi"/>
          <w:b/>
          <w:bCs/>
          <w:sz w:val="24"/>
          <w:szCs w:val="24"/>
        </w:rPr>
        <w:t>2. Role of ICT in Communication, Education, and Employment</w:t>
      </w:r>
    </w:p>
    <w:p w14:paraId="1F392B01" w14:textId="345105B5" w:rsidR="003C5300" w:rsidRDefault="003C5300" w:rsidP="003C5300">
      <w:pPr>
        <w:spacing w:line="360" w:lineRule="auto"/>
        <w:jc w:val="both"/>
        <w:rPr>
          <w:rFonts w:asciiTheme="majorBidi" w:hAnsiTheme="majorBidi" w:cstheme="majorBidi"/>
          <w:sz w:val="24"/>
          <w:szCs w:val="24"/>
        </w:rPr>
      </w:pPr>
      <w:r w:rsidRPr="003C5300">
        <w:rPr>
          <w:rFonts w:asciiTheme="majorBidi" w:hAnsiTheme="majorBidi" w:cstheme="majorBidi"/>
          <w:sz w:val="24"/>
          <w:szCs w:val="24"/>
        </w:rPr>
        <w:t>ICT skills are indispensable in modern workplaces for tasks such as data management, communication, and remote work. Proficiency in digital tools impacts employability and workforce inclusion, reflecting a global shift towards knowledge economies (Livingstone, 2004).</w:t>
      </w:r>
    </w:p>
    <w:p w14:paraId="25F12AAC" w14:textId="7B72B19C" w:rsidR="003C5300" w:rsidRPr="00380B87" w:rsidRDefault="003C5300" w:rsidP="003C5300">
      <w:pPr>
        <w:spacing w:line="360" w:lineRule="auto"/>
        <w:jc w:val="both"/>
        <w:rPr>
          <w:rFonts w:asciiTheme="majorBidi" w:hAnsiTheme="majorBidi" w:cstheme="majorBidi"/>
          <w:sz w:val="24"/>
          <w:szCs w:val="24"/>
        </w:rPr>
      </w:pPr>
      <w:r w:rsidRPr="003C5300">
        <w:rPr>
          <w:rFonts w:asciiTheme="majorBidi" w:hAnsiTheme="majorBidi" w:cstheme="majorBidi"/>
          <w:sz w:val="24"/>
          <w:szCs w:val="24"/>
        </w:rPr>
        <w:lastRenderedPageBreak/>
        <w:t>Communication:</w:t>
      </w:r>
    </w:p>
    <w:p w14:paraId="26BDFE89" w14:textId="6E73E15C"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t>Email, Messaging, Forums: Speedy, cheap, borderless exchange of information. Enables collaboration in science, business, and daily life.</w:t>
      </w:r>
      <w:r w:rsidRPr="00380B87">
        <w:rPr>
          <w:rFonts w:asciiTheme="majorBidi" w:hAnsiTheme="majorBidi" w:cstheme="majorBidi"/>
          <w:sz w:val="24"/>
          <w:szCs w:val="24"/>
        </w:rPr>
        <w:t xml:space="preserve"> </w:t>
      </w:r>
    </w:p>
    <w:p w14:paraId="61DA9387" w14:textId="0F47E27C"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Academic Use:</w:t>
      </w:r>
      <w:r w:rsidRPr="00380B87">
        <w:rPr>
          <w:rFonts w:asciiTheme="majorBidi" w:hAnsiTheme="majorBidi" w:cstheme="majorBidi"/>
          <w:sz w:val="24"/>
          <w:szCs w:val="24"/>
        </w:rPr>
        <w:t> Email is vital for exchanging ideas, submitting assignments, and connecting with peers/researchers.</w:t>
      </w:r>
      <w:r w:rsidRPr="00380B87">
        <w:rPr>
          <w:rFonts w:asciiTheme="majorBidi" w:hAnsiTheme="majorBidi" w:cstheme="majorBidi"/>
          <w:sz w:val="24"/>
          <w:szCs w:val="24"/>
        </w:rPr>
        <w:t xml:space="preserve"> </w:t>
      </w:r>
    </w:p>
    <w:p w14:paraId="195A8001" w14:textId="77777777" w:rsidR="00380B87" w:rsidRPr="00380B87" w:rsidRDefault="00380B87" w:rsidP="00380B87">
      <w:pPr>
        <w:spacing w:line="360" w:lineRule="auto"/>
        <w:jc w:val="both"/>
        <w:rPr>
          <w:rFonts w:asciiTheme="majorBidi" w:hAnsiTheme="majorBidi" w:cstheme="majorBidi"/>
          <w:b/>
          <w:bCs/>
          <w:sz w:val="24"/>
          <w:szCs w:val="24"/>
        </w:rPr>
      </w:pPr>
      <w:r w:rsidRPr="00380B87">
        <w:rPr>
          <w:rFonts w:asciiTheme="majorBidi" w:hAnsiTheme="majorBidi" w:cstheme="majorBidi"/>
          <w:b/>
          <w:bCs/>
          <w:sz w:val="24"/>
          <w:szCs w:val="24"/>
        </w:rPr>
        <w:t>Education:</w:t>
      </w:r>
    </w:p>
    <w:p w14:paraId="3FED77A9" w14:textId="48E8C6D1"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Digital Classrooms:</w:t>
      </w:r>
      <w:r w:rsidRPr="00380B87">
        <w:rPr>
          <w:rFonts w:asciiTheme="majorBidi" w:hAnsiTheme="majorBidi" w:cstheme="majorBidi"/>
          <w:sz w:val="24"/>
          <w:szCs w:val="24"/>
        </w:rPr>
        <w:t> Learning Management Systems (LMS), online courses, and forums allow flexible, self-paced learning.</w:t>
      </w:r>
      <w:r w:rsidRPr="00380B87">
        <w:rPr>
          <w:rFonts w:asciiTheme="majorBidi" w:hAnsiTheme="majorBidi" w:cstheme="majorBidi"/>
          <w:sz w:val="24"/>
          <w:szCs w:val="24"/>
        </w:rPr>
        <w:t xml:space="preserve"> </w:t>
      </w:r>
    </w:p>
    <w:p w14:paraId="14146B4F" w14:textId="5D9A2E14"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Resource Access:</w:t>
      </w:r>
      <w:r w:rsidRPr="00380B87">
        <w:rPr>
          <w:rFonts w:asciiTheme="majorBidi" w:hAnsiTheme="majorBidi" w:cstheme="majorBidi"/>
          <w:sz w:val="24"/>
          <w:szCs w:val="24"/>
        </w:rPr>
        <w:t xml:space="preserve"> Students and teachers use digital tools to find information and keep </w:t>
      </w:r>
      <w:proofErr w:type="gramStart"/>
      <w:r w:rsidRPr="00380B87">
        <w:rPr>
          <w:rFonts w:asciiTheme="majorBidi" w:hAnsiTheme="majorBidi" w:cstheme="majorBidi"/>
          <w:sz w:val="24"/>
          <w:szCs w:val="24"/>
        </w:rPr>
        <w:t>up-to-date</w:t>
      </w:r>
      <w:proofErr w:type="gramEnd"/>
      <w:r w:rsidRPr="00380B87">
        <w:rPr>
          <w:rFonts w:asciiTheme="majorBidi" w:hAnsiTheme="majorBidi" w:cstheme="majorBidi"/>
          <w:sz w:val="24"/>
          <w:szCs w:val="24"/>
        </w:rPr>
        <w:t xml:space="preserve"> with new developments.</w:t>
      </w:r>
      <w:r w:rsidRPr="00380B87">
        <w:rPr>
          <w:rFonts w:asciiTheme="majorBidi" w:hAnsiTheme="majorBidi" w:cstheme="majorBidi"/>
          <w:sz w:val="24"/>
          <w:szCs w:val="24"/>
        </w:rPr>
        <w:t xml:space="preserve"> </w:t>
      </w:r>
    </w:p>
    <w:p w14:paraId="6E65722A" w14:textId="6F5481BC"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Collaboration and Inclusion:</w:t>
      </w:r>
      <w:r w:rsidRPr="00380B87">
        <w:rPr>
          <w:rFonts w:asciiTheme="majorBidi" w:hAnsiTheme="majorBidi" w:cstheme="majorBidi"/>
          <w:sz w:val="24"/>
          <w:szCs w:val="24"/>
        </w:rPr>
        <w:t> Connects geographically distant students, supporting group projects and shared learning experiences.</w:t>
      </w:r>
      <w:r w:rsidRPr="00380B87">
        <w:rPr>
          <w:rFonts w:asciiTheme="majorBidi" w:hAnsiTheme="majorBidi" w:cstheme="majorBidi"/>
          <w:sz w:val="24"/>
          <w:szCs w:val="24"/>
        </w:rPr>
        <w:t xml:space="preserve"> </w:t>
      </w:r>
    </w:p>
    <w:p w14:paraId="44D9A580" w14:textId="77777777" w:rsidR="00380B87" w:rsidRPr="00380B87" w:rsidRDefault="00380B87" w:rsidP="00380B87">
      <w:pPr>
        <w:spacing w:line="360" w:lineRule="auto"/>
        <w:jc w:val="both"/>
        <w:rPr>
          <w:rFonts w:asciiTheme="majorBidi" w:hAnsiTheme="majorBidi" w:cstheme="majorBidi"/>
          <w:b/>
          <w:bCs/>
          <w:sz w:val="24"/>
          <w:szCs w:val="24"/>
        </w:rPr>
      </w:pPr>
      <w:r w:rsidRPr="00380B87">
        <w:rPr>
          <w:rFonts w:asciiTheme="majorBidi" w:hAnsiTheme="majorBidi" w:cstheme="majorBidi"/>
          <w:b/>
          <w:bCs/>
          <w:sz w:val="24"/>
          <w:szCs w:val="24"/>
        </w:rPr>
        <w:t>Employment:</w:t>
      </w:r>
    </w:p>
    <w:p w14:paraId="6CAEFD3C" w14:textId="1FB7D652"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t>Job Search/Recruitment: Platforms (LinkedIn, online job boards) help candidates and employers connect.</w:t>
      </w:r>
      <w:r w:rsidRPr="00380B87">
        <w:rPr>
          <w:rFonts w:asciiTheme="majorBidi" w:hAnsiTheme="majorBidi" w:cstheme="majorBidi"/>
          <w:sz w:val="24"/>
          <w:szCs w:val="24"/>
        </w:rPr>
        <w:t xml:space="preserve"> </w:t>
      </w:r>
    </w:p>
    <w:p w14:paraId="1035C98E" w14:textId="75107A39"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Remote Work:</w:t>
      </w:r>
      <w:r w:rsidRPr="00380B87">
        <w:rPr>
          <w:rFonts w:asciiTheme="majorBidi" w:hAnsiTheme="majorBidi" w:cstheme="majorBidi"/>
          <w:sz w:val="24"/>
          <w:szCs w:val="24"/>
        </w:rPr>
        <w:t> ICT enables flexible work arrangements, virtual teamwork, and global opportunities.</w:t>
      </w:r>
      <w:r w:rsidRPr="00380B87">
        <w:rPr>
          <w:rFonts w:asciiTheme="majorBidi" w:hAnsiTheme="majorBidi" w:cstheme="majorBidi"/>
          <w:sz w:val="24"/>
          <w:szCs w:val="24"/>
        </w:rPr>
        <w:t xml:space="preserve"> </w:t>
      </w:r>
    </w:p>
    <w:p w14:paraId="7A820FA5" w14:textId="7777777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New Job Types:</w:t>
      </w:r>
      <w:r w:rsidRPr="00380B87">
        <w:rPr>
          <w:rFonts w:asciiTheme="majorBidi" w:hAnsiTheme="majorBidi" w:cstheme="majorBidi"/>
          <w:sz w:val="24"/>
          <w:szCs w:val="24"/>
        </w:rPr>
        <w:t> Growth in ICT jobs (e.g., software developers, data analysts, digital marketers).</w:t>
      </w:r>
    </w:p>
    <w:p w14:paraId="204EC7AD" w14:textId="0039788B" w:rsidR="003C5300" w:rsidRDefault="00380B87" w:rsidP="00EA1248">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pict w14:anchorId="64A6F800">
          <v:rect id="_x0000_i1057" style="width:0;height:.75pt" o:hralign="center" o:hrstd="t" o:hr="t" fillcolor="#a0a0a0" stroked="f"/>
        </w:pict>
      </w:r>
    </w:p>
    <w:p w14:paraId="751872D7" w14:textId="065C5C54" w:rsidR="00380B87" w:rsidRPr="00380B87" w:rsidRDefault="00380B87" w:rsidP="003C5300">
      <w:pPr>
        <w:spacing w:line="360" w:lineRule="auto"/>
        <w:jc w:val="center"/>
        <w:rPr>
          <w:rFonts w:asciiTheme="majorBidi" w:hAnsiTheme="majorBidi" w:cstheme="majorBidi"/>
          <w:b/>
          <w:bCs/>
          <w:sz w:val="24"/>
          <w:szCs w:val="24"/>
        </w:rPr>
      </w:pPr>
      <w:r w:rsidRPr="00380B87">
        <w:rPr>
          <w:rFonts w:asciiTheme="majorBidi" w:hAnsiTheme="majorBidi" w:cstheme="majorBidi"/>
          <w:b/>
          <w:bCs/>
          <w:sz w:val="24"/>
          <w:szCs w:val="24"/>
        </w:rPr>
        <w:t>3. The Digital Divide: Who Has Access?</w:t>
      </w:r>
    </w:p>
    <w:p w14:paraId="758CAC74" w14:textId="7256B2DE" w:rsidR="00380B87" w:rsidRPr="00380B87" w:rsidRDefault="00EA1248" w:rsidP="00EA1248">
      <w:pPr>
        <w:spacing w:line="480" w:lineRule="auto"/>
        <w:jc w:val="both"/>
        <w:rPr>
          <w:rFonts w:asciiTheme="majorBidi" w:hAnsiTheme="majorBidi" w:cstheme="majorBidi"/>
          <w:sz w:val="24"/>
          <w:szCs w:val="24"/>
        </w:rPr>
      </w:pPr>
      <w:r w:rsidRPr="00EA1248">
        <w:rPr>
          <w:rFonts w:asciiTheme="majorBidi" w:hAnsiTheme="majorBidi" w:cstheme="majorBidi"/>
          <w:sz w:val="24"/>
          <w:szCs w:val="24"/>
        </w:rPr>
        <w:t xml:space="preserve">The digital divide denotes the gap between individuals and communities who have access to digital technologies and those who do not, often influenced by socioeconomic status, geographic location, and education (UNESCO, 2018). This divide affects participation in education, </w:t>
      </w:r>
      <w:r w:rsidRPr="00EA1248">
        <w:rPr>
          <w:rFonts w:asciiTheme="majorBidi" w:hAnsiTheme="majorBidi" w:cstheme="majorBidi"/>
          <w:sz w:val="24"/>
          <w:szCs w:val="24"/>
        </w:rPr>
        <w:lastRenderedPageBreak/>
        <w:t>research, and employment opportunities, thus reinforcing social inequalities (Ferrari, 2013)</w:t>
      </w:r>
      <w:r w:rsidR="00380B87" w:rsidRPr="00380B87">
        <w:rPr>
          <w:rFonts w:asciiTheme="majorBidi" w:hAnsiTheme="majorBidi" w:cstheme="majorBidi"/>
          <w:sz w:val="24"/>
          <w:szCs w:val="24"/>
        </w:rPr>
        <w:pict w14:anchorId="7484F309">
          <v:rect id="_x0000_i1058" style="width:0;height:.75pt" o:hralign="center" o:hrstd="t" o:hr="t" fillcolor="#a0a0a0" stroked="f"/>
        </w:pict>
      </w:r>
    </w:p>
    <w:p w14:paraId="30C0C4F2" w14:textId="77777777" w:rsidR="00380B87" w:rsidRPr="00380B87" w:rsidRDefault="00380B87" w:rsidP="00ED7A86">
      <w:pPr>
        <w:spacing w:line="360" w:lineRule="auto"/>
        <w:jc w:val="center"/>
        <w:rPr>
          <w:rFonts w:asciiTheme="majorBidi" w:hAnsiTheme="majorBidi" w:cstheme="majorBidi"/>
          <w:b/>
          <w:bCs/>
          <w:sz w:val="24"/>
          <w:szCs w:val="24"/>
        </w:rPr>
      </w:pPr>
      <w:r w:rsidRPr="00380B87">
        <w:rPr>
          <w:rFonts w:asciiTheme="majorBidi" w:hAnsiTheme="majorBidi" w:cstheme="majorBidi"/>
          <w:b/>
          <w:bCs/>
          <w:sz w:val="24"/>
          <w:szCs w:val="24"/>
        </w:rPr>
        <w:t>4. Advantages and Limitations of ICT</w:t>
      </w:r>
    </w:p>
    <w:p w14:paraId="6E50337B" w14:textId="77777777" w:rsidR="00380B87" w:rsidRPr="00380B87" w:rsidRDefault="00380B87" w:rsidP="00380B87">
      <w:pPr>
        <w:spacing w:line="360" w:lineRule="auto"/>
        <w:jc w:val="both"/>
        <w:rPr>
          <w:rFonts w:asciiTheme="majorBidi" w:hAnsiTheme="majorBidi" w:cstheme="majorBidi"/>
          <w:b/>
          <w:bCs/>
          <w:sz w:val="24"/>
          <w:szCs w:val="24"/>
        </w:rPr>
      </w:pPr>
      <w:r w:rsidRPr="00380B87">
        <w:rPr>
          <w:rFonts w:asciiTheme="majorBidi" w:hAnsiTheme="majorBidi" w:cstheme="majorBidi"/>
          <w:b/>
          <w:bCs/>
          <w:sz w:val="24"/>
          <w:szCs w:val="24"/>
        </w:rPr>
        <w:t>Advantages</w:t>
      </w:r>
    </w:p>
    <w:p w14:paraId="15D3DF09" w14:textId="4549D10B"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t>Instant, global communication (email, video calls) improves collaboration and information sharing.</w:t>
      </w:r>
      <w:r w:rsidRPr="00380B87">
        <w:rPr>
          <w:rFonts w:asciiTheme="majorBidi" w:hAnsiTheme="majorBidi" w:cstheme="majorBidi"/>
          <w:sz w:val="24"/>
          <w:szCs w:val="24"/>
        </w:rPr>
        <w:t xml:space="preserve"> </w:t>
      </w:r>
    </w:p>
    <w:p w14:paraId="7C201EBA" w14:textId="4F69D812"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Easy access to information:</w:t>
      </w:r>
      <w:r w:rsidRPr="00380B87">
        <w:rPr>
          <w:rFonts w:asciiTheme="majorBidi" w:hAnsiTheme="majorBidi" w:cstheme="majorBidi"/>
          <w:sz w:val="24"/>
          <w:szCs w:val="24"/>
        </w:rPr>
        <w:t> Quick online research and updated resources help with learning and research.</w:t>
      </w:r>
      <w:r w:rsidRPr="00380B87">
        <w:rPr>
          <w:rFonts w:asciiTheme="majorBidi" w:hAnsiTheme="majorBidi" w:cstheme="majorBidi"/>
          <w:sz w:val="24"/>
          <w:szCs w:val="24"/>
        </w:rPr>
        <w:t xml:space="preserve"> </w:t>
      </w:r>
    </w:p>
    <w:p w14:paraId="7747CA31" w14:textId="65DC663E"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Increased efficiency</w:t>
      </w:r>
      <w:r w:rsidRPr="00380B87">
        <w:rPr>
          <w:rFonts w:asciiTheme="majorBidi" w:hAnsiTheme="majorBidi" w:cstheme="majorBidi"/>
          <w:sz w:val="24"/>
          <w:szCs w:val="24"/>
        </w:rPr>
        <w:t>: Automation, data analysis, and online submissions make many tasks faster.</w:t>
      </w:r>
      <w:r w:rsidRPr="00380B87">
        <w:rPr>
          <w:rFonts w:asciiTheme="majorBidi" w:hAnsiTheme="majorBidi" w:cstheme="majorBidi"/>
          <w:sz w:val="24"/>
          <w:szCs w:val="24"/>
        </w:rPr>
        <w:t xml:space="preserve"> </w:t>
      </w:r>
    </w:p>
    <w:p w14:paraId="1824A720" w14:textId="0B641715"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Job opportunities:</w:t>
      </w:r>
      <w:r w:rsidRPr="00380B87">
        <w:rPr>
          <w:rFonts w:asciiTheme="majorBidi" w:hAnsiTheme="majorBidi" w:cstheme="majorBidi"/>
          <w:sz w:val="24"/>
          <w:szCs w:val="24"/>
        </w:rPr>
        <w:t xml:space="preserve"> ICT skills </w:t>
      </w:r>
      <w:proofErr w:type="gramStart"/>
      <w:r w:rsidRPr="00380B87">
        <w:rPr>
          <w:rFonts w:asciiTheme="majorBidi" w:hAnsiTheme="majorBidi" w:cstheme="majorBidi"/>
          <w:sz w:val="24"/>
          <w:szCs w:val="24"/>
        </w:rPr>
        <w:t>open up</w:t>
      </w:r>
      <w:proofErr w:type="gramEnd"/>
      <w:r w:rsidRPr="00380B87">
        <w:rPr>
          <w:rFonts w:asciiTheme="majorBidi" w:hAnsiTheme="majorBidi" w:cstheme="majorBidi"/>
          <w:sz w:val="24"/>
          <w:szCs w:val="24"/>
        </w:rPr>
        <w:t xml:space="preserve"> roles in modern workplaces and allow remote work.</w:t>
      </w:r>
      <w:r w:rsidRPr="00380B87">
        <w:rPr>
          <w:rFonts w:asciiTheme="majorBidi" w:hAnsiTheme="majorBidi" w:cstheme="majorBidi"/>
          <w:sz w:val="24"/>
          <w:szCs w:val="24"/>
        </w:rPr>
        <w:t xml:space="preserve"> </w:t>
      </w:r>
    </w:p>
    <w:p w14:paraId="512C2AB3" w14:textId="77777777" w:rsidR="00380B87" w:rsidRPr="00380B87" w:rsidRDefault="00380B87" w:rsidP="00380B87">
      <w:pPr>
        <w:spacing w:line="360" w:lineRule="auto"/>
        <w:jc w:val="both"/>
        <w:rPr>
          <w:rFonts w:asciiTheme="majorBidi" w:hAnsiTheme="majorBidi" w:cstheme="majorBidi"/>
          <w:b/>
          <w:bCs/>
          <w:sz w:val="24"/>
          <w:szCs w:val="24"/>
        </w:rPr>
      </w:pPr>
      <w:r w:rsidRPr="00380B87">
        <w:rPr>
          <w:rFonts w:asciiTheme="majorBidi" w:hAnsiTheme="majorBidi" w:cstheme="majorBidi"/>
          <w:b/>
          <w:bCs/>
          <w:sz w:val="24"/>
          <w:szCs w:val="24"/>
        </w:rPr>
        <w:t>Limitations</w:t>
      </w:r>
    </w:p>
    <w:p w14:paraId="266EF816" w14:textId="4C5FC189"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Digital divide:</w:t>
      </w:r>
      <w:r w:rsidRPr="00380B87">
        <w:rPr>
          <w:rFonts w:asciiTheme="majorBidi" w:hAnsiTheme="majorBidi" w:cstheme="majorBidi"/>
          <w:sz w:val="24"/>
          <w:szCs w:val="24"/>
        </w:rPr>
        <w:t> Not everyone can access ICT due to cost, infrastructure, or skills.</w:t>
      </w:r>
      <w:r w:rsidRPr="00380B87">
        <w:rPr>
          <w:rFonts w:asciiTheme="majorBidi" w:hAnsiTheme="majorBidi" w:cstheme="majorBidi"/>
          <w:sz w:val="24"/>
          <w:szCs w:val="24"/>
        </w:rPr>
        <w:t xml:space="preserve"> </w:t>
      </w:r>
    </w:p>
    <w:p w14:paraId="0A301C6B" w14:textId="14F3BA3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Distraction &amp; misuse:</w:t>
      </w:r>
      <w:r w:rsidRPr="00380B87">
        <w:rPr>
          <w:rFonts w:asciiTheme="majorBidi" w:hAnsiTheme="majorBidi" w:cstheme="majorBidi"/>
          <w:sz w:val="24"/>
          <w:szCs w:val="24"/>
        </w:rPr>
        <w:t> Risks like online bullying, information overload, and wasted time.</w:t>
      </w:r>
      <w:r w:rsidRPr="00380B87">
        <w:rPr>
          <w:rFonts w:asciiTheme="majorBidi" w:hAnsiTheme="majorBidi" w:cstheme="majorBidi"/>
          <w:sz w:val="24"/>
          <w:szCs w:val="24"/>
        </w:rPr>
        <w:t xml:space="preserve"> </w:t>
      </w:r>
    </w:p>
    <w:p w14:paraId="72BEDFBA" w14:textId="36F293E4"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Privacy &amp; security issues:</w:t>
      </w:r>
      <w:r w:rsidRPr="00380B87">
        <w:rPr>
          <w:rFonts w:asciiTheme="majorBidi" w:hAnsiTheme="majorBidi" w:cstheme="majorBidi"/>
          <w:sz w:val="24"/>
          <w:szCs w:val="24"/>
        </w:rPr>
        <w:t> Data can be stolen or misused; safe online practices are essential.</w:t>
      </w:r>
      <w:r w:rsidRPr="00380B87">
        <w:rPr>
          <w:rFonts w:asciiTheme="majorBidi" w:hAnsiTheme="majorBidi" w:cstheme="majorBidi"/>
          <w:sz w:val="24"/>
          <w:szCs w:val="24"/>
        </w:rPr>
        <w:t xml:space="preserve"> </w:t>
      </w:r>
    </w:p>
    <w:p w14:paraId="1F99DEE1" w14:textId="5F36A0A0"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b/>
          <w:bCs/>
          <w:sz w:val="24"/>
          <w:szCs w:val="24"/>
        </w:rPr>
        <w:t>Job displacement:</w:t>
      </w:r>
      <w:r w:rsidRPr="00380B87">
        <w:rPr>
          <w:rFonts w:asciiTheme="majorBidi" w:hAnsiTheme="majorBidi" w:cstheme="majorBidi"/>
          <w:sz w:val="24"/>
          <w:szCs w:val="24"/>
        </w:rPr>
        <w:t> Technology can reduce the need for some traditional jobs, leading to redundancies.</w:t>
      </w:r>
      <w:r w:rsidRPr="00380B87">
        <w:rPr>
          <w:rFonts w:asciiTheme="majorBidi" w:hAnsiTheme="majorBidi" w:cstheme="majorBidi"/>
          <w:sz w:val="24"/>
          <w:szCs w:val="24"/>
        </w:rPr>
        <w:t xml:space="preserve"> </w:t>
      </w:r>
    </w:p>
    <w:p w14:paraId="6D081E66" w14:textId="77777777" w:rsidR="00380B87" w:rsidRPr="00380B87" w:rsidRDefault="00380B87" w:rsidP="00380B87">
      <w:pPr>
        <w:spacing w:line="360" w:lineRule="auto"/>
        <w:jc w:val="both"/>
        <w:rPr>
          <w:rFonts w:asciiTheme="majorBidi" w:hAnsiTheme="majorBidi" w:cstheme="majorBidi"/>
          <w:sz w:val="24"/>
          <w:szCs w:val="24"/>
        </w:rPr>
      </w:pPr>
      <w:r w:rsidRPr="00380B87">
        <w:rPr>
          <w:rFonts w:asciiTheme="majorBidi" w:hAnsiTheme="majorBidi" w:cstheme="majorBidi"/>
          <w:sz w:val="24"/>
          <w:szCs w:val="24"/>
        </w:rPr>
        <w:pict w14:anchorId="2B6C94B6">
          <v:rect id="_x0000_i1059" style="width:0;height:.75pt" o:hralign="center" o:hrstd="t" o:hr="t" fillcolor="#a0a0a0" stroked="f"/>
        </w:pict>
      </w:r>
    </w:p>
    <w:p w14:paraId="6B8325E3" w14:textId="77777777" w:rsidR="00380B87" w:rsidRPr="00380B87" w:rsidRDefault="00380B87" w:rsidP="00ED7A86">
      <w:pPr>
        <w:spacing w:line="360" w:lineRule="auto"/>
        <w:jc w:val="center"/>
        <w:rPr>
          <w:rFonts w:asciiTheme="majorBidi" w:hAnsiTheme="majorBidi" w:cstheme="majorBidi"/>
          <w:b/>
          <w:bCs/>
          <w:sz w:val="24"/>
          <w:szCs w:val="24"/>
        </w:rPr>
      </w:pPr>
      <w:r w:rsidRPr="00380B87">
        <w:rPr>
          <w:rFonts w:asciiTheme="majorBidi" w:hAnsiTheme="majorBidi" w:cstheme="majorBidi"/>
          <w:b/>
          <w:bCs/>
          <w:sz w:val="24"/>
          <w:szCs w:val="24"/>
        </w:rPr>
        <w:t>5. Application: Using Email &amp; Online Communication Platforms</w:t>
      </w:r>
    </w:p>
    <w:p w14:paraId="7F426E74" w14:textId="77777777" w:rsidR="00057EA8" w:rsidRPr="00057EA8" w:rsidRDefault="00057EA8" w:rsidP="00057EA8">
      <w:pPr>
        <w:spacing w:line="360" w:lineRule="auto"/>
        <w:jc w:val="both"/>
        <w:rPr>
          <w:rFonts w:asciiTheme="majorBidi" w:hAnsiTheme="majorBidi" w:cstheme="majorBidi"/>
          <w:b/>
          <w:bCs/>
          <w:sz w:val="24"/>
          <w:szCs w:val="24"/>
        </w:rPr>
      </w:pPr>
      <w:r w:rsidRPr="00057EA8">
        <w:rPr>
          <w:rFonts w:asciiTheme="majorBidi" w:hAnsiTheme="majorBidi" w:cstheme="majorBidi"/>
          <w:b/>
          <w:bCs/>
          <w:sz w:val="24"/>
          <w:szCs w:val="24"/>
        </w:rPr>
        <w:t>Importance of Email in Academia and Work</w:t>
      </w:r>
    </w:p>
    <w:p w14:paraId="32944DDB" w14:textId="77777777" w:rsidR="00057EA8" w:rsidRPr="00057EA8" w:rsidRDefault="00057EA8" w:rsidP="00057EA8">
      <w:p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Email platforms</w:t>
      </w:r>
      <w:r w:rsidRPr="00057EA8">
        <w:rPr>
          <w:rFonts w:asciiTheme="majorBidi" w:hAnsiTheme="majorBidi" w:cstheme="majorBidi"/>
          <w:sz w:val="24"/>
          <w:szCs w:val="24"/>
        </w:rPr>
        <w:t> such as Gmail and Outlook are foundational tools for effective communication in both academic and professional settings. They provide structured and formal channels for exchanging information, sharing documents, coordinating group work, and maintaining professional relationships (Ferrari, 2013).</w:t>
      </w:r>
    </w:p>
    <w:p w14:paraId="7E7B8BD1" w14:textId="77777777" w:rsidR="00057EA8" w:rsidRPr="00057EA8" w:rsidRDefault="00057EA8" w:rsidP="00057EA8">
      <w:pPr>
        <w:numPr>
          <w:ilvl w:val="0"/>
          <w:numId w:val="9"/>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lastRenderedPageBreak/>
        <w:t>Formal communication:</w:t>
      </w:r>
      <w:r w:rsidRPr="00057EA8">
        <w:rPr>
          <w:rFonts w:asciiTheme="majorBidi" w:hAnsiTheme="majorBidi" w:cstheme="majorBidi"/>
          <w:sz w:val="24"/>
          <w:szCs w:val="24"/>
        </w:rPr>
        <w:t> Email is used to submit assignments, request feedback from instructors or supervisors, and clarify research questions. Its formality makes it suitable for official correspondence.</w:t>
      </w:r>
    </w:p>
    <w:p w14:paraId="64AFD925" w14:textId="77777777" w:rsidR="00057EA8" w:rsidRPr="00057EA8" w:rsidRDefault="00057EA8" w:rsidP="00057EA8">
      <w:pPr>
        <w:numPr>
          <w:ilvl w:val="0"/>
          <w:numId w:val="9"/>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Record keeping:</w:t>
      </w:r>
      <w:r w:rsidRPr="00057EA8">
        <w:rPr>
          <w:rFonts w:asciiTheme="majorBidi" w:hAnsiTheme="majorBidi" w:cstheme="majorBidi"/>
          <w:sz w:val="24"/>
          <w:szCs w:val="24"/>
        </w:rPr>
        <w:t> Emails create a written record of correspondences, deadlines, and agreements, which is critical in managing academic projects and workplace tasks.</w:t>
      </w:r>
    </w:p>
    <w:p w14:paraId="492A42F9" w14:textId="77777777" w:rsidR="00057EA8" w:rsidRPr="00057EA8" w:rsidRDefault="00057EA8" w:rsidP="00057EA8">
      <w:pPr>
        <w:numPr>
          <w:ilvl w:val="0"/>
          <w:numId w:val="9"/>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Coordination:</w:t>
      </w:r>
      <w:r w:rsidRPr="00057EA8">
        <w:rPr>
          <w:rFonts w:asciiTheme="majorBidi" w:hAnsiTheme="majorBidi" w:cstheme="majorBidi"/>
          <w:sz w:val="24"/>
          <w:szCs w:val="24"/>
        </w:rPr>
        <w:t> Research teams and project groups use email to schedule meetings, share updates, and distribute collaborative work.</w:t>
      </w:r>
    </w:p>
    <w:p w14:paraId="75581ED3" w14:textId="77777777" w:rsidR="00057EA8" w:rsidRPr="00057EA8" w:rsidRDefault="00057EA8" w:rsidP="00057EA8">
      <w:pPr>
        <w:spacing w:line="360" w:lineRule="auto"/>
        <w:jc w:val="both"/>
        <w:rPr>
          <w:rFonts w:asciiTheme="majorBidi" w:hAnsiTheme="majorBidi" w:cstheme="majorBidi"/>
          <w:b/>
          <w:bCs/>
          <w:sz w:val="24"/>
          <w:szCs w:val="24"/>
        </w:rPr>
      </w:pPr>
      <w:r w:rsidRPr="00057EA8">
        <w:rPr>
          <w:rFonts w:asciiTheme="majorBidi" w:hAnsiTheme="majorBidi" w:cstheme="majorBidi"/>
          <w:b/>
          <w:bCs/>
          <w:sz w:val="24"/>
          <w:szCs w:val="24"/>
        </w:rPr>
        <w:t>Online Communication Platforms and Forums</w:t>
      </w:r>
    </w:p>
    <w:p w14:paraId="50A372B9" w14:textId="77777777" w:rsidR="00057EA8" w:rsidRPr="00057EA8" w:rsidRDefault="00057EA8" w:rsidP="00057EA8">
      <w:pPr>
        <w:spacing w:line="360" w:lineRule="auto"/>
        <w:jc w:val="both"/>
        <w:rPr>
          <w:rFonts w:asciiTheme="majorBidi" w:hAnsiTheme="majorBidi" w:cstheme="majorBidi"/>
          <w:sz w:val="24"/>
          <w:szCs w:val="24"/>
        </w:rPr>
      </w:pPr>
      <w:r w:rsidRPr="00057EA8">
        <w:rPr>
          <w:rFonts w:asciiTheme="majorBidi" w:hAnsiTheme="majorBidi" w:cstheme="majorBidi"/>
          <w:sz w:val="24"/>
          <w:szCs w:val="24"/>
        </w:rPr>
        <w:t>In addition to email, many academic and professional communities utilize </w:t>
      </w:r>
      <w:r w:rsidRPr="00057EA8">
        <w:rPr>
          <w:rFonts w:asciiTheme="majorBidi" w:hAnsiTheme="majorBidi" w:cstheme="majorBidi"/>
          <w:b/>
          <w:bCs/>
          <w:sz w:val="24"/>
          <w:szCs w:val="24"/>
        </w:rPr>
        <w:t>online forums and communication platforms</w:t>
      </w:r>
      <w:r w:rsidRPr="00057EA8">
        <w:rPr>
          <w:rFonts w:asciiTheme="majorBidi" w:hAnsiTheme="majorBidi" w:cstheme="majorBidi"/>
          <w:sz w:val="24"/>
          <w:szCs w:val="24"/>
        </w:rPr>
        <w:t> (e.g., Moodle forums, academic discussion boards, professional networks like LinkedIn groups) to facilitate broader engagement.</w:t>
      </w:r>
    </w:p>
    <w:p w14:paraId="2974F69B" w14:textId="77777777" w:rsidR="00057EA8" w:rsidRPr="00057EA8" w:rsidRDefault="00057EA8" w:rsidP="00057EA8">
      <w:pPr>
        <w:numPr>
          <w:ilvl w:val="0"/>
          <w:numId w:val="10"/>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Collaborative learning:</w:t>
      </w:r>
      <w:r w:rsidRPr="00057EA8">
        <w:rPr>
          <w:rFonts w:asciiTheme="majorBidi" w:hAnsiTheme="majorBidi" w:cstheme="majorBidi"/>
          <w:sz w:val="24"/>
          <w:szCs w:val="24"/>
        </w:rPr>
        <w:t> Forums support peer-to-peer discussion, allowing participants to ask questions, share resources, and discuss research findings asynchronously, which enhances understanding and critical thinking (UNESCO, 2018).</w:t>
      </w:r>
    </w:p>
    <w:p w14:paraId="07255228" w14:textId="77777777" w:rsidR="00057EA8" w:rsidRPr="00057EA8" w:rsidRDefault="00057EA8" w:rsidP="00057EA8">
      <w:pPr>
        <w:numPr>
          <w:ilvl w:val="0"/>
          <w:numId w:val="10"/>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Networking:</w:t>
      </w:r>
      <w:r w:rsidRPr="00057EA8">
        <w:rPr>
          <w:rFonts w:asciiTheme="majorBidi" w:hAnsiTheme="majorBidi" w:cstheme="majorBidi"/>
          <w:sz w:val="24"/>
          <w:szCs w:val="24"/>
        </w:rPr>
        <w:t> Academic forums connect students and researchers across institutions globally, enabling interdisciplinary collaboration and knowledge exchange.</w:t>
      </w:r>
    </w:p>
    <w:p w14:paraId="3DCD84B3" w14:textId="77777777" w:rsidR="00057EA8" w:rsidRPr="00057EA8" w:rsidRDefault="00057EA8" w:rsidP="00057EA8">
      <w:pPr>
        <w:numPr>
          <w:ilvl w:val="0"/>
          <w:numId w:val="10"/>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Professional development:</w:t>
      </w:r>
      <w:r w:rsidRPr="00057EA8">
        <w:rPr>
          <w:rFonts w:asciiTheme="majorBidi" w:hAnsiTheme="majorBidi" w:cstheme="majorBidi"/>
          <w:sz w:val="24"/>
          <w:szCs w:val="24"/>
        </w:rPr>
        <w:t> Online communities serve as hubs for sharing job opportunities, professional advice, and emerging trends.</w:t>
      </w:r>
    </w:p>
    <w:p w14:paraId="10689B66" w14:textId="77777777" w:rsidR="00057EA8" w:rsidRPr="00057EA8" w:rsidRDefault="00057EA8" w:rsidP="00057EA8">
      <w:pPr>
        <w:spacing w:line="360" w:lineRule="auto"/>
        <w:jc w:val="both"/>
        <w:rPr>
          <w:rFonts w:asciiTheme="majorBidi" w:hAnsiTheme="majorBidi" w:cstheme="majorBidi"/>
          <w:b/>
          <w:bCs/>
          <w:sz w:val="24"/>
          <w:szCs w:val="24"/>
        </w:rPr>
      </w:pPr>
      <w:r w:rsidRPr="00057EA8">
        <w:rPr>
          <w:rFonts w:asciiTheme="majorBidi" w:hAnsiTheme="majorBidi" w:cstheme="majorBidi"/>
          <w:b/>
          <w:bCs/>
          <w:sz w:val="24"/>
          <w:szCs w:val="24"/>
        </w:rPr>
        <w:t>Practical ICT Skills in Using Email and Platforms</w:t>
      </w:r>
    </w:p>
    <w:p w14:paraId="181E5FC4" w14:textId="77777777" w:rsidR="00057EA8" w:rsidRPr="00057EA8" w:rsidRDefault="00057EA8" w:rsidP="00057EA8">
      <w:pPr>
        <w:numPr>
          <w:ilvl w:val="0"/>
          <w:numId w:val="11"/>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Writing effective emails:</w:t>
      </w:r>
      <w:r w:rsidRPr="00057EA8">
        <w:rPr>
          <w:rFonts w:asciiTheme="majorBidi" w:hAnsiTheme="majorBidi" w:cstheme="majorBidi"/>
          <w:sz w:val="24"/>
          <w:szCs w:val="24"/>
        </w:rPr>
        <w:t> Clear subject lines, proper greetings, concise content, and polite closings are essential for professionalism (Ng, 2012).</w:t>
      </w:r>
    </w:p>
    <w:p w14:paraId="604C8F29" w14:textId="77777777" w:rsidR="00057EA8" w:rsidRPr="00057EA8" w:rsidRDefault="00057EA8" w:rsidP="00057EA8">
      <w:pPr>
        <w:numPr>
          <w:ilvl w:val="0"/>
          <w:numId w:val="11"/>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Managing communication:</w:t>
      </w:r>
      <w:r w:rsidRPr="00057EA8">
        <w:rPr>
          <w:rFonts w:asciiTheme="majorBidi" w:hAnsiTheme="majorBidi" w:cstheme="majorBidi"/>
          <w:sz w:val="24"/>
          <w:szCs w:val="24"/>
        </w:rPr>
        <w:t> Organizing emails into folders, using filters, and timely responses improve efficiency.</w:t>
      </w:r>
    </w:p>
    <w:p w14:paraId="741CF122" w14:textId="77777777" w:rsidR="00057EA8" w:rsidRPr="00057EA8" w:rsidRDefault="00057EA8" w:rsidP="00057EA8">
      <w:pPr>
        <w:numPr>
          <w:ilvl w:val="0"/>
          <w:numId w:val="11"/>
        </w:numPr>
        <w:spacing w:line="360" w:lineRule="auto"/>
        <w:jc w:val="both"/>
        <w:rPr>
          <w:rFonts w:asciiTheme="majorBidi" w:hAnsiTheme="majorBidi" w:cstheme="majorBidi"/>
          <w:sz w:val="24"/>
          <w:szCs w:val="24"/>
        </w:rPr>
      </w:pPr>
      <w:r w:rsidRPr="00057EA8">
        <w:rPr>
          <w:rFonts w:asciiTheme="majorBidi" w:hAnsiTheme="majorBidi" w:cstheme="majorBidi"/>
          <w:b/>
          <w:bCs/>
          <w:sz w:val="24"/>
          <w:szCs w:val="24"/>
        </w:rPr>
        <w:t>Participating in forums:</w:t>
      </w:r>
      <w:r w:rsidRPr="00057EA8">
        <w:rPr>
          <w:rFonts w:asciiTheme="majorBidi" w:hAnsiTheme="majorBidi" w:cstheme="majorBidi"/>
          <w:sz w:val="24"/>
          <w:szCs w:val="24"/>
        </w:rPr>
        <w:t> Engaging respectfully, following forum rules, and citing sources are critical digital literacy behaviors.</w:t>
      </w:r>
    </w:p>
    <w:p w14:paraId="155B8C02" w14:textId="77777777" w:rsidR="00057EA8" w:rsidRPr="00057EA8" w:rsidRDefault="00057EA8" w:rsidP="00057EA8">
      <w:pPr>
        <w:spacing w:line="360" w:lineRule="auto"/>
        <w:jc w:val="both"/>
        <w:rPr>
          <w:rFonts w:asciiTheme="majorBidi" w:hAnsiTheme="majorBidi" w:cstheme="majorBidi"/>
          <w:b/>
          <w:bCs/>
          <w:sz w:val="24"/>
          <w:szCs w:val="24"/>
        </w:rPr>
      </w:pPr>
      <w:r w:rsidRPr="00057EA8">
        <w:rPr>
          <w:rFonts w:asciiTheme="majorBidi" w:hAnsiTheme="majorBidi" w:cstheme="majorBidi"/>
          <w:b/>
          <w:bCs/>
          <w:sz w:val="24"/>
          <w:szCs w:val="24"/>
        </w:rPr>
        <w:lastRenderedPageBreak/>
        <w:t>Relevance to Research and Scientific Communication</w:t>
      </w:r>
    </w:p>
    <w:p w14:paraId="7416D681" w14:textId="77777777" w:rsidR="00057EA8" w:rsidRPr="00057EA8" w:rsidRDefault="00057EA8" w:rsidP="00057EA8">
      <w:pPr>
        <w:numPr>
          <w:ilvl w:val="0"/>
          <w:numId w:val="12"/>
        </w:numPr>
        <w:spacing w:line="360" w:lineRule="auto"/>
        <w:jc w:val="both"/>
        <w:rPr>
          <w:rFonts w:asciiTheme="majorBidi" w:hAnsiTheme="majorBidi" w:cstheme="majorBidi"/>
          <w:sz w:val="24"/>
          <w:szCs w:val="24"/>
        </w:rPr>
      </w:pPr>
      <w:r w:rsidRPr="00057EA8">
        <w:rPr>
          <w:rFonts w:asciiTheme="majorBidi" w:hAnsiTheme="majorBidi" w:cstheme="majorBidi"/>
          <w:sz w:val="24"/>
          <w:szCs w:val="24"/>
        </w:rPr>
        <w:t>Email and forums facilitate transparent, timely, and documented communication, essential for scientific collaboration and dissemination.</w:t>
      </w:r>
    </w:p>
    <w:p w14:paraId="2B301265" w14:textId="77777777" w:rsidR="00057EA8" w:rsidRDefault="00057EA8" w:rsidP="00057EA8">
      <w:pPr>
        <w:numPr>
          <w:ilvl w:val="0"/>
          <w:numId w:val="12"/>
        </w:numPr>
        <w:spacing w:line="360" w:lineRule="auto"/>
        <w:jc w:val="both"/>
        <w:rPr>
          <w:rFonts w:asciiTheme="majorBidi" w:hAnsiTheme="majorBidi" w:cstheme="majorBidi"/>
          <w:sz w:val="24"/>
          <w:szCs w:val="24"/>
        </w:rPr>
      </w:pPr>
      <w:r w:rsidRPr="00057EA8">
        <w:rPr>
          <w:rFonts w:asciiTheme="majorBidi" w:hAnsiTheme="majorBidi" w:cstheme="majorBidi"/>
          <w:sz w:val="24"/>
          <w:szCs w:val="24"/>
        </w:rPr>
        <w:t>These platforms also contribute to ethical research practices by allowing structured communication and appropriate credit sharing.</w:t>
      </w:r>
    </w:p>
    <w:p w14:paraId="6CE05027" w14:textId="77777777" w:rsidR="00057EA8" w:rsidRDefault="00057EA8" w:rsidP="00057EA8">
      <w:pPr>
        <w:spacing w:line="360" w:lineRule="auto"/>
        <w:ind w:left="360"/>
        <w:jc w:val="both"/>
        <w:rPr>
          <w:rFonts w:asciiTheme="majorBidi" w:hAnsiTheme="majorBidi" w:cstheme="majorBidi"/>
          <w:sz w:val="24"/>
          <w:szCs w:val="24"/>
        </w:rPr>
      </w:pPr>
    </w:p>
    <w:p w14:paraId="7EB28F0C" w14:textId="77777777" w:rsidR="00057EA8" w:rsidRPr="00057EA8" w:rsidRDefault="00057EA8" w:rsidP="00057EA8">
      <w:pPr>
        <w:spacing w:line="360" w:lineRule="auto"/>
        <w:ind w:left="360"/>
        <w:jc w:val="center"/>
        <w:rPr>
          <w:rFonts w:asciiTheme="majorBidi" w:hAnsiTheme="majorBidi" w:cstheme="majorBidi"/>
          <w:b/>
          <w:bCs/>
          <w:sz w:val="24"/>
          <w:szCs w:val="24"/>
        </w:rPr>
      </w:pPr>
      <w:r w:rsidRPr="00057EA8">
        <w:rPr>
          <w:rFonts w:asciiTheme="majorBidi" w:hAnsiTheme="majorBidi" w:cstheme="majorBidi"/>
          <w:b/>
          <w:bCs/>
          <w:sz w:val="24"/>
          <w:szCs w:val="24"/>
        </w:rPr>
        <w:t>References</w:t>
      </w:r>
    </w:p>
    <w:p w14:paraId="2326B9F2" w14:textId="77777777" w:rsidR="00057EA8" w:rsidRDefault="00057EA8" w:rsidP="00EA6C1C">
      <w:pPr>
        <w:spacing w:line="360" w:lineRule="auto"/>
        <w:ind w:left="1440" w:hanging="720"/>
        <w:jc w:val="both"/>
        <w:rPr>
          <w:rFonts w:asciiTheme="majorBidi" w:hAnsiTheme="majorBidi" w:cstheme="majorBidi"/>
          <w:sz w:val="24"/>
          <w:szCs w:val="24"/>
        </w:rPr>
      </w:pPr>
      <w:r w:rsidRPr="00057EA8">
        <w:rPr>
          <w:rFonts w:asciiTheme="majorBidi" w:hAnsiTheme="majorBidi" w:cstheme="majorBidi"/>
          <w:sz w:val="24"/>
          <w:szCs w:val="24"/>
        </w:rPr>
        <w:t>Buckingham, D. (2007). Digital Media Literacies: Rethinking Media Education. </w:t>
      </w:r>
      <w:r w:rsidRPr="00057EA8">
        <w:rPr>
          <w:rFonts w:asciiTheme="majorBidi" w:hAnsiTheme="majorBidi" w:cstheme="majorBidi"/>
          <w:i/>
          <w:iCs/>
          <w:sz w:val="24"/>
          <w:szCs w:val="24"/>
        </w:rPr>
        <w:t>Research in Comparative and International Education</w:t>
      </w:r>
      <w:r w:rsidRPr="00057EA8">
        <w:rPr>
          <w:rFonts w:asciiTheme="majorBidi" w:hAnsiTheme="majorBidi" w:cstheme="majorBidi"/>
          <w:sz w:val="24"/>
          <w:szCs w:val="24"/>
        </w:rPr>
        <w:t>, 2(1), 43-55.</w:t>
      </w:r>
    </w:p>
    <w:p w14:paraId="02D8FA96" w14:textId="77777777" w:rsidR="00EA6C1C" w:rsidRPr="00057EA8" w:rsidRDefault="00EA6C1C" w:rsidP="00EA6C1C">
      <w:pPr>
        <w:spacing w:line="360" w:lineRule="auto"/>
        <w:ind w:left="1440" w:hanging="720"/>
        <w:jc w:val="both"/>
        <w:rPr>
          <w:rFonts w:asciiTheme="majorBidi" w:hAnsiTheme="majorBidi" w:cstheme="majorBidi"/>
          <w:sz w:val="24"/>
          <w:szCs w:val="24"/>
        </w:rPr>
      </w:pPr>
    </w:p>
    <w:p w14:paraId="1FB832B0" w14:textId="77777777" w:rsidR="00057EA8" w:rsidRDefault="00057EA8" w:rsidP="00EA6C1C">
      <w:pPr>
        <w:spacing w:line="360" w:lineRule="auto"/>
        <w:ind w:left="1440" w:hanging="720"/>
        <w:jc w:val="both"/>
        <w:rPr>
          <w:rFonts w:asciiTheme="majorBidi" w:hAnsiTheme="majorBidi" w:cstheme="majorBidi"/>
          <w:sz w:val="24"/>
          <w:szCs w:val="24"/>
        </w:rPr>
      </w:pPr>
      <w:r w:rsidRPr="00057EA8">
        <w:rPr>
          <w:rFonts w:asciiTheme="majorBidi" w:hAnsiTheme="majorBidi" w:cstheme="majorBidi"/>
          <w:sz w:val="24"/>
          <w:szCs w:val="24"/>
        </w:rPr>
        <w:t>Ferrari, A. (2013). DIGCOMP: A Framework for Developing and Understanding Digital Competence in Europe. </w:t>
      </w:r>
      <w:r w:rsidRPr="00057EA8">
        <w:rPr>
          <w:rFonts w:asciiTheme="majorBidi" w:hAnsiTheme="majorBidi" w:cstheme="majorBidi"/>
          <w:i/>
          <w:iCs/>
          <w:sz w:val="24"/>
          <w:szCs w:val="24"/>
        </w:rPr>
        <w:t>European Commission Joint Research Centre</w:t>
      </w:r>
      <w:r w:rsidRPr="00057EA8">
        <w:rPr>
          <w:rFonts w:asciiTheme="majorBidi" w:hAnsiTheme="majorBidi" w:cstheme="majorBidi"/>
          <w:sz w:val="24"/>
          <w:szCs w:val="24"/>
        </w:rPr>
        <w:t>.</w:t>
      </w:r>
    </w:p>
    <w:p w14:paraId="1F87C1F2" w14:textId="77777777" w:rsidR="00EA6C1C" w:rsidRPr="00057EA8" w:rsidRDefault="00EA6C1C" w:rsidP="00EA6C1C">
      <w:pPr>
        <w:spacing w:line="360" w:lineRule="auto"/>
        <w:ind w:left="1440" w:hanging="720"/>
        <w:jc w:val="both"/>
        <w:rPr>
          <w:rFonts w:asciiTheme="majorBidi" w:hAnsiTheme="majorBidi" w:cstheme="majorBidi"/>
          <w:sz w:val="24"/>
          <w:szCs w:val="24"/>
        </w:rPr>
      </w:pPr>
    </w:p>
    <w:p w14:paraId="787D3F22" w14:textId="77777777" w:rsidR="00057EA8" w:rsidRDefault="00057EA8" w:rsidP="00EA6C1C">
      <w:pPr>
        <w:spacing w:line="360" w:lineRule="auto"/>
        <w:ind w:left="1440" w:hanging="720"/>
        <w:jc w:val="both"/>
        <w:rPr>
          <w:rFonts w:asciiTheme="majorBidi" w:hAnsiTheme="majorBidi" w:cstheme="majorBidi"/>
          <w:sz w:val="24"/>
          <w:szCs w:val="24"/>
        </w:rPr>
      </w:pPr>
      <w:r w:rsidRPr="00057EA8">
        <w:rPr>
          <w:rFonts w:asciiTheme="majorBidi" w:hAnsiTheme="majorBidi" w:cstheme="majorBidi"/>
          <w:sz w:val="24"/>
          <w:szCs w:val="24"/>
        </w:rPr>
        <w:t>Livingstone, S. (2004). Media Literacy and the Challenge of New Information and Communication Technologies. </w:t>
      </w:r>
      <w:r w:rsidRPr="00057EA8">
        <w:rPr>
          <w:rFonts w:asciiTheme="majorBidi" w:hAnsiTheme="majorBidi" w:cstheme="majorBidi"/>
          <w:i/>
          <w:iCs/>
          <w:sz w:val="24"/>
          <w:szCs w:val="24"/>
        </w:rPr>
        <w:t>The Communication Review</w:t>
      </w:r>
      <w:r w:rsidRPr="00057EA8">
        <w:rPr>
          <w:rFonts w:asciiTheme="majorBidi" w:hAnsiTheme="majorBidi" w:cstheme="majorBidi"/>
          <w:sz w:val="24"/>
          <w:szCs w:val="24"/>
        </w:rPr>
        <w:t>, 7(1), 3-14.</w:t>
      </w:r>
    </w:p>
    <w:p w14:paraId="3F463C97" w14:textId="77777777" w:rsidR="00EA6C1C" w:rsidRPr="00057EA8" w:rsidRDefault="00EA6C1C" w:rsidP="00EA6C1C">
      <w:pPr>
        <w:spacing w:line="360" w:lineRule="auto"/>
        <w:ind w:left="1440" w:hanging="720"/>
        <w:jc w:val="both"/>
        <w:rPr>
          <w:rFonts w:asciiTheme="majorBidi" w:hAnsiTheme="majorBidi" w:cstheme="majorBidi"/>
          <w:sz w:val="24"/>
          <w:szCs w:val="24"/>
        </w:rPr>
      </w:pPr>
    </w:p>
    <w:p w14:paraId="77EBFA34" w14:textId="77777777" w:rsidR="00057EA8" w:rsidRDefault="00057EA8" w:rsidP="00EA6C1C">
      <w:pPr>
        <w:spacing w:line="360" w:lineRule="auto"/>
        <w:ind w:left="1440" w:hanging="720"/>
        <w:jc w:val="both"/>
        <w:rPr>
          <w:rFonts w:asciiTheme="majorBidi" w:hAnsiTheme="majorBidi" w:cstheme="majorBidi"/>
          <w:sz w:val="24"/>
          <w:szCs w:val="24"/>
        </w:rPr>
      </w:pPr>
      <w:r w:rsidRPr="00057EA8">
        <w:rPr>
          <w:rFonts w:asciiTheme="majorBidi" w:hAnsiTheme="majorBidi" w:cstheme="majorBidi"/>
          <w:sz w:val="24"/>
          <w:szCs w:val="24"/>
        </w:rPr>
        <w:t>Ng, W. (2012). Can We Teach Digital Natives Digital Literacy? </w:t>
      </w:r>
      <w:r w:rsidRPr="00057EA8">
        <w:rPr>
          <w:rFonts w:asciiTheme="majorBidi" w:hAnsiTheme="majorBidi" w:cstheme="majorBidi"/>
          <w:i/>
          <w:iCs/>
          <w:sz w:val="24"/>
          <w:szCs w:val="24"/>
        </w:rPr>
        <w:t>Computers &amp; Education</w:t>
      </w:r>
      <w:r w:rsidRPr="00057EA8">
        <w:rPr>
          <w:rFonts w:asciiTheme="majorBidi" w:hAnsiTheme="majorBidi" w:cstheme="majorBidi"/>
          <w:sz w:val="24"/>
          <w:szCs w:val="24"/>
        </w:rPr>
        <w:t>, 59(3), 1065-1078.</w:t>
      </w:r>
    </w:p>
    <w:p w14:paraId="056D254D" w14:textId="77777777" w:rsidR="00EA6C1C" w:rsidRPr="00057EA8" w:rsidRDefault="00EA6C1C" w:rsidP="00EA6C1C">
      <w:pPr>
        <w:spacing w:line="360" w:lineRule="auto"/>
        <w:ind w:left="1440" w:hanging="720"/>
        <w:jc w:val="both"/>
        <w:rPr>
          <w:rFonts w:asciiTheme="majorBidi" w:hAnsiTheme="majorBidi" w:cstheme="majorBidi"/>
          <w:sz w:val="24"/>
          <w:szCs w:val="24"/>
        </w:rPr>
      </w:pPr>
    </w:p>
    <w:p w14:paraId="32EA8AA9" w14:textId="77777777" w:rsidR="00057EA8" w:rsidRPr="00057EA8" w:rsidRDefault="00057EA8" w:rsidP="00EA6C1C">
      <w:pPr>
        <w:spacing w:line="360" w:lineRule="auto"/>
        <w:ind w:left="1440" w:hanging="720"/>
        <w:jc w:val="both"/>
        <w:rPr>
          <w:rFonts w:asciiTheme="majorBidi" w:hAnsiTheme="majorBidi" w:cstheme="majorBidi"/>
          <w:sz w:val="24"/>
          <w:szCs w:val="24"/>
        </w:rPr>
      </w:pPr>
      <w:r w:rsidRPr="00057EA8">
        <w:rPr>
          <w:rFonts w:asciiTheme="majorBidi" w:hAnsiTheme="majorBidi" w:cstheme="majorBidi"/>
          <w:sz w:val="24"/>
          <w:szCs w:val="24"/>
        </w:rPr>
        <w:t>UNESCO. (2018). A Global Framework of Reference on Digital Literacy Skills. UNESCO Publishing.</w:t>
      </w:r>
    </w:p>
    <w:p w14:paraId="003E83C9" w14:textId="77777777" w:rsidR="00057EA8" w:rsidRPr="00057EA8" w:rsidRDefault="00057EA8" w:rsidP="00057EA8">
      <w:pPr>
        <w:spacing w:line="360" w:lineRule="auto"/>
        <w:ind w:left="360"/>
        <w:jc w:val="both"/>
        <w:rPr>
          <w:rFonts w:asciiTheme="majorBidi" w:hAnsiTheme="majorBidi" w:cstheme="majorBidi"/>
          <w:sz w:val="24"/>
          <w:szCs w:val="24"/>
        </w:rPr>
      </w:pPr>
    </w:p>
    <w:p w14:paraId="659DCF90" w14:textId="3E3F65A3" w:rsidR="00380B87" w:rsidRPr="00380B87" w:rsidRDefault="00380B87" w:rsidP="00380B87">
      <w:pPr>
        <w:spacing w:line="360" w:lineRule="auto"/>
        <w:jc w:val="both"/>
        <w:rPr>
          <w:rFonts w:asciiTheme="majorBidi" w:hAnsiTheme="majorBidi" w:cstheme="majorBidi"/>
          <w:sz w:val="24"/>
          <w:szCs w:val="24"/>
        </w:rPr>
      </w:pPr>
    </w:p>
    <w:p w14:paraId="2309E065" w14:textId="77777777" w:rsidR="008B6F09" w:rsidRPr="00380B87" w:rsidRDefault="008B6F09" w:rsidP="00380B87">
      <w:pPr>
        <w:spacing w:line="360" w:lineRule="auto"/>
        <w:jc w:val="both"/>
        <w:rPr>
          <w:rFonts w:asciiTheme="majorBidi" w:hAnsiTheme="majorBidi" w:cstheme="majorBidi"/>
          <w:sz w:val="24"/>
          <w:szCs w:val="24"/>
        </w:rPr>
      </w:pPr>
    </w:p>
    <w:sectPr w:rsidR="008B6F09" w:rsidRPr="00380B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2E5F"/>
    <w:multiLevelType w:val="multilevel"/>
    <w:tmpl w:val="448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84E3D"/>
    <w:multiLevelType w:val="multilevel"/>
    <w:tmpl w:val="6FA6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777BA"/>
    <w:multiLevelType w:val="multilevel"/>
    <w:tmpl w:val="E330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E1317"/>
    <w:multiLevelType w:val="multilevel"/>
    <w:tmpl w:val="20F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86536"/>
    <w:multiLevelType w:val="multilevel"/>
    <w:tmpl w:val="0B3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D7F15"/>
    <w:multiLevelType w:val="multilevel"/>
    <w:tmpl w:val="5ED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67232"/>
    <w:multiLevelType w:val="multilevel"/>
    <w:tmpl w:val="4C60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ED053D"/>
    <w:multiLevelType w:val="multilevel"/>
    <w:tmpl w:val="6566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F3BFD"/>
    <w:multiLevelType w:val="multilevel"/>
    <w:tmpl w:val="445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133128"/>
    <w:multiLevelType w:val="multilevel"/>
    <w:tmpl w:val="2E94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7F16E2"/>
    <w:multiLevelType w:val="multilevel"/>
    <w:tmpl w:val="0482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66467D"/>
    <w:multiLevelType w:val="multilevel"/>
    <w:tmpl w:val="EBF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CB0A98"/>
    <w:multiLevelType w:val="multilevel"/>
    <w:tmpl w:val="2DF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464141">
    <w:abstractNumId w:val="8"/>
  </w:num>
  <w:num w:numId="2" w16cid:durableId="948124469">
    <w:abstractNumId w:val="2"/>
  </w:num>
  <w:num w:numId="3" w16cid:durableId="1776902111">
    <w:abstractNumId w:val="3"/>
  </w:num>
  <w:num w:numId="4" w16cid:durableId="311251289">
    <w:abstractNumId w:val="7"/>
  </w:num>
  <w:num w:numId="5" w16cid:durableId="96829353">
    <w:abstractNumId w:val="12"/>
  </w:num>
  <w:num w:numId="6" w16cid:durableId="993139577">
    <w:abstractNumId w:val="10"/>
  </w:num>
  <w:num w:numId="7" w16cid:durableId="689066048">
    <w:abstractNumId w:val="5"/>
  </w:num>
  <w:num w:numId="8" w16cid:durableId="1121991774">
    <w:abstractNumId w:val="11"/>
  </w:num>
  <w:num w:numId="9" w16cid:durableId="1900439406">
    <w:abstractNumId w:val="4"/>
  </w:num>
  <w:num w:numId="10" w16cid:durableId="432627951">
    <w:abstractNumId w:val="6"/>
  </w:num>
  <w:num w:numId="11" w16cid:durableId="803891332">
    <w:abstractNumId w:val="0"/>
  </w:num>
  <w:num w:numId="12" w16cid:durableId="1244872346">
    <w:abstractNumId w:val="9"/>
  </w:num>
  <w:num w:numId="13" w16cid:durableId="34046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06D7"/>
    <w:rsid w:val="00057EA8"/>
    <w:rsid w:val="00380B87"/>
    <w:rsid w:val="0039047D"/>
    <w:rsid w:val="003C5300"/>
    <w:rsid w:val="008B6F09"/>
    <w:rsid w:val="009017DD"/>
    <w:rsid w:val="009A6DCB"/>
    <w:rsid w:val="00AC2321"/>
    <w:rsid w:val="00EA1248"/>
    <w:rsid w:val="00EA6C1C"/>
    <w:rsid w:val="00ED7A86"/>
    <w:rsid w:val="00F10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51DE"/>
  <w15:chartTrackingRefBased/>
  <w15:docId w15:val="{6003270E-264C-4214-A77C-98A4AC78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6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06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6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06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06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0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06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06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06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06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0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6D7"/>
    <w:rPr>
      <w:rFonts w:eastAsiaTheme="majorEastAsia" w:cstheme="majorBidi"/>
      <w:color w:val="272727" w:themeColor="text1" w:themeTint="D8"/>
    </w:rPr>
  </w:style>
  <w:style w:type="paragraph" w:styleId="Title">
    <w:name w:val="Title"/>
    <w:basedOn w:val="Normal"/>
    <w:next w:val="Normal"/>
    <w:link w:val="TitleChar"/>
    <w:uiPriority w:val="10"/>
    <w:qFormat/>
    <w:rsid w:val="00F10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6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6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06D7"/>
    <w:rPr>
      <w:i/>
      <w:iCs/>
      <w:color w:val="404040" w:themeColor="text1" w:themeTint="BF"/>
    </w:rPr>
  </w:style>
  <w:style w:type="paragraph" w:styleId="ListParagraph">
    <w:name w:val="List Paragraph"/>
    <w:basedOn w:val="Normal"/>
    <w:uiPriority w:val="34"/>
    <w:qFormat/>
    <w:rsid w:val="00F106D7"/>
    <w:pPr>
      <w:ind w:left="720"/>
      <w:contextualSpacing/>
    </w:pPr>
  </w:style>
  <w:style w:type="character" w:styleId="IntenseEmphasis">
    <w:name w:val="Intense Emphasis"/>
    <w:basedOn w:val="DefaultParagraphFont"/>
    <w:uiPriority w:val="21"/>
    <w:qFormat/>
    <w:rsid w:val="00F106D7"/>
    <w:rPr>
      <w:i/>
      <w:iCs/>
      <w:color w:val="365F91" w:themeColor="accent1" w:themeShade="BF"/>
    </w:rPr>
  </w:style>
  <w:style w:type="paragraph" w:styleId="IntenseQuote">
    <w:name w:val="Intense Quote"/>
    <w:basedOn w:val="Normal"/>
    <w:next w:val="Normal"/>
    <w:link w:val="IntenseQuoteChar"/>
    <w:uiPriority w:val="30"/>
    <w:qFormat/>
    <w:rsid w:val="00F106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06D7"/>
    <w:rPr>
      <w:i/>
      <w:iCs/>
      <w:color w:val="365F91" w:themeColor="accent1" w:themeShade="BF"/>
    </w:rPr>
  </w:style>
  <w:style w:type="character" w:styleId="IntenseReference">
    <w:name w:val="Intense Reference"/>
    <w:basedOn w:val="DefaultParagraphFont"/>
    <w:uiPriority w:val="32"/>
    <w:qFormat/>
    <w:rsid w:val="00F106D7"/>
    <w:rPr>
      <w:b/>
      <w:bCs/>
      <w:smallCaps/>
      <w:color w:val="365F91" w:themeColor="accent1" w:themeShade="BF"/>
      <w:spacing w:val="5"/>
    </w:rPr>
  </w:style>
  <w:style w:type="character" w:styleId="Hyperlink">
    <w:name w:val="Hyperlink"/>
    <w:basedOn w:val="DefaultParagraphFont"/>
    <w:uiPriority w:val="99"/>
    <w:unhideWhenUsed/>
    <w:rsid w:val="00380B87"/>
    <w:rPr>
      <w:color w:val="0000FF" w:themeColor="hyperlink"/>
      <w:u w:val="single"/>
    </w:rPr>
  </w:style>
  <w:style w:type="character" w:styleId="UnresolvedMention">
    <w:name w:val="Unresolved Mention"/>
    <w:basedOn w:val="DefaultParagraphFont"/>
    <w:uiPriority w:val="99"/>
    <w:semiHidden/>
    <w:unhideWhenUsed/>
    <w:rsid w:val="0038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venom t98</dc:creator>
  <cp:keywords/>
  <dc:description/>
  <cp:lastModifiedBy>venom t98</cp:lastModifiedBy>
  <cp:revision>7</cp:revision>
  <dcterms:created xsi:type="dcterms:W3CDTF">2025-10-11T09:34:00Z</dcterms:created>
  <dcterms:modified xsi:type="dcterms:W3CDTF">2025-10-11T09:57:00Z</dcterms:modified>
</cp:coreProperties>
</file>