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DD7" w:rsidRPr="00EA183F" w:rsidRDefault="004B6DD7" w:rsidP="00CA15B4">
      <w:pPr>
        <w:spacing w:before="100" w:beforeAutospacing="1" w:after="100" w:afterAutospacing="1" w:line="360" w:lineRule="auto"/>
        <w:jc w:val="center"/>
        <w:outlineLvl w:val="2"/>
        <w:rPr>
          <w:rFonts w:asciiTheme="majorBidi" w:eastAsia="Times New Roman" w:hAnsiTheme="majorBidi" w:cstheme="majorBidi"/>
          <w:b/>
          <w:bCs/>
          <w:sz w:val="24"/>
          <w:szCs w:val="24"/>
          <w:lang w:eastAsia="fr-FR"/>
        </w:rPr>
      </w:pPr>
      <w:r w:rsidRPr="00EA183F">
        <w:rPr>
          <w:rFonts w:asciiTheme="majorBidi" w:eastAsia="Times New Roman" w:hAnsiTheme="majorBidi" w:cstheme="majorBidi"/>
          <w:b/>
          <w:bCs/>
          <w:sz w:val="24"/>
          <w:szCs w:val="24"/>
          <w:lang w:eastAsia="fr-FR"/>
        </w:rPr>
        <w:t xml:space="preserve">Chapitre 05 : </w:t>
      </w:r>
      <w:r w:rsidR="004A18F3" w:rsidRPr="00EA183F">
        <w:rPr>
          <w:rFonts w:asciiTheme="majorBidi" w:hAnsiTheme="majorBidi" w:cstheme="majorBidi"/>
          <w:b/>
          <w:bCs/>
          <w:sz w:val="24"/>
          <w:szCs w:val="24"/>
        </w:rPr>
        <w:t>Mécanismes Génétiques et Adaptation Microbienne: Mutations, Pression Sélective, et Transfert de Matériel Génétique</w:t>
      </w:r>
    </w:p>
    <w:p w:rsidR="004A18F3" w:rsidRDefault="000B48A1" w:rsidP="00CA15B4">
      <w:pPr>
        <w:pStyle w:val="Paragraphedeliste"/>
        <w:numPr>
          <w:ilvl w:val="0"/>
          <w:numId w:val="7"/>
        </w:numPr>
        <w:spacing w:before="100" w:beforeAutospacing="1" w:after="100" w:afterAutospacing="1" w:line="360" w:lineRule="auto"/>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Introduction</w:t>
      </w:r>
      <w:r w:rsidR="004A18F3">
        <w:rPr>
          <w:rFonts w:asciiTheme="majorBidi" w:eastAsia="Times New Roman" w:hAnsiTheme="majorBidi" w:cstheme="majorBidi"/>
          <w:b/>
          <w:bCs/>
          <w:sz w:val="24"/>
          <w:szCs w:val="24"/>
          <w:lang w:eastAsia="fr-FR"/>
        </w:rPr>
        <w:t> </w:t>
      </w:r>
    </w:p>
    <w:p w:rsidR="004A18F3" w:rsidRDefault="004A18F3" w:rsidP="00CA15B4">
      <w:pPr>
        <w:spacing w:before="100" w:beforeAutospacing="1" w:after="100" w:afterAutospacing="1" w:line="360" w:lineRule="auto"/>
        <w:jc w:val="both"/>
        <w:outlineLvl w:val="2"/>
        <w:rPr>
          <w:rFonts w:asciiTheme="majorBidi" w:hAnsiTheme="majorBidi" w:cstheme="majorBidi"/>
          <w:sz w:val="24"/>
          <w:szCs w:val="24"/>
        </w:rPr>
      </w:pPr>
      <w:r w:rsidRPr="004A18F3">
        <w:rPr>
          <w:rFonts w:asciiTheme="majorBidi" w:eastAsia="Times New Roman" w:hAnsiTheme="majorBidi" w:cstheme="majorBidi"/>
          <w:b/>
          <w:bCs/>
          <w:sz w:val="24"/>
          <w:szCs w:val="24"/>
          <w:lang w:eastAsia="fr-FR"/>
        </w:rPr>
        <w:t xml:space="preserve"> </w:t>
      </w:r>
      <w:r w:rsidRPr="004A18F3">
        <w:rPr>
          <w:rFonts w:asciiTheme="majorBidi" w:hAnsiTheme="majorBidi" w:cstheme="majorBidi"/>
          <w:sz w:val="24"/>
          <w:szCs w:val="24"/>
        </w:rPr>
        <w:t>L'adaptation microbienne repose sur une combinaison de mutations génétiques spontanées et de mécanismes de transfert horizontal de matériel génétique. Les mutations, qu'elles soient ponctuelles ou plus importantes, peuvent affecter les gènes de structure ou de régulation, entraînant des variations phénotypiques, telles que l'auxotrophie ou la résistance aux antibiotiques. En parallèle, la pression de sélection, notamment via l'usage d'antibiotiques, favorise la survie des bactéries résistantes. En réponse à cette pression, les bactéries échangent et acquièrent du matériel génétique par transformation, conjugaison, transduction ou recombinaison homologue, accélérant ainsi l'évolution et la diffusion de caractères avantageux dans les populations. Ces processus sont essentiels à la compréhension des dynamiques évolutives et de la résistance aux antibiotiques en microbiologie.</w:t>
      </w:r>
    </w:p>
    <w:p w:rsidR="004A18F3" w:rsidRPr="00736466" w:rsidRDefault="004A18F3" w:rsidP="00CA15B4">
      <w:pPr>
        <w:pStyle w:val="Titre3"/>
        <w:numPr>
          <w:ilvl w:val="0"/>
          <w:numId w:val="7"/>
        </w:numPr>
        <w:spacing w:line="360" w:lineRule="auto"/>
        <w:jc w:val="both"/>
        <w:rPr>
          <w:rFonts w:asciiTheme="majorBidi" w:hAnsiTheme="majorBidi" w:cstheme="majorBidi"/>
          <w:sz w:val="24"/>
          <w:szCs w:val="24"/>
        </w:rPr>
      </w:pPr>
      <w:r w:rsidRPr="00736466">
        <w:rPr>
          <w:rFonts w:asciiTheme="majorBidi" w:hAnsiTheme="majorBidi" w:cstheme="majorBidi"/>
          <w:sz w:val="24"/>
          <w:szCs w:val="24"/>
        </w:rPr>
        <w:t>Les mutations chez les bactéries</w:t>
      </w:r>
    </w:p>
    <w:p w:rsidR="004A18F3" w:rsidRPr="00736466" w:rsidRDefault="004A18F3" w:rsidP="00CA15B4">
      <w:pPr>
        <w:pStyle w:val="NormalWeb"/>
        <w:spacing w:line="360" w:lineRule="auto"/>
        <w:jc w:val="both"/>
        <w:rPr>
          <w:rFonts w:asciiTheme="majorBidi" w:hAnsiTheme="majorBidi" w:cstheme="majorBidi"/>
        </w:rPr>
      </w:pPr>
      <w:r w:rsidRPr="00736466">
        <w:rPr>
          <w:rFonts w:asciiTheme="majorBidi" w:hAnsiTheme="majorBidi" w:cstheme="majorBidi"/>
        </w:rPr>
        <w:t>L'étude des mutations et des mutants est cruciale en biologie, car elle offre des aperçus sur le fonctionnement cellulaire et l'organisation génétique. Voici quelques exemples de mutations observées chez les bactéries, illustrant la diversité des effets que les mutations peuvent avoir sur leur métabolisme et leur survie.</w:t>
      </w:r>
    </w:p>
    <w:p w:rsidR="004A18F3" w:rsidRPr="00736466" w:rsidRDefault="004A18F3" w:rsidP="00CA15B4">
      <w:pPr>
        <w:pStyle w:val="Titre4"/>
        <w:spacing w:line="360" w:lineRule="auto"/>
        <w:jc w:val="both"/>
        <w:rPr>
          <w:rFonts w:asciiTheme="majorBidi" w:hAnsiTheme="majorBidi"/>
          <w:i w:val="0"/>
          <w:iCs w:val="0"/>
          <w:color w:val="0D0D0D" w:themeColor="text1" w:themeTint="F2"/>
          <w:sz w:val="24"/>
          <w:szCs w:val="24"/>
        </w:rPr>
      </w:pPr>
      <w:r w:rsidRPr="00736466">
        <w:rPr>
          <w:rFonts w:asciiTheme="majorBidi" w:hAnsiTheme="majorBidi"/>
          <w:i w:val="0"/>
          <w:iCs w:val="0"/>
          <w:color w:val="0D0D0D" w:themeColor="text1" w:themeTint="F2"/>
          <w:sz w:val="24"/>
          <w:szCs w:val="24"/>
        </w:rPr>
        <w:t>2.1. Mutants auxotrophes</w:t>
      </w:r>
    </w:p>
    <w:p w:rsidR="004A18F3" w:rsidRDefault="004A18F3" w:rsidP="00CA15B4">
      <w:pPr>
        <w:pStyle w:val="NormalWeb"/>
        <w:spacing w:line="360" w:lineRule="auto"/>
        <w:jc w:val="both"/>
        <w:rPr>
          <w:rFonts w:asciiTheme="majorBidi" w:hAnsiTheme="majorBidi" w:cstheme="majorBidi"/>
        </w:rPr>
      </w:pPr>
      <w:r w:rsidRPr="00736466">
        <w:rPr>
          <w:rFonts w:asciiTheme="majorBidi" w:hAnsiTheme="majorBidi" w:cstheme="majorBidi"/>
        </w:rPr>
        <w:t xml:space="preserve">Les mutants auxotrophes sont des bactéries qui, à la suite d'une mutation, présentent une exigence nutritionnelle spécifique par rapport à leur milieu de culture. Par exemple, un mutant peut devenir incapable de synthétiser la thréonine, un acide aminé essentiel. Ces mutants sont désignés par la notation </w:t>
      </w:r>
      <w:r w:rsidRPr="00736466">
        <w:rPr>
          <w:rStyle w:val="lev"/>
          <w:rFonts w:asciiTheme="majorBidi" w:hAnsiTheme="majorBidi" w:cstheme="majorBidi"/>
        </w:rPr>
        <w:t>thr-</w:t>
      </w:r>
      <w:r w:rsidRPr="00736466">
        <w:rPr>
          <w:rFonts w:asciiTheme="majorBidi" w:hAnsiTheme="majorBidi" w:cstheme="majorBidi"/>
        </w:rPr>
        <w:t xml:space="preserve">, tandis que les souches sauvages, qui peuvent synthétiser la thréonine, sont notées </w:t>
      </w:r>
      <w:r w:rsidRPr="00736466">
        <w:rPr>
          <w:rStyle w:val="lev"/>
          <w:rFonts w:asciiTheme="majorBidi" w:hAnsiTheme="majorBidi" w:cstheme="majorBidi"/>
        </w:rPr>
        <w:t>thr+</w:t>
      </w:r>
      <w:r w:rsidRPr="00736466">
        <w:rPr>
          <w:rFonts w:asciiTheme="majorBidi" w:hAnsiTheme="majorBidi" w:cstheme="majorBidi"/>
        </w:rPr>
        <w:t>.</w:t>
      </w:r>
      <w:r>
        <w:rPr>
          <w:rFonts w:asciiTheme="majorBidi" w:hAnsiTheme="majorBidi" w:cstheme="majorBidi"/>
        </w:rPr>
        <w:t xml:space="preserve"> </w:t>
      </w:r>
      <w:r w:rsidRPr="00736466">
        <w:rPr>
          <w:rFonts w:asciiTheme="majorBidi" w:hAnsiTheme="majorBidi" w:cstheme="majorBidi"/>
        </w:rPr>
        <w:t xml:space="preserve">Les mutants auxotrophes peuvent avoir besoin d'autres nutriments en raison de mutations similaires dans d'autres voies métaboliques, ce qui conduit à une auxotrophie pour divers acides aminés, vitamines, ou bases puriques. Par conséquent, un même organisme peut présenter plusieurs déficiences nutritionnelles, ce qui est appelé </w:t>
      </w:r>
      <w:r w:rsidRPr="00736466">
        <w:rPr>
          <w:rStyle w:val="lev"/>
          <w:rFonts w:asciiTheme="majorBidi" w:hAnsiTheme="majorBidi" w:cstheme="majorBidi"/>
        </w:rPr>
        <w:t>auxotrophie multiple</w:t>
      </w:r>
      <w:r w:rsidRPr="00736466">
        <w:rPr>
          <w:rFonts w:asciiTheme="majorBidi" w:hAnsiTheme="majorBidi" w:cstheme="majorBidi"/>
        </w:rPr>
        <w:t xml:space="preserve">. Cette caractéristique est particulièrement utile pour les études </w:t>
      </w:r>
      <w:r w:rsidRPr="00736466">
        <w:rPr>
          <w:rFonts w:asciiTheme="majorBidi" w:hAnsiTheme="majorBidi" w:cstheme="majorBidi"/>
        </w:rPr>
        <w:lastRenderedPageBreak/>
        <w:t>génétiques, car elle permet de tracer des voies métaboliques et d'identifier des gènes spécifiques associés à des fonctions biosynthétiques.</w:t>
      </w:r>
    </w:p>
    <w:p w:rsidR="004A18F3" w:rsidRPr="00736466" w:rsidRDefault="004A18F3" w:rsidP="00CA15B4">
      <w:pPr>
        <w:pStyle w:val="Titre4"/>
        <w:spacing w:line="360" w:lineRule="auto"/>
        <w:jc w:val="both"/>
        <w:rPr>
          <w:rFonts w:asciiTheme="majorBidi" w:hAnsiTheme="majorBidi"/>
          <w:i w:val="0"/>
          <w:iCs w:val="0"/>
          <w:color w:val="0D0D0D" w:themeColor="text1" w:themeTint="F2"/>
          <w:sz w:val="24"/>
          <w:szCs w:val="24"/>
        </w:rPr>
      </w:pPr>
      <w:r w:rsidRPr="00736466">
        <w:rPr>
          <w:rFonts w:asciiTheme="majorBidi" w:hAnsiTheme="majorBidi"/>
          <w:i w:val="0"/>
          <w:iCs w:val="0"/>
          <w:color w:val="0D0D0D" w:themeColor="text1" w:themeTint="F2"/>
          <w:sz w:val="24"/>
          <w:szCs w:val="24"/>
        </w:rPr>
        <w:t>2.2. Mutants résistants</w:t>
      </w:r>
    </w:p>
    <w:p w:rsidR="004A18F3" w:rsidRDefault="004A18F3" w:rsidP="00CA15B4">
      <w:pPr>
        <w:pStyle w:val="NormalWeb"/>
        <w:spacing w:line="360" w:lineRule="auto"/>
        <w:jc w:val="both"/>
        <w:rPr>
          <w:rFonts w:asciiTheme="majorBidi" w:hAnsiTheme="majorBidi" w:cstheme="majorBidi"/>
        </w:rPr>
      </w:pPr>
      <w:r w:rsidRPr="00736466">
        <w:rPr>
          <w:rFonts w:asciiTheme="majorBidi" w:hAnsiTheme="majorBidi" w:cstheme="majorBidi"/>
        </w:rPr>
        <w:t>Certains mutants présentent une résistance à des agents toxiques, tels que l'azoture de sodium (NaN</w:t>
      </w:r>
      <w:r w:rsidRPr="00736466">
        <w:rPr>
          <w:rFonts w:ascii="Cambria Math" w:hAnsi="Cambria Math" w:cstheme="majorBidi"/>
        </w:rPr>
        <w:t>₃</w:t>
      </w:r>
      <w:r w:rsidRPr="00736466">
        <w:rPr>
          <w:rFonts w:asciiTheme="majorBidi" w:hAnsiTheme="majorBidi" w:cstheme="majorBidi"/>
        </w:rPr>
        <w:t>) ou les métaux lourds. Ces mutants possèdent des gènes spécifiques qui leur confèrent cette capacité de résistance, bien que ces gènes ne soient pas obligatoires pour la survie de la bactérie dans un environnement normal. Lorsqu'une mutation se produit dans un gène de résistance, elle peut affecter la capacité de la bactérie à survivre en présence de l'agent toxique.</w:t>
      </w:r>
    </w:p>
    <w:p w:rsidR="004A18F3" w:rsidRDefault="004A18F3" w:rsidP="00CA15B4">
      <w:pPr>
        <w:pStyle w:val="NormalWeb"/>
        <w:spacing w:line="360" w:lineRule="auto"/>
        <w:jc w:val="both"/>
        <w:rPr>
          <w:rFonts w:asciiTheme="majorBidi" w:hAnsiTheme="majorBidi" w:cstheme="majorBidi"/>
        </w:rPr>
      </w:pPr>
      <w:r w:rsidRPr="00736466">
        <w:rPr>
          <w:rFonts w:asciiTheme="majorBidi" w:hAnsiTheme="majorBidi" w:cstheme="majorBidi"/>
        </w:rPr>
        <w:t xml:space="preserve">Par exemple, le gène </w:t>
      </w:r>
      <w:r w:rsidRPr="00736466">
        <w:rPr>
          <w:rStyle w:val="lev"/>
          <w:rFonts w:asciiTheme="majorBidi" w:hAnsiTheme="majorBidi" w:cstheme="majorBidi"/>
        </w:rPr>
        <w:t>azi</w:t>
      </w:r>
      <w:r w:rsidRPr="00736466">
        <w:rPr>
          <w:rFonts w:asciiTheme="majorBidi" w:hAnsiTheme="majorBidi" w:cstheme="majorBidi"/>
        </w:rPr>
        <w:t xml:space="preserve"> confère une résistance à l'azoture, avec des bactéries résistantes notées </w:t>
      </w:r>
      <w:r w:rsidRPr="00736466">
        <w:rPr>
          <w:rStyle w:val="lev"/>
          <w:rFonts w:asciiTheme="majorBidi" w:hAnsiTheme="majorBidi" w:cstheme="majorBidi"/>
        </w:rPr>
        <w:t>aziR</w:t>
      </w:r>
      <w:r w:rsidRPr="00736466">
        <w:rPr>
          <w:rFonts w:asciiTheme="majorBidi" w:hAnsiTheme="majorBidi" w:cstheme="majorBidi"/>
        </w:rPr>
        <w:t xml:space="preserve"> et celles sensibles notées </w:t>
      </w:r>
      <w:r w:rsidRPr="00736466">
        <w:rPr>
          <w:rStyle w:val="lev"/>
          <w:rFonts w:asciiTheme="majorBidi" w:hAnsiTheme="majorBidi" w:cstheme="majorBidi"/>
        </w:rPr>
        <w:t>aziS</w:t>
      </w:r>
      <w:r w:rsidRPr="00736466">
        <w:rPr>
          <w:rFonts w:asciiTheme="majorBidi" w:hAnsiTheme="majorBidi" w:cstheme="majorBidi"/>
        </w:rPr>
        <w:t xml:space="preserve">. De plus, il existe des gènes de résistance à des antibiotiques et à des bactériophages. Par exemple, </w:t>
      </w:r>
      <w:r w:rsidRPr="00736466">
        <w:rPr>
          <w:rStyle w:val="lev"/>
          <w:rFonts w:asciiTheme="majorBidi" w:hAnsiTheme="majorBidi" w:cstheme="majorBidi"/>
        </w:rPr>
        <w:t>E. coli</w:t>
      </w:r>
      <w:r w:rsidRPr="00736466">
        <w:rPr>
          <w:rFonts w:asciiTheme="majorBidi" w:hAnsiTheme="majorBidi" w:cstheme="majorBidi"/>
        </w:rPr>
        <w:t xml:space="preserve"> est résistant au phage T2 grâce au gène </w:t>
      </w:r>
      <w:r w:rsidRPr="00736466">
        <w:rPr>
          <w:rStyle w:val="lev"/>
          <w:rFonts w:asciiTheme="majorBidi" w:hAnsiTheme="majorBidi" w:cstheme="majorBidi"/>
        </w:rPr>
        <w:t>ton</w:t>
      </w:r>
      <w:r w:rsidRPr="00736466">
        <w:rPr>
          <w:rFonts w:asciiTheme="majorBidi" w:hAnsiTheme="majorBidi" w:cstheme="majorBidi"/>
        </w:rPr>
        <w:t xml:space="preserve">, avec les souches résistantes étiquetées </w:t>
      </w:r>
      <w:r w:rsidRPr="00736466">
        <w:rPr>
          <w:rStyle w:val="lev"/>
          <w:rFonts w:asciiTheme="majorBidi" w:hAnsiTheme="majorBidi" w:cstheme="majorBidi"/>
        </w:rPr>
        <w:t>tonS</w:t>
      </w:r>
      <w:r w:rsidRPr="00736466">
        <w:rPr>
          <w:rFonts w:asciiTheme="majorBidi" w:hAnsiTheme="majorBidi" w:cstheme="majorBidi"/>
        </w:rPr>
        <w:t xml:space="preserve"> et sensibles </w:t>
      </w:r>
      <w:r w:rsidRPr="00736466">
        <w:rPr>
          <w:rStyle w:val="lev"/>
          <w:rFonts w:asciiTheme="majorBidi" w:hAnsiTheme="majorBidi" w:cstheme="majorBidi"/>
        </w:rPr>
        <w:t>tonR</w:t>
      </w:r>
      <w:r w:rsidRPr="00736466">
        <w:rPr>
          <w:rFonts w:asciiTheme="majorBidi" w:hAnsiTheme="majorBidi" w:cstheme="majorBidi"/>
        </w:rPr>
        <w:t>. L'étude de ces mutants résistants aide à comprendre les mécanismes d'adaptation et de résistance aux traitements antimicrobiens, ce qui est essentiel pour le développement de nouvelles stratégies thérapeutiques.</w:t>
      </w:r>
    </w:p>
    <w:p w:rsidR="00CA15B4" w:rsidRDefault="000B48A1" w:rsidP="00CA15B4">
      <w:pPr>
        <w:spacing w:before="100" w:beforeAutospacing="1" w:after="100" w:afterAutospacing="1" w:line="360" w:lineRule="auto"/>
        <w:outlineLvl w:val="2"/>
        <w:rPr>
          <w:rFonts w:asciiTheme="majorBidi" w:hAnsiTheme="majorBidi" w:cstheme="majorBidi"/>
          <w:sz w:val="24"/>
          <w:szCs w:val="24"/>
        </w:rPr>
      </w:pPr>
      <w:r>
        <w:rPr>
          <w:rFonts w:asciiTheme="majorBidi" w:hAnsiTheme="majorBidi" w:cstheme="majorBidi"/>
          <w:b/>
          <w:bCs/>
          <w:sz w:val="24"/>
          <w:szCs w:val="24"/>
        </w:rPr>
        <w:t xml:space="preserve">2.2.1. </w:t>
      </w:r>
      <w:r w:rsidR="004A18F3" w:rsidRPr="004A18F3">
        <w:rPr>
          <w:rFonts w:asciiTheme="majorBidi" w:hAnsiTheme="majorBidi" w:cstheme="majorBidi"/>
          <w:b/>
          <w:bCs/>
          <w:sz w:val="24"/>
          <w:szCs w:val="24"/>
        </w:rPr>
        <w:t>La pression de sélection exercée par les antibiotiques</w:t>
      </w:r>
      <w:r w:rsidR="004A18F3" w:rsidRPr="004A18F3">
        <w:rPr>
          <w:rFonts w:asciiTheme="majorBidi" w:hAnsiTheme="majorBidi" w:cstheme="majorBidi"/>
          <w:sz w:val="24"/>
          <w:szCs w:val="24"/>
        </w:rPr>
        <w:t xml:space="preserve"> </w:t>
      </w:r>
    </w:p>
    <w:p w:rsidR="004A18F3" w:rsidRPr="004A18F3" w:rsidRDefault="00CA15B4" w:rsidP="00CA15B4">
      <w:pPr>
        <w:spacing w:before="100" w:beforeAutospacing="1" w:after="100" w:afterAutospacing="1" w:line="360" w:lineRule="auto"/>
        <w:jc w:val="both"/>
        <w:outlineLvl w:val="2"/>
        <w:rPr>
          <w:rFonts w:asciiTheme="majorBidi" w:eastAsia="Times New Roman" w:hAnsiTheme="majorBidi" w:cstheme="majorBidi"/>
          <w:b/>
          <w:bCs/>
          <w:sz w:val="24"/>
          <w:szCs w:val="24"/>
          <w:lang w:eastAsia="fr-FR"/>
        </w:rPr>
      </w:pPr>
      <w:r>
        <w:rPr>
          <w:rFonts w:asciiTheme="majorBidi" w:hAnsiTheme="majorBidi" w:cstheme="majorBidi"/>
          <w:sz w:val="24"/>
          <w:szCs w:val="24"/>
        </w:rPr>
        <w:t xml:space="preserve">La pression de sélection </w:t>
      </w:r>
      <w:r w:rsidR="004A18F3" w:rsidRPr="004A18F3">
        <w:rPr>
          <w:rFonts w:asciiTheme="majorBidi" w:hAnsiTheme="majorBidi" w:cstheme="majorBidi"/>
          <w:sz w:val="24"/>
          <w:szCs w:val="24"/>
        </w:rPr>
        <w:t xml:space="preserve">est un phénomène clé dans l'évolution des résistances bactériennes. Lorsqu'une population bactérienne est exposée à un antibiotique, seules les bactéries résistantes — possédant des mutations ou des gènes de résistance — survivent, tandis que les bactéries sensibles sont éliminées. Ce processus sélectionne ainsi les bactéries résistantes, leur permettant de se multiplier et de devenir dominantes dans l'environnement. Les mutations, souvent spontanées, peuvent altérer la cible de l'antibiotique ou affecter la perméabilité de la membrane cellulaire, tandis que le transfert horizontal de gènes, par conjugaison, transformation ou transduction, permet aux bactéries d'acquérir des gènes de résistance d'autres bactéries. Par exemple, la résistance aux carbapénèmes chez </w:t>
      </w:r>
      <w:r w:rsidR="004A18F3" w:rsidRPr="004A18F3">
        <w:rPr>
          <w:rStyle w:val="Accentuation"/>
          <w:rFonts w:asciiTheme="majorBidi" w:hAnsiTheme="majorBidi" w:cstheme="majorBidi"/>
          <w:sz w:val="24"/>
          <w:szCs w:val="24"/>
        </w:rPr>
        <w:t>Klebsiella pneumoniae</w:t>
      </w:r>
      <w:r w:rsidR="004A18F3" w:rsidRPr="004A18F3">
        <w:rPr>
          <w:rFonts w:asciiTheme="majorBidi" w:hAnsiTheme="majorBidi" w:cstheme="majorBidi"/>
          <w:sz w:val="24"/>
          <w:szCs w:val="24"/>
        </w:rPr>
        <w:t xml:space="preserve"> et </w:t>
      </w:r>
      <w:r w:rsidR="004A18F3" w:rsidRPr="004A18F3">
        <w:rPr>
          <w:rStyle w:val="Accentuation"/>
          <w:rFonts w:asciiTheme="majorBidi" w:hAnsiTheme="majorBidi" w:cstheme="majorBidi"/>
          <w:sz w:val="24"/>
          <w:szCs w:val="24"/>
        </w:rPr>
        <w:t>Escherichia coli</w:t>
      </w:r>
      <w:r w:rsidR="004A18F3" w:rsidRPr="004A18F3">
        <w:rPr>
          <w:rFonts w:asciiTheme="majorBidi" w:hAnsiTheme="majorBidi" w:cstheme="majorBidi"/>
          <w:sz w:val="24"/>
          <w:szCs w:val="24"/>
        </w:rPr>
        <w:t xml:space="preserve"> est liée à l'acquisition de gènes codant pour des enzymes carbapénémases, facilitée par l'usage excessif d'antibiotiques comme les β-lactamines. Ce phénomène de sélection est exacerbé par l'usage intensif d'antibiotiques dans des secteurs comme </w:t>
      </w:r>
      <w:r w:rsidR="004A18F3" w:rsidRPr="004A18F3">
        <w:rPr>
          <w:rFonts w:asciiTheme="majorBidi" w:hAnsiTheme="majorBidi" w:cstheme="majorBidi"/>
          <w:sz w:val="24"/>
          <w:szCs w:val="24"/>
        </w:rPr>
        <w:lastRenderedPageBreak/>
        <w:t>l'agriculture, où des résistances aux tétracyclines ou aux fluoroquinolones se propagent par la chaîne alimentaire. Ce mécanisme de pression de sélection prépare le terrain pour étudier les mutations génétiques responsables de la résistance et les mécanismes de transfert des gènes, qui renforcent la capacité des bactéries à s'adapter à ces conditions stressantes</w:t>
      </w:r>
    </w:p>
    <w:p w:rsidR="004A18F3" w:rsidRPr="00736466" w:rsidRDefault="004A18F3" w:rsidP="00CA15B4">
      <w:pPr>
        <w:pStyle w:val="Titre4"/>
        <w:spacing w:line="360" w:lineRule="auto"/>
        <w:jc w:val="both"/>
        <w:rPr>
          <w:rFonts w:asciiTheme="majorBidi" w:hAnsiTheme="majorBidi"/>
          <w:i w:val="0"/>
          <w:iCs w:val="0"/>
          <w:color w:val="0D0D0D" w:themeColor="text1" w:themeTint="F2"/>
          <w:sz w:val="24"/>
          <w:szCs w:val="24"/>
        </w:rPr>
      </w:pPr>
      <w:r>
        <w:rPr>
          <w:rFonts w:asciiTheme="majorBidi" w:hAnsiTheme="majorBidi"/>
          <w:i w:val="0"/>
          <w:iCs w:val="0"/>
          <w:color w:val="0D0D0D" w:themeColor="text1" w:themeTint="F2"/>
          <w:sz w:val="24"/>
          <w:szCs w:val="24"/>
        </w:rPr>
        <w:t>2</w:t>
      </w:r>
      <w:r w:rsidRPr="00736466">
        <w:rPr>
          <w:rFonts w:asciiTheme="majorBidi" w:hAnsiTheme="majorBidi"/>
          <w:i w:val="0"/>
          <w:iCs w:val="0"/>
          <w:color w:val="0D0D0D" w:themeColor="text1" w:themeTint="F2"/>
          <w:sz w:val="24"/>
          <w:szCs w:val="24"/>
        </w:rPr>
        <w:t>.3. Mutants cataboliques</w:t>
      </w:r>
    </w:p>
    <w:p w:rsidR="004A18F3" w:rsidRPr="00736466" w:rsidRDefault="004A18F3" w:rsidP="00CA15B4">
      <w:pPr>
        <w:pStyle w:val="NormalWeb"/>
        <w:spacing w:line="360" w:lineRule="auto"/>
        <w:jc w:val="both"/>
        <w:rPr>
          <w:rFonts w:asciiTheme="majorBidi" w:hAnsiTheme="majorBidi" w:cstheme="majorBidi"/>
        </w:rPr>
      </w:pPr>
      <w:r w:rsidRPr="00736466">
        <w:rPr>
          <w:rFonts w:asciiTheme="majorBidi" w:hAnsiTheme="majorBidi" w:cstheme="majorBidi"/>
        </w:rPr>
        <w:t xml:space="preserve">Les mutants cataboliques sont incapables d'utiliser ou de dégrader certaines substances, ce qui les rend dépendants d'autres sources de carbone pour leur croissance. Par exemple, une souche bactérienne peut devenir incapable d'utiliser le galactose, ce qui la rend </w:t>
      </w:r>
      <w:r w:rsidRPr="00736466">
        <w:rPr>
          <w:rStyle w:val="lev"/>
          <w:rFonts w:asciiTheme="majorBidi" w:hAnsiTheme="majorBidi" w:cstheme="majorBidi"/>
        </w:rPr>
        <w:t>gal-</w:t>
      </w:r>
      <w:r w:rsidRPr="00736466">
        <w:rPr>
          <w:rFonts w:asciiTheme="majorBidi" w:hAnsiTheme="majorBidi" w:cstheme="majorBidi"/>
        </w:rPr>
        <w:t xml:space="preserve">, tandis que les souches capables de le dégrader sont désignées </w:t>
      </w:r>
      <w:r w:rsidRPr="00736466">
        <w:rPr>
          <w:rStyle w:val="lev"/>
          <w:rFonts w:asciiTheme="majorBidi" w:hAnsiTheme="majorBidi" w:cstheme="majorBidi"/>
        </w:rPr>
        <w:t>gal+</w:t>
      </w:r>
      <w:r w:rsidRPr="00736466">
        <w:rPr>
          <w:rFonts w:asciiTheme="majorBidi" w:hAnsiTheme="majorBidi" w:cstheme="majorBidi"/>
        </w:rPr>
        <w:t xml:space="preserve">. De même, pour le lactose, on parle de mutants </w:t>
      </w:r>
      <w:r w:rsidRPr="00736466">
        <w:rPr>
          <w:rStyle w:val="lev"/>
          <w:rFonts w:asciiTheme="majorBidi" w:hAnsiTheme="majorBidi" w:cstheme="majorBidi"/>
        </w:rPr>
        <w:t>lac-</w:t>
      </w:r>
      <w:r w:rsidRPr="00736466">
        <w:rPr>
          <w:rFonts w:asciiTheme="majorBidi" w:hAnsiTheme="majorBidi" w:cstheme="majorBidi"/>
        </w:rPr>
        <w:t xml:space="preserve"> pour ceux qui ne peuvent pas l'utiliser et de mutants </w:t>
      </w:r>
      <w:r w:rsidRPr="00736466">
        <w:rPr>
          <w:rStyle w:val="lev"/>
          <w:rFonts w:asciiTheme="majorBidi" w:hAnsiTheme="majorBidi" w:cstheme="majorBidi"/>
        </w:rPr>
        <w:t>lac+</w:t>
      </w:r>
      <w:r w:rsidRPr="00736466">
        <w:rPr>
          <w:rFonts w:asciiTheme="majorBidi" w:hAnsiTheme="majorBidi" w:cstheme="majorBidi"/>
        </w:rPr>
        <w:t xml:space="preserve"> pour ceux qui peuvent.</w:t>
      </w:r>
    </w:p>
    <w:p w:rsidR="004A18F3" w:rsidRDefault="004A18F3" w:rsidP="00CA15B4">
      <w:pPr>
        <w:pStyle w:val="NormalWeb"/>
        <w:spacing w:line="360" w:lineRule="auto"/>
        <w:jc w:val="both"/>
        <w:rPr>
          <w:rFonts w:asciiTheme="majorBidi" w:hAnsiTheme="majorBidi" w:cstheme="majorBidi"/>
        </w:rPr>
      </w:pPr>
      <w:r w:rsidRPr="00736466">
        <w:rPr>
          <w:rFonts w:asciiTheme="majorBidi" w:hAnsiTheme="majorBidi" w:cstheme="majorBidi"/>
        </w:rPr>
        <w:t xml:space="preserve">Ces mutants peuvent également être utilisés pour étudier les voies métaboliques et les mécanismes de régulation. Par exemple, le mécanisme de régulation de l'opéron lactose chez </w:t>
      </w:r>
      <w:r w:rsidRPr="004F3BD8">
        <w:rPr>
          <w:rStyle w:val="lev"/>
          <w:rFonts w:asciiTheme="majorBidi" w:hAnsiTheme="majorBidi" w:cstheme="majorBidi"/>
          <w:i/>
          <w:iCs/>
        </w:rPr>
        <w:t>E. coli</w:t>
      </w:r>
      <w:r w:rsidRPr="00736466">
        <w:rPr>
          <w:rFonts w:asciiTheme="majorBidi" w:hAnsiTheme="majorBidi" w:cstheme="majorBidi"/>
        </w:rPr>
        <w:t xml:space="preserve"> a été largement étudié à travers des mutants lac-. L'analyse de ces mutants a permis de mieux comprendre comment les bactéries s'adaptent à différentes sources de nutriments et comment elles régulent leur métabolisme en fonction des substrats disponibles.</w:t>
      </w:r>
    </w:p>
    <w:p w:rsidR="00CA15B4" w:rsidRDefault="00CA15B4" w:rsidP="00CA15B4">
      <w:pPr>
        <w:pStyle w:val="NormalWeb"/>
        <w:spacing w:line="360" w:lineRule="auto"/>
        <w:jc w:val="both"/>
        <w:rPr>
          <w:rFonts w:asciiTheme="majorBidi" w:hAnsiTheme="majorBidi" w:cstheme="majorBidi"/>
        </w:rPr>
      </w:pPr>
    </w:p>
    <w:p w:rsidR="00CA15B4" w:rsidRPr="00CA15B4" w:rsidRDefault="00CA15B4" w:rsidP="00CA15B4">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A15B4">
        <w:rPr>
          <w:rFonts w:ascii="Times New Roman" w:eastAsia="Times New Roman" w:hAnsi="Times New Roman" w:cs="Times New Roman"/>
          <w:b/>
          <w:bCs/>
          <w:sz w:val="27"/>
          <w:szCs w:val="27"/>
          <w:lang w:eastAsia="fr-FR"/>
        </w:rPr>
        <w:t>Comment les antibiotiques provoquent ces mutations</w:t>
      </w:r>
    </w:p>
    <w:p w:rsidR="00CA15B4" w:rsidRPr="00CA15B4" w:rsidRDefault="00CA15B4" w:rsidP="00CA15B4">
      <w:pPr>
        <w:spacing w:before="100" w:beforeAutospacing="1" w:after="100" w:afterAutospacing="1" w:line="360" w:lineRule="auto"/>
        <w:jc w:val="both"/>
        <w:rPr>
          <w:rFonts w:ascii="Times New Roman" w:eastAsia="Times New Roman" w:hAnsi="Times New Roman" w:cs="Times New Roman"/>
          <w:sz w:val="24"/>
          <w:szCs w:val="24"/>
          <w:lang w:eastAsia="fr-FR"/>
        </w:rPr>
      </w:pPr>
      <w:r w:rsidRPr="00CA15B4">
        <w:rPr>
          <w:rFonts w:ascii="Times New Roman" w:eastAsia="Times New Roman" w:hAnsi="Times New Roman" w:cs="Times New Roman"/>
          <w:sz w:val="24"/>
          <w:szCs w:val="24"/>
          <w:lang w:eastAsia="fr-FR"/>
        </w:rPr>
        <w:t>Les antibiotiques peuvent être à l’origine de mutations bactériennes de plusieurs manières :</w:t>
      </w:r>
    </w:p>
    <w:p w:rsidR="00CA15B4" w:rsidRPr="00AA0F24" w:rsidRDefault="00CA15B4" w:rsidP="00AA0F24">
      <w:pPr>
        <w:pStyle w:val="Paragraphedeliste"/>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fr-FR"/>
        </w:rPr>
      </w:pPr>
      <w:r w:rsidRPr="00AA0F24">
        <w:rPr>
          <w:rFonts w:ascii="Times New Roman" w:eastAsia="Times New Roman" w:hAnsi="Times New Roman" w:cs="Times New Roman"/>
          <w:b/>
          <w:bCs/>
          <w:sz w:val="24"/>
          <w:szCs w:val="24"/>
          <w:lang w:eastAsia="fr-FR"/>
        </w:rPr>
        <w:t>Stress oxydatif</w:t>
      </w:r>
      <w:r w:rsidRPr="00AA0F24">
        <w:rPr>
          <w:rFonts w:ascii="Times New Roman" w:eastAsia="Times New Roman" w:hAnsi="Times New Roman" w:cs="Times New Roman"/>
          <w:sz w:val="24"/>
          <w:szCs w:val="24"/>
          <w:lang w:eastAsia="fr-FR"/>
        </w:rPr>
        <w:t xml:space="preserve"> : certains antibiotiques, comme les quinolones ou les β-lactamines, induisent la production d’espèces réactives de l’oxygène (ROS) dans la cellule bactérienne. Ces molécules oxydantes endommagent l’ADN, provoquant des cassures ou des modifications de bases, ce qui entraîne des mutations ponctuelles.</w:t>
      </w:r>
    </w:p>
    <w:p w:rsidR="00CA15B4" w:rsidRPr="00AA0F24" w:rsidRDefault="00CA15B4" w:rsidP="00FC7E5A">
      <w:pPr>
        <w:pStyle w:val="Paragraphedeliste"/>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fr-FR"/>
        </w:rPr>
      </w:pPr>
      <w:r w:rsidRPr="00AA0F24">
        <w:rPr>
          <w:rFonts w:ascii="Times New Roman" w:eastAsia="Times New Roman" w:hAnsi="Times New Roman" w:cs="Times New Roman"/>
          <w:b/>
          <w:bCs/>
          <w:sz w:val="24"/>
          <w:szCs w:val="24"/>
          <w:lang w:eastAsia="fr-FR"/>
        </w:rPr>
        <w:t>Interférence avec la réplication de l’ADN</w:t>
      </w:r>
      <w:r w:rsidRPr="00AA0F24">
        <w:rPr>
          <w:rFonts w:ascii="Times New Roman" w:eastAsia="Times New Roman" w:hAnsi="Times New Roman" w:cs="Times New Roman"/>
          <w:sz w:val="24"/>
          <w:szCs w:val="24"/>
          <w:lang w:eastAsia="fr-FR"/>
        </w:rPr>
        <w:t xml:space="preserve"> : des antibiotiques comme les fluoroquinolones inhibent la gyrase, enzymes essentielles à la réplication. Cette perturbation crée des erreurs lors de la duplication du matériel génétique.</w:t>
      </w:r>
    </w:p>
    <w:p w:rsidR="00CA15B4" w:rsidRPr="00AA0F24" w:rsidRDefault="00CA15B4" w:rsidP="00AA0F24">
      <w:pPr>
        <w:pStyle w:val="Paragraphedeliste"/>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fr-FR"/>
        </w:rPr>
      </w:pPr>
      <w:r w:rsidRPr="00AA0F24">
        <w:rPr>
          <w:rFonts w:ascii="Times New Roman" w:eastAsia="Times New Roman" w:hAnsi="Times New Roman" w:cs="Times New Roman"/>
          <w:b/>
          <w:bCs/>
          <w:sz w:val="24"/>
          <w:szCs w:val="24"/>
          <w:lang w:eastAsia="fr-FR"/>
        </w:rPr>
        <w:t>Activation de la réponse SOS</w:t>
      </w:r>
      <w:r w:rsidRPr="00AA0F24">
        <w:rPr>
          <w:rFonts w:ascii="Times New Roman" w:eastAsia="Times New Roman" w:hAnsi="Times New Roman" w:cs="Times New Roman"/>
          <w:sz w:val="24"/>
          <w:szCs w:val="24"/>
          <w:lang w:eastAsia="fr-FR"/>
        </w:rPr>
        <w:t xml:space="preserve"> : face à des dommages de l’ADN, les bactéries activent la voie SOS, qui stimule des ADN polymérases dites “translesionnelles”. Ces enzymes </w:t>
      </w:r>
      <w:r w:rsidRPr="00AA0F24">
        <w:rPr>
          <w:rFonts w:ascii="Times New Roman" w:eastAsia="Times New Roman" w:hAnsi="Times New Roman" w:cs="Times New Roman"/>
          <w:sz w:val="24"/>
          <w:szCs w:val="24"/>
          <w:lang w:eastAsia="fr-FR"/>
        </w:rPr>
        <w:lastRenderedPageBreak/>
        <w:t>répliquent l’ADN endommagé mais sont très mutagènes, favorisant ainsi l’apparition de mutants résistants ou auxotrophes.</w:t>
      </w:r>
    </w:p>
    <w:p w:rsidR="00CA15B4" w:rsidRPr="00AA0F24" w:rsidRDefault="00CA15B4" w:rsidP="00AA0F24">
      <w:pPr>
        <w:pStyle w:val="Paragraphedeliste"/>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fr-FR"/>
        </w:rPr>
      </w:pPr>
      <w:r w:rsidRPr="00AA0F24">
        <w:rPr>
          <w:rFonts w:ascii="Times New Roman" w:eastAsia="Times New Roman" w:hAnsi="Times New Roman" w:cs="Times New Roman"/>
          <w:b/>
          <w:bCs/>
          <w:sz w:val="24"/>
          <w:szCs w:val="24"/>
          <w:lang w:eastAsia="fr-FR"/>
        </w:rPr>
        <w:t>Sélection indirecte</w:t>
      </w:r>
      <w:r w:rsidRPr="00AA0F24">
        <w:rPr>
          <w:rFonts w:ascii="Times New Roman" w:eastAsia="Times New Roman" w:hAnsi="Times New Roman" w:cs="Times New Roman"/>
          <w:sz w:val="24"/>
          <w:szCs w:val="24"/>
          <w:lang w:eastAsia="fr-FR"/>
        </w:rPr>
        <w:t xml:space="preserve"> : même si un antibiotique ne provoque pas directement une mutation, il sélectionne les mutants déjà présents dans la population en éliminant les cellules sensibles. Ces mutants peuvent présenter des altérations dans des gènes métaboliques (auxotrophes), de transport (cataboliques) ou de résistance.</w:t>
      </w:r>
    </w:p>
    <w:p w:rsidR="00AA0F24" w:rsidRPr="00AA0F24" w:rsidRDefault="00AA0F24" w:rsidP="00AA0F24">
      <w:pPr>
        <w:pStyle w:val="NormalWeb"/>
        <w:spacing w:line="360" w:lineRule="auto"/>
        <w:jc w:val="both"/>
        <w:rPr>
          <w:rFonts w:asciiTheme="majorBidi" w:hAnsiTheme="majorBidi" w:cstheme="majorBidi"/>
        </w:rPr>
      </w:pPr>
      <w:r w:rsidRPr="00AA0F24">
        <w:rPr>
          <w:rStyle w:val="lev"/>
          <w:rFonts w:asciiTheme="majorBidi" w:hAnsiTheme="majorBidi" w:cstheme="majorBidi"/>
          <w:b w:val="0"/>
          <w:bCs w:val="0"/>
        </w:rPr>
        <w:t>De plus, les mutations auxotrophes et cataboliques, bien qu’elles ne confèrent pas directement une résistance, peuvent influencer la réponse bactérienne au traitement.</w:t>
      </w:r>
      <w:r w:rsidRPr="00AA0F24">
        <w:rPr>
          <w:rFonts w:asciiTheme="majorBidi" w:hAnsiTheme="majorBidi" w:cstheme="majorBidi"/>
        </w:rPr>
        <w:t xml:space="preserve"> Les mutations auxotrophes modifient les voies de biosynthèse et ralentissent le métabolisme cellulaire, ce qui rend certaines cibles d’antibiotiques moins actives. </w:t>
      </w:r>
      <w:r w:rsidRPr="00AA0F24">
        <w:rPr>
          <w:rStyle w:val="lev"/>
          <w:rFonts w:asciiTheme="majorBidi" w:hAnsiTheme="majorBidi" w:cstheme="majorBidi"/>
          <w:b w:val="0"/>
          <w:bCs w:val="0"/>
        </w:rPr>
        <w:t>Par exemple, certaines souches d’</w:t>
      </w:r>
      <w:r w:rsidRPr="00AA0F24">
        <w:rPr>
          <w:rStyle w:val="Accentuation"/>
          <w:rFonts w:asciiTheme="majorBidi" w:eastAsiaTheme="majorEastAsia" w:hAnsiTheme="majorBidi" w:cstheme="majorBidi"/>
        </w:rPr>
        <w:t>Escherichia coli</w:t>
      </w:r>
      <w:r w:rsidRPr="00AA0F24">
        <w:rPr>
          <w:rStyle w:val="lev"/>
          <w:rFonts w:asciiTheme="majorBidi" w:hAnsiTheme="majorBidi" w:cstheme="majorBidi"/>
          <w:b w:val="0"/>
          <w:bCs w:val="0"/>
        </w:rPr>
        <w:t xml:space="preserve"> auxotrophes pour la méthionine ou la thréonine présentent une croissance plus lente, ce qui diminue l’efficacité des β-lactamines, qui agissent préférentiellement sur les cellules en division rapide.</w:t>
      </w:r>
    </w:p>
    <w:p w:rsidR="00AA0F24" w:rsidRPr="00AA0F24" w:rsidRDefault="00AA0F24" w:rsidP="00AA0F24">
      <w:pPr>
        <w:pStyle w:val="NormalWeb"/>
        <w:spacing w:line="360" w:lineRule="auto"/>
        <w:jc w:val="both"/>
        <w:rPr>
          <w:rFonts w:asciiTheme="majorBidi" w:hAnsiTheme="majorBidi" w:cstheme="majorBidi"/>
        </w:rPr>
      </w:pPr>
      <w:r w:rsidRPr="00AA0F24">
        <w:rPr>
          <w:rFonts w:asciiTheme="majorBidi" w:hAnsiTheme="majorBidi" w:cstheme="majorBidi"/>
        </w:rPr>
        <w:t xml:space="preserve">Les mutants cataboliques, quant à eux, peuvent présenter des modifications dans les systèmes de transport membranaire, limitant la pénétration de l’antibiotique dans la cellule. </w:t>
      </w:r>
      <w:r w:rsidRPr="00AA0F24">
        <w:rPr>
          <w:rStyle w:val="lev"/>
          <w:rFonts w:asciiTheme="majorBidi" w:hAnsiTheme="majorBidi" w:cstheme="majorBidi"/>
          <w:b w:val="0"/>
          <w:bCs w:val="0"/>
        </w:rPr>
        <w:t xml:space="preserve">C’est le cas de mutants </w:t>
      </w:r>
      <w:r w:rsidRPr="00AA0F24">
        <w:rPr>
          <w:rStyle w:val="Accentuation"/>
          <w:rFonts w:asciiTheme="majorBidi" w:eastAsiaTheme="majorEastAsia" w:hAnsiTheme="majorBidi" w:cstheme="majorBidi"/>
        </w:rPr>
        <w:t>lac</w:t>
      </w:r>
      <w:r w:rsidRPr="00AA0F24">
        <w:rPr>
          <w:rStyle w:val="Accentuation"/>
          <w:rFonts w:asciiTheme="majorBidi" w:eastAsiaTheme="majorEastAsia" w:hAnsi="Cambria Math" w:cstheme="majorBidi"/>
        </w:rPr>
        <w:t>⁻</w:t>
      </w:r>
      <w:r w:rsidRPr="00AA0F24">
        <w:rPr>
          <w:rStyle w:val="lev"/>
          <w:rFonts w:asciiTheme="majorBidi" w:hAnsiTheme="majorBidi" w:cstheme="majorBidi"/>
          <w:b w:val="0"/>
          <w:bCs w:val="0"/>
        </w:rPr>
        <w:t xml:space="preserve"> ou </w:t>
      </w:r>
      <w:r w:rsidRPr="00AA0F24">
        <w:rPr>
          <w:rStyle w:val="Accentuation"/>
          <w:rFonts w:asciiTheme="majorBidi" w:eastAsiaTheme="majorEastAsia" w:hAnsiTheme="majorBidi" w:cstheme="majorBidi"/>
        </w:rPr>
        <w:t>gal</w:t>
      </w:r>
      <w:r w:rsidRPr="00AA0F24">
        <w:rPr>
          <w:rStyle w:val="Accentuation"/>
          <w:rFonts w:asciiTheme="majorBidi" w:eastAsiaTheme="majorEastAsia" w:hAnsi="Cambria Math" w:cstheme="majorBidi"/>
        </w:rPr>
        <w:t>⁻</w:t>
      </w:r>
      <w:r w:rsidRPr="00AA0F24">
        <w:rPr>
          <w:rStyle w:val="lev"/>
          <w:rFonts w:asciiTheme="majorBidi" w:hAnsiTheme="majorBidi" w:cstheme="majorBidi"/>
          <w:b w:val="0"/>
          <w:bCs w:val="0"/>
        </w:rPr>
        <w:t xml:space="preserve"> d’</w:t>
      </w:r>
      <w:r w:rsidRPr="00AA0F24">
        <w:rPr>
          <w:rStyle w:val="Accentuation"/>
          <w:rFonts w:asciiTheme="majorBidi" w:eastAsiaTheme="majorEastAsia" w:hAnsiTheme="majorBidi" w:cstheme="majorBidi"/>
        </w:rPr>
        <w:t>E. coli</w:t>
      </w:r>
      <w:r w:rsidRPr="00AA0F24">
        <w:rPr>
          <w:rStyle w:val="lev"/>
          <w:rFonts w:asciiTheme="majorBidi" w:hAnsiTheme="majorBidi" w:cstheme="majorBidi"/>
          <w:b w:val="0"/>
          <w:bCs w:val="0"/>
        </w:rPr>
        <w:t>, chez lesquels la perte de certains transporteurs ou perméases peut réduire l’entrée de certains antibiotiques hydrophiles, comme les aminoglycosides.</w:t>
      </w:r>
    </w:p>
    <w:p w:rsidR="00AA0F24" w:rsidRPr="00AA0F24" w:rsidRDefault="00AA0F24" w:rsidP="00AA0F24">
      <w:pPr>
        <w:pStyle w:val="NormalWeb"/>
        <w:spacing w:line="360" w:lineRule="auto"/>
        <w:jc w:val="both"/>
        <w:rPr>
          <w:rFonts w:asciiTheme="majorBidi" w:hAnsiTheme="majorBidi" w:cstheme="majorBidi"/>
        </w:rPr>
      </w:pPr>
      <w:r w:rsidRPr="00AA0F24">
        <w:rPr>
          <w:rFonts w:asciiTheme="majorBidi" w:hAnsiTheme="majorBidi" w:cstheme="majorBidi"/>
        </w:rPr>
        <w:t xml:space="preserve">Ces altérations métaboliques peuvent donc réduire l’efficacité du traitement, favoriser un état de tolérance transitoire (ou persistance) et créer des conditions propices à l’apparition de véritables gènes de résistance. </w:t>
      </w:r>
      <w:r w:rsidRPr="00AA0F24">
        <w:rPr>
          <w:rStyle w:val="lev"/>
          <w:rFonts w:asciiTheme="majorBidi" w:hAnsiTheme="majorBidi" w:cstheme="majorBidi"/>
          <w:b w:val="0"/>
          <w:bCs w:val="0"/>
        </w:rPr>
        <w:t xml:space="preserve">Chez </w:t>
      </w:r>
      <w:r w:rsidRPr="00AA0F24">
        <w:rPr>
          <w:rStyle w:val="Accentuation"/>
          <w:rFonts w:asciiTheme="majorBidi" w:eastAsiaTheme="majorEastAsia" w:hAnsiTheme="majorBidi" w:cstheme="majorBidi"/>
        </w:rPr>
        <w:t>Pseudomonas aeruginosa</w:t>
      </w:r>
      <w:r w:rsidRPr="00AA0F24">
        <w:rPr>
          <w:rStyle w:val="lev"/>
          <w:rFonts w:asciiTheme="majorBidi" w:hAnsiTheme="majorBidi" w:cstheme="majorBidi"/>
          <w:b w:val="0"/>
          <w:bCs w:val="0"/>
        </w:rPr>
        <w:t>, par exemple, des mutants métaboliquement ralentis ou “persistants” survivent à des traitements prolongés par la ciprofloxacine ou la tobramycine, sans présenter de résistance génétique stable.</w:t>
      </w:r>
    </w:p>
    <w:p w:rsidR="00CA15B4" w:rsidRPr="00736466" w:rsidRDefault="00CA15B4" w:rsidP="00CA15B4">
      <w:pPr>
        <w:pStyle w:val="NormalWeb"/>
        <w:spacing w:line="360" w:lineRule="auto"/>
        <w:jc w:val="both"/>
        <w:rPr>
          <w:rFonts w:asciiTheme="majorBidi" w:hAnsiTheme="majorBidi" w:cstheme="majorBidi"/>
        </w:rPr>
      </w:pPr>
    </w:p>
    <w:p w:rsidR="004A18F3" w:rsidRDefault="004A18F3" w:rsidP="00CA15B4">
      <w:pPr>
        <w:spacing w:before="100" w:beforeAutospacing="1" w:after="100" w:afterAutospacing="1" w:line="360" w:lineRule="auto"/>
        <w:jc w:val="both"/>
        <w:outlineLvl w:val="2"/>
        <w:rPr>
          <w:rFonts w:asciiTheme="majorBidi" w:hAnsiTheme="majorBidi" w:cstheme="majorBidi"/>
          <w:sz w:val="24"/>
          <w:szCs w:val="24"/>
        </w:rPr>
      </w:pPr>
    </w:p>
    <w:p w:rsidR="00FC7E5A" w:rsidRDefault="00FC7E5A" w:rsidP="00CA15B4">
      <w:pPr>
        <w:spacing w:before="100" w:beforeAutospacing="1" w:after="100" w:afterAutospacing="1" w:line="360" w:lineRule="auto"/>
        <w:jc w:val="both"/>
        <w:outlineLvl w:val="2"/>
        <w:rPr>
          <w:rFonts w:asciiTheme="majorBidi" w:hAnsiTheme="majorBidi" w:cstheme="majorBidi"/>
          <w:sz w:val="24"/>
          <w:szCs w:val="24"/>
        </w:rPr>
      </w:pPr>
    </w:p>
    <w:p w:rsidR="000B48A1" w:rsidRDefault="000B48A1" w:rsidP="00CA15B4">
      <w:pPr>
        <w:spacing w:before="100" w:beforeAutospacing="1" w:after="100" w:afterAutospacing="1" w:line="360" w:lineRule="auto"/>
        <w:jc w:val="both"/>
        <w:outlineLvl w:val="2"/>
        <w:rPr>
          <w:rFonts w:asciiTheme="majorBidi" w:hAnsiTheme="majorBidi" w:cstheme="majorBidi"/>
          <w:sz w:val="24"/>
          <w:szCs w:val="24"/>
        </w:rPr>
      </w:pPr>
    </w:p>
    <w:p w:rsidR="0088426E" w:rsidRPr="00736466" w:rsidRDefault="0088426E" w:rsidP="00CA15B4">
      <w:pPr>
        <w:pStyle w:val="Paragraphedeliste"/>
        <w:numPr>
          <w:ilvl w:val="0"/>
          <w:numId w:val="7"/>
        </w:numPr>
        <w:autoSpaceDE w:val="0"/>
        <w:autoSpaceDN w:val="0"/>
        <w:adjustRightInd w:val="0"/>
        <w:spacing w:after="0" w:line="360" w:lineRule="auto"/>
        <w:jc w:val="both"/>
        <w:rPr>
          <w:rFonts w:asciiTheme="majorBidi" w:hAnsiTheme="majorBidi" w:cstheme="majorBidi"/>
          <w:b/>
          <w:bCs/>
          <w:sz w:val="24"/>
          <w:szCs w:val="24"/>
        </w:rPr>
      </w:pPr>
      <w:r w:rsidRPr="00736466">
        <w:rPr>
          <w:rFonts w:asciiTheme="majorBidi" w:hAnsiTheme="majorBidi" w:cstheme="majorBidi"/>
          <w:b/>
          <w:bCs/>
          <w:sz w:val="24"/>
          <w:szCs w:val="24"/>
        </w:rPr>
        <w:lastRenderedPageBreak/>
        <w:t>Transferts génétiques chez les bactéries.</w:t>
      </w:r>
    </w:p>
    <w:p w:rsidR="0088426E" w:rsidRDefault="0088426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La bactérie peut être l'objet de variations génétiques autres que la mutation. Celles-ci peuvent</w:t>
      </w:r>
      <w:r w:rsidR="00736466">
        <w:rPr>
          <w:rFonts w:asciiTheme="majorBidi" w:hAnsiTheme="majorBidi" w:cstheme="majorBidi"/>
          <w:sz w:val="24"/>
          <w:szCs w:val="24"/>
        </w:rPr>
        <w:t xml:space="preserve"> </w:t>
      </w:r>
      <w:r w:rsidRPr="00736466">
        <w:rPr>
          <w:rFonts w:asciiTheme="majorBidi" w:hAnsiTheme="majorBidi" w:cstheme="majorBidi"/>
          <w:sz w:val="24"/>
          <w:szCs w:val="24"/>
        </w:rPr>
        <w:t>résulter du transfert horizontal de matériel génétique (échange entre fragments d'ADN) d'une</w:t>
      </w:r>
      <w:r w:rsidR="00736466">
        <w:rPr>
          <w:rFonts w:asciiTheme="majorBidi" w:hAnsiTheme="majorBidi" w:cstheme="majorBidi"/>
          <w:sz w:val="24"/>
          <w:szCs w:val="24"/>
        </w:rPr>
        <w:t xml:space="preserve"> </w:t>
      </w:r>
      <w:r w:rsidRPr="00736466">
        <w:rPr>
          <w:rFonts w:asciiTheme="majorBidi" w:hAnsiTheme="majorBidi" w:cstheme="majorBidi"/>
          <w:sz w:val="24"/>
          <w:szCs w:val="24"/>
        </w:rPr>
        <w:t>bactérie à une autre, c’est la recombinaison génétique. Ce phénomène se produit grâce à la</w:t>
      </w:r>
      <w:r w:rsidR="00736466">
        <w:rPr>
          <w:rFonts w:asciiTheme="majorBidi" w:hAnsiTheme="majorBidi" w:cstheme="majorBidi"/>
          <w:sz w:val="24"/>
          <w:szCs w:val="24"/>
        </w:rPr>
        <w:t xml:space="preserve"> </w:t>
      </w:r>
      <w:r w:rsidRPr="00736466">
        <w:rPr>
          <w:rFonts w:asciiTheme="majorBidi" w:hAnsiTheme="majorBidi" w:cstheme="majorBidi"/>
          <w:sz w:val="24"/>
          <w:szCs w:val="24"/>
        </w:rPr>
        <w:t>conjugaison bactérienne, la transformation bactérienne, ou la transduction bactérienne.</w:t>
      </w:r>
    </w:p>
    <w:p w:rsidR="00736466" w:rsidRPr="00736466" w:rsidRDefault="00736466" w:rsidP="00CA15B4">
      <w:pPr>
        <w:autoSpaceDE w:val="0"/>
        <w:autoSpaceDN w:val="0"/>
        <w:adjustRightInd w:val="0"/>
        <w:spacing w:after="0" w:line="360" w:lineRule="auto"/>
        <w:jc w:val="both"/>
        <w:rPr>
          <w:rFonts w:asciiTheme="majorBidi" w:hAnsiTheme="majorBidi" w:cstheme="majorBidi"/>
          <w:sz w:val="24"/>
          <w:szCs w:val="24"/>
        </w:rPr>
      </w:pPr>
    </w:p>
    <w:p w:rsidR="0088426E" w:rsidRPr="00736466" w:rsidRDefault="0088426E" w:rsidP="00CA15B4">
      <w:pPr>
        <w:autoSpaceDE w:val="0"/>
        <w:autoSpaceDN w:val="0"/>
        <w:adjustRightInd w:val="0"/>
        <w:spacing w:after="0" w:line="360" w:lineRule="auto"/>
        <w:jc w:val="both"/>
        <w:rPr>
          <w:rFonts w:asciiTheme="majorBidi" w:hAnsiTheme="majorBidi" w:cstheme="majorBidi"/>
          <w:b/>
          <w:bCs/>
          <w:sz w:val="24"/>
          <w:szCs w:val="24"/>
        </w:rPr>
      </w:pPr>
      <w:r w:rsidRPr="00736466">
        <w:rPr>
          <w:rFonts w:asciiTheme="majorBidi" w:hAnsiTheme="majorBidi" w:cstheme="majorBidi"/>
          <w:b/>
          <w:bCs/>
          <w:sz w:val="24"/>
          <w:szCs w:val="24"/>
        </w:rPr>
        <w:t>1. La conjugaison bactérienne :</w:t>
      </w:r>
    </w:p>
    <w:p w:rsidR="0088426E" w:rsidRPr="00736466" w:rsidRDefault="0088426E" w:rsidP="00CA15B4">
      <w:pPr>
        <w:autoSpaceDE w:val="0"/>
        <w:autoSpaceDN w:val="0"/>
        <w:adjustRightInd w:val="0"/>
        <w:spacing w:after="0" w:line="360" w:lineRule="auto"/>
        <w:jc w:val="both"/>
        <w:rPr>
          <w:rFonts w:asciiTheme="majorBidi" w:hAnsiTheme="majorBidi" w:cstheme="majorBidi"/>
          <w:b/>
          <w:bCs/>
          <w:sz w:val="24"/>
          <w:szCs w:val="24"/>
        </w:rPr>
      </w:pPr>
      <w:r w:rsidRPr="00736466">
        <w:rPr>
          <w:rFonts w:asciiTheme="majorBidi" w:hAnsiTheme="majorBidi" w:cstheme="majorBidi"/>
          <w:b/>
          <w:bCs/>
          <w:sz w:val="24"/>
          <w:szCs w:val="24"/>
        </w:rPr>
        <w:t>1.1. Découverte de la conjugaison (expérience de Lederberg et Tatum en 1946):</w:t>
      </w:r>
    </w:p>
    <w:p w:rsidR="0088426E" w:rsidRPr="00736466" w:rsidRDefault="0088426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Lederberg et Tatum en 1946 ont mélangé dans un milieu liquide, 2 types de mutants</w:t>
      </w:r>
      <w:r w:rsidR="00736466">
        <w:rPr>
          <w:rFonts w:asciiTheme="majorBidi" w:hAnsiTheme="majorBidi" w:cstheme="majorBidi"/>
          <w:sz w:val="24"/>
          <w:szCs w:val="24"/>
        </w:rPr>
        <w:t xml:space="preserve"> </w:t>
      </w:r>
      <w:r w:rsidRPr="00736466">
        <w:rPr>
          <w:rFonts w:asciiTheme="majorBidi" w:hAnsiTheme="majorBidi" w:cstheme="majorBidi"/>
          <w:sz w:val="24"/>
          <w:szCs w:val="24"/>
        </w:rPr>
        <w:t>polyauxotrophes d'</w:t>
      </w:r>
      <w:r w:rsidRPr="00736466">
        <w:rPr>
          <w:rFonts w:asciiTheme="majorBidi" w:hAnsiTheme="majorBidi" w:cstheme="majorBidi"/>
          <w:i/>
          <w:iCs/>
          <w:sz w:val="24"/>
          <w:szCs w:val="24"/>
        </w:rPr>
        <w:t xml:space="preserve">E. coli </w:t>
      </w:r>
      <w:r w:rsidRPr="00736466">
        <w:rPr>
          <w:rFonts w:asciiTheme="majorBidi" w:hAnsiTheme="majorBidi" w:cstheme="majorBidi"/>
          <w:sz w:val="24"/>
          <w:szCs w:val="24"/>
        </w:rPr>
        <w:t>: La souche A est auxotrophe pour la méthionine et la</w:t>
      </w:r>
      <w:r w:rsidR="00736466">
        <w:rPr>
          <w:rFonts w:asciiTheme="majorBidi" w:hAnsiTheme="majorBidi" w:cstheme="majorBidi"/>
          <w:sz w:val="24"/>
          <w:szCs w:val="24"/>
        </w:rPr>
        <w:t xml:space="preserve"> </w:t>
      </w:r>
      <w:r w:rsidRPr="00736466">
        <w:rPr>
          <w:rFonts w:asciiTheme="majorBidi" w:hAnsiTheme="majorBidi" w:cstheme="majorBidi"/>
          <w:sz w:val="24"/>
          <w:szCs w:val="24"/>
        </w:rPr>
        <w:t>biotine et prototrophe pour la leucine et la thréonine ; son phénotype est donc : met–, bio–,</w:t>
      </w:r>
      <w:r w:rsidR="00736466">
        <w:rPr>
          <w:rFonts w:asciiTheme="majorBidi" w:hAnsiTheme="majorBidi" w:cstheme="majorBidi"/>
          <w:sz w:val="24"/>
          <w:szCs w:val="24"/>
        </w:rPr>
        <w:t xml:space="preserve"> </w:t>
      </w:r>
      <w:r w:rsidRPr="00736466">
        <w:rPr>
          <w:rFonts w:asciiTheme="majorBidi" w:hAnsiTheme="majorBidi" w:cstheme="majorBidi"/>
          <w:sz w:val="24"/>
          <w:szCs w:val="24"/>
        </w:rPr>
        <w:t>leu+, thr+. La souche B est auxotrophe pour la thréonine et la leucine et prototrophe pour la</w:t>
      </w:r>
      <w:r w:rsidR="00736466">
        <w:rPr>
          <w:rFonts w:asciiTheme="majorBidi" w:hAnsiTheme="majorBidi" w:cstheme="majorBidi"/>
          <w:sz w:val="24"/>
          <w:szCs w:val="24"/>
        </w:rPr>
        <w:t xml:space="preserve"> </w:t>
      </w:r>
      <w:r w:rsidRPr="00736466">
        <w:rPr>
          <w:rFonts w:asciiTheme="majorBidi" w:hAnsiTheme="majorBidi" w:cstheme="majorBidi"/>
          <w:sz w:val="24"/>
          <w:szCs w:val="24"/>
        </w:rPr>
        <w:t>méthionine et la biotine ; d’où son phénotype : met+, bio+, leu–, thr–. Après plusieurs heures</w:t>
      </w:r>
      <w:r w:rsidR="00736466">
        <w:rPr>
          <w:rFonts w:asciiTheme="majorBidi" w:hAnsiTheme="majorBidi" w:cstheme="majorBidi"/>
          <w:sz w:val="24"/>
          <w:szCs w:val="24"/>
        </w:rPr>
        <w:t xml:space="preserve"> </w:t>
      </w:r>
      <w:r w:rsidRPr="00736466">
        <w:rPr>
          <w:rFonts w:asciiTheme="majorBidi" w:hAnsiTheme="majorBidi" w:cstheme="majorBidi"/>
          <w:sz w:val="24"/>
          <w:szCs w:val="24"/>
        </w:rPr>
        <w:t>de contact, l'étalement de 10</w:t>
      </w:r>
      <w:r w:rsidRPr="00736466">
        <w:rPr>
          <w:rFonts w:asciiTheme="majorBidi" w:hAnsiTheme="majorBidi" w:cstheme="majorBidi"/>
          <w:sz w:val="24"/>
          <w:szCs w:val="24"/>
          <w:vertAlign w:val="superscript"/>
        </w:rPr>
        <w:t>8</w:t>
      </w:r>
      <w:r w:rsidRPr="00736466">
        <w:rPr>
          <w:rFonts w:asciiTheme="majorBidi" w:hAnsiTheme="majorBidi" w:cstheme="majorBidi"/>
          <w:sz w:val="24"/>
          <w:szCs w:val="24"/>
        </w:rPr>
        <w:t xml:space="preserve"> bactéries sur un milieu minimum (sans T, L, M et B) est suivi,</w:t>
      </w:r>
      <w:r w:rsidR="00736466">
        <w:rPr>
          <w:rFonts w:asciiTheme="majorBidi" w:hAnsiTheme="majorBidi" w:cstheme="majorBidi"/>
          <w:sz w:val="24"/>
          <w:szCs w:val="24"/>
        </w:rPr>
        <w:t xml:space="preserve"> </w:t>
      </w:r>
      <w:r w:rsidRPr="00736466">
        <w:rPr>
          <w:rFonts w:asciiTheme="majorBidi" w:hAnsiTheme="majorBidi" w:cstheme="majorBidi"/>
          <w:sz w:val="24"/>
          <w:szCs w:val="24"/>
        </w:rPr>
        <w:t>après incubation, de la croissance d'une centaine de colonies à la surface du milieu. Ces</w:t>
      </w:r>
      <w:r w:rsidR="00736466">
        <w:rPr>
          <w:rFonts w:asciiTheme="majorBidi" w:hAnsiTheme="majorBidi" w:cstheme="majorBidi"/>
          <w:sz w:val="24"/>
          <w:szCs w:val="24"/>
        </w:rPr>
        <w:t xml:space="preserve"> </w:t>
      </w:r>
      <w:r w:rsidRPr="00736466">
        <w:rPr>
          <w:rFonts w:asciiTheme="majorBidi" w:hAnsiTheme="majorBidi" w:cstheme="majorBidi"/>
          <w:sz w:val="24"/>
          <w:szCs w:val="24"/>
        </w:rPr>
        <w:t>clones ainsi que leur descendance sont T+ L+ M+ B+. Par contre, aucune colonie n’est visible</w:t>
      </w:r>
      <w:r w:rsidR="00736466">
        <w:rPr>
          <w:rFonts w:asciiTheme="majorBidi" w:hAnsiTheme="majorBidi" w:cstheme="majorBidi"/>
          <w:sz w:val="24"/>
          <w:szCs w:val="24"/>
        </w:rPr>
        <w:t xml:space="preserve"> </w:t>
      </w:r>
      <w:r w:rsidRPr="00736466">
        <w:rPr>
          <w:rFonts w:asciiTheme="majorBidi" w:hAnsiTheme="majorBidi" w:cstheme="majorBidi"/>
          <w:sz w:val="24"/>
          <w:szCs w:val="24"/>
        </w:rPr>
        <w:t>sur les boîtes témoins ensemencées avec des bactéries A ou B.</w:t>
      </w:r>
    </w:p>
    <w:p w:rsidR="0088426E" w:rsidRPr="00736466" w:rsidRDefault="0088426E" w:rsidP="00CA15B4">
      <w:pPr>
        <w:spacing w:before="100" w:beforeAutospacing="1" w:after="100" w:afterAutospacing="1" w:line="360" w:lineRule="auto"/>
        <w:jc w:val="both"/>
        <w:rPr>
          <w:rFonts w:asciiTheme="majorBidi" w:eastAsia="Times New Roman" w:hAnsiTheme="majorBidi" w:cstheme="majorBidi"/>
          <w:sz w:val="24"/>
          <w:szCs w:val="24"/>
          <w:lang w:eastAsia="fr-FR"/>
        </w:rPr>
      </w:pPr>
      <w:r w:rsidRPr="00736466">
        <w:rPr>
          <w:rFonts w:asciiTheme="majorBidi" w:eastAsia="Times New Roman" w:hAnsiTheme="majorBidi" w:cstheme="majorBidi"/>
          <w:noProof/>
          <w:sz w:val="24"/>
          <w:szCs w:val="24"/>
          <w:lang w:eastAsia="fr-FR"/>
        </w:rPr>
        <w:lastRenderedPageBreak/>
        <w:drawing>
          <wp:inline distT="0" distB="0" distL="0" distR="0">
            <wp:extent cx="5210175" cy="5571490"/>
            <wp:effectExtent l="19050" t="0" r="952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5210175" cy="5571490"/>
                    </a:xfrm>
                    <a:prstGeom prst="rect">
                      <a:avLst/>
                    </a:prstGeom>
                    <a:noFill/>
                    <a:ln w="9525">
                      <a:noFill/>
                      <a:miter lim="800000"/>
                      <a:headEnd/>
                      <a:tailEnd/>
                    </a:ln>
                  </pic:spPr>
                </pic:pic>
              </a:graphicData>
            </a:graphic>
          </wp:inline>
        </w:drawing>
      </w:r>
    </w:p>
    <w:p w:rsidR="0088426E" w:rsidRPr="00D355C2" w:rsidRDefault="00D355C2" w:rsidP="00CA15B4">
      <w:pPr>
        <w:spacing w:before="100" w:beforeAutospacing="1" w:after="100" w:afterAutospacing="1" w:line="360" w:lineRule="auto"/>
        <w:jc w:val="center"/>
        <w:rPr>
          <w:rFonts w:asciiTheme="majorBidi" w:hAnsiTheme="majorBidi" w:cstheme="majorBidi"/>
          <w:sz w:val="24"/>
          <w:szCs w:val="24"/>
        </w:rPr>
      </w:pPr>
      <w:r>
        <w:rPr>
          <w:rFonts w:asciiTheme="majorBidi" w:hAnsiTheme="majorBidi" w:cstheme="majorBidi"/>
          <w:b/>
          <w:bCs/>
          <w:sz w:val="24"/>
          <w:szCs w:val="24"/>
        </w:rPr>
        <w:t>Figure 01</w:t>
      </w:r>
      <w:r w:rsidR="0088426E" w:rsidRPr="00736466">
        <w:rPr>
          <w:rFonts w:asciiTheme="majorBidi" w:hAnsiTheme="majorBidi" w:cstheme="majorBidi"/>
          <w:b/>
          <w:bCs/>
          <w:sz w:val="24"/>
          <w:szCs w:val="24"/>
        </w:rPr>
        <w:t xml:space="preserve">: </w:t>
      </w:r>
      <w:r w:rsidR="0088426E" w:rsidRPr="00D355C2">
        <w:rPr>
          <w:rFonts w:asciiTheme="majorBidi" w:hAnsiTheme="majorBidi" w:cstheme="majorBidi"/>
          <w:sz w:val="24"/>
          <w:szCs w:val="24"/>
        </w:rPr>
        <w:t>Expérience de Lederberg et Tatum en 1946.</w:t>
      </w:r>
    </w:p>
    <w:p w:rsidR="0088426E" w:rsidRPr="00736466" w:rsidRDefault="0088426E" w:rsidP="00CA15B4">
      <w:pPr>
        <w:autoSpaceDE w:val="0"/>
        <w:autoSpaceDN w:val="0"/>
        <w:adjustRightInd w:val="0"/>
        <w:spacing w:after="0" w:line="360" w:lineRule="auto"/>
        <w:jc w:val="both"/>
        <w:rPr>
          <w:rFonts w:asciiTheme="majorBidi" w:hAnsiTheme="majorBidi" w:cstheme="majorBidi"/>
          <w:b/>
          <w:bCs/>
          <w:sz w:val="24"/>
          <w:szCs w:val="24"/>
        </w:rPr>
      </w:pPr>
    </w:p>
    <w:p w:rsidR="0088426E" w:rsidRPr="00736466" w:rsidRDefault="0088426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Aucune des deux souches auxotrophes n'est capable de se développer sur milieu minimum.</w:t>
      </w:r>
    </w:p>
    <w:p w:rsidR="0088426E" w:rsidRPr="00736466" w:rsidRDefault="0088426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Par contre, l’étalement d’une partie de la suspension du mélange des deux souches sur milieu</w:t>
      </w:r>
    </w:p>
    <w:p w:rsidR="0088426E" w:rsidRPr="00736466" w:rsidRDefault="0088426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minimum donne des colonies. Cette expérience suggère qu'il y a eu échange (de A vers B ou</w:t>
      </w:r>
    </w:p>
    <w:p w:rsidR="0088426E" w:rsidRPr="00736466" w:rsidRDefault="0088426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de B vers A) de matériel génétique entre les deux souches, aboutissant à la formation de</w:t>
      </w:r>
      <w:r w:rsidR="00EA183F">
        <w:rPr>
          <w:rFonts w:asciiTheme="majorBidi" w:hAnsiTheme="majorBidi" w:cstheme="majorBidi"/>
          <w:sz w:val="24"/>
          <w:szCs w:val="24"/>
        </w:rPr>
        <w:t xml:space="preserve"> </w:t>
      </w:r>
      <w:r w:rsidRPr="00736466">
        <w:rPr>
          <w:rFonts w:asciiTheme="majorBidi" w:hAnsiTheme="majorBidi" w:cstheme="majorBidi"/>
          <w:sz w:val="24"/>
          <w:szCs w:val="24"/>
        </w:rPr>
        <w:t>cellules "met+ bio+ thr+ phe+ thi+", capables de se développer sur milieu minimum. En effet,</w:t>
      </w:r>
    </w:p>
    <w:p w:rsidR="0088426E" w:rsidRPr="00736466" w:rsidRDefault="0088426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il est impossible d'obtenir un tel résultat par le seul jeu des mutations; la fréquence des</w:t>
      </w:r>
      <w:r w:rsidR="00EA183F">
        <w:rPr>
          <w:rFonts w:asciiTheme="majorBidi" w:hAnsiTheme="majorBidi" w:cstheme="majorBidi"/>
          <w:sz w:val="24"/>
          <w:szCs w:val="24"/>
        </w:rPr>
        <w:t xml:space="preserve"> </w:t>
      </w:r>
      <w:r w:rsidRPr="00736466">
        <w:rPr>
          <w:rFonts w:asciiTheme="majorBidi" w:hAnsiTheme="majorBidi" w:cstheme="majorBidi"/>
          <w:sz w:val="24"/>
          <w:szCs w:val="24"/>
        </w:rPr>
        <w:t>mutations est très faible, de l'ordre de 10</w:t>
      </w:r>
      <w:r w:rsidRPr="00D355C2">
        <w:rPr>
          <w:rFonts w:asciiTheme="majorBidi" w:hAnsiTheme="majorBidi" w:cstheme="majorBidi"/>
          <w:sz w:val="24"/>
          <w:szCs w:val="24"/>
          <w:vertAlign w:val="superscript"/>
        </w:rPr>
        <w:t>-7</w:t>
      </w:r>
      <w:r w:rsidRPr="00736466">
        <w:rPr>
          <w:rFonts w:asciiTheme="majorBidi" w:hAnsiTheme="majorBidi" w:cstheme="majorBidi"/>
          <w:sz w:val="24"/>
          <w:szCs w:val="24"/>
        </w:rPr>
        <w:t xml:space="preserve"> (1 mutation pour 10 millions de cellules) pour</w:t>
      </w:r>
      <w:r w:rsidR="00EA183F">
        <w:rPr>
          <w:rFonts w:asciiTheme="majorBidi" w:hAnsiTheme="majorBidi" w:cstheme="majorBidi"/>
          <w:sz w:val="24"/>
          <w:szCs w:val="24"/>
        </w:rPr>
        <w:t xml:space="preserve"> </w:t>
      </w:r>
      <w:r w:rsidRPr="00736466">
        <w:rPr>
          <w:rFonts w:asciiTheme="majorBidi" w:hAnsiTheme="majorBidi" w:cstheme="majorBidi"/>
          <w:sz w:val="24"/>
          <w:szCs w:val="24"/>
        </w:rPr>
        <w:t>chaque caractère. Pour observer deux mutations simultanément dans une cellule de souche A</w:t>
      </w:r>
    </w:p>
    <w:p w:rsidR="00F54FAD" w:rsidRDefault="0088426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lastRenderedPageBreak/>
        <w:t>par exemple, il faudrait étaler au moins 10</w:t>
      </w:r>
      <w:r w:rsidRPr="00D355C2">
        <w:rPr>
          <w:rFonts w:asciiTheme="majorBidi" w:hAnsiTheme="majorBidi" w:cstheme="majorBidi"/>
          <w:sz w:val="24"/>
          <w:szCs w:val="24"/>
          <w:vertAlign w:val="superscript"/>
        </w:rPr>
        <w:t>14</w:t>
      </w:r>
      <w:r w:rsidRPr="00736466">
        <w:rPr>
          <w:rFonts w:asciiTheme="majorBidi" w:hAnsiTheme="majorBidi" w:cstheme="majorBidi"/>
          <w:sz w:val="24"/>
          <w:szCs w:val="24"/>
        </w:rPr>
        <w:t xml:space="preserve"> cellules.</w:t>
      </w:r>
      <w:r w:rsidR="00EA183F">
        <w:rPr>
          <w:rFonts w:asciiTheme="majorBidi" w:hAnsiTheme="majorBidi" w:cstheme="majorBidi"/>
          <w:sz w:val="24"/>
          <w:szCs w:val="24"/>
        </w:rPr>
        <w:t xml:space="preserve"> </w:t>
      </w:r>
    </w:p>
    <w:p w:rsidR="00F54FAD" w:rsidRDefault="00F54FAD" w:rsidP="00CA15B4">
      <w:pPr>
        <w:autoSpaceDE w:val="0"/>
        <w:autoSpaceDN w:val="0"/>
        <w:adjustRightInd w:val="0"/>
        <w:spacing w:after="0" w:line="360" w:lineRule="auto"/>
        <w:jc w:val="both"/>
        <w:rPr>
          <w:rFonts w:asciiTheme="majorBidi" w:hAnsiTheme="majorBidi" w:cstheme="majorBidi"/>
          <w:sz w:val="24"/>
          <w:szCs w:val="24"/>
        </w:rPr>
      </w:pPr>
    </w:p>
    <w:p w:rsidR="00F54FAD" w:rsidRPr="00736466" w:rsidRDefault="00F54FAD" w:rsidP="00CA15B4">
      <w:pPr>
        <w:autoSpaceDE w:val="0"/>
        <w:autoSpaceDN w:val="0"/>
        <w:adjustRightInd w:val="0"/>
        <w:spacing w:after="0" w:line="360" w:lineRule="auto"/>
        <w:jc w:val="both"/>
        <w:rPr>
          <w:rFonts w:asciiTheme="majorBidi" w:hAnsiTheme="majorBidi" w:cstheme="majorBidi"/>
          <w:sz w:val="24"/>
          <w:szCs w:val="24"/>
        </w:rPr>
      </w:pPr>
    </w:p>
    <w:p w:rsidR="0088426E" w:rsidRPr="00736466" w:rsidRDefault="0088426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D'autres expériences ont permis, par la suite, de démontrer que le transfert génétique est</w:t>
      </w:r>
      <w:r w:rsidR="00EA183F">
        <w:rPr>
          <w:rFonts w:asciiTheme="majorBidi" w:hAnsiTheme="majorBidi" w:cstheme="majorBidi"/>
          <w:sz w:val="24"/>
          <w:szCs w:val="24"/>
        </w:rPr>
        <w:t xml:space="preserve"> </w:t>
      </w:r>
      <w:r w:rsidRPr="00736466">
        <w:rPr>
          <w:rFonts w:asciiTheme="majorBidi" w:hAnsiTheme="majorBidi" w:cstheme="majorBidi"/>
          <w:sz w:val="24"/>
          <w:szCs w:val="24"/>
        </w:rPr>
        <w:t>unidirectionnel (polarisé); il se fait toujours de A vers B. En effet, la souche A possède un</w:t>
      </w:r>
      <w:r w:rsidR="00EA183F">
        <w:rPr>
          <w:rFonts w:asciiTheme="majorBidi" w:hAnsiTheme="majorBidi" w:cstheme="majorBidi"/>
          <w:sz w:val="24"/>
          <w:szCs w:val="24"/>
        </w:rPr>
        <w:t xml:space="preserve"> </w:t>
      </w:r>
      <w:r w:rsidRPr="00736466">
        <w:rPr>
          <w:rFonts w:asciiTheme="majorBidi" w:hAnsiTheme="majorBidi" w:cstheme="majorBidi"/>
          <w:sz w:val="24"/>
          <w:szCs w:val="24"/>
        </w:rPr>
        <w:t>facteur F (Fertilité) qui la rend capable de donner des gènes. Il s'agit d'un plasmide dit</w:t>
      </w:r>
      <w:r w:rsidR="00EA183F">
        <w:rPr>
          <w:rFonts w:asciiTheme="majorBidi" w:hAnsiTheme="majorBidi" w:cstheme="majorBidi"/>
          <w:sz w:val="24"/>
          <w:szCs w:val="24"/>
        </w:rPr>
        <w:t xml:space="preserve"> </w:t>
      </w:r>
      <w:r w:rsidRPr="00736466">
        <w:rPr>
          <w:rFonts w:asciiTheme="majorBidi" w:hAnsiTheme="majorBidi" w:cstheme="majorBidi"/>
          <w:sz w:val="24"/>
          <w:szCs w:val="24"/>
        </w:rPr>
        <w:t>conjugatif, qui porte les gènes responsables de la synthèse des pili sexuels et du transfert des</w:t>
      </w:r>
      <w:r w:rsidR="00EA183F">
        <w:rPr>
          <w:rFonts w:asciiTheme="majorBidi" w:hAnsiTheme="majorBidi" w:cstheme="majorBidi"/>
          <w:sz w:val="24"/>
          <w:szCs w:val="24"/>
        </w:rPr>
        <w:t xml:space="preserve"> </w:t>
      </w:r>
      <w:r w:rsidRPr="00736466">
        <w:rPr>
          <w:rFonts w:asciiTheme="majorBidi" w:hAnsiTheme="majorBidi" w:cstheme="majorBidi"/>
          <w:sz w:val="24"/>
          <w:szCs w:val="24"/>
        </w:rPr>
        <w:t>gènes vers la réceptrice. Seules les bactéries possédant un plasmide conjugatif (ex: facteur F)</w:t>
      </w:r>
    </w:p>
    <w:p w:rsidR="0088426E" w:rsidRDefault="0088426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sont capables de donner des gènes.</w:t>
      </w:r>
    </w:p>
    <w:p w:rsidR="00D355C2" w:rsidRPr="00736466" w:rsidRDefault="00D355C2" w:rsidP="00CA15B4">
      <w:pPr>
        <w:autoSpaceDE w:val="0"/>
        <w:autoSpaceDN w:val="0"/>
        <w:adjustRightInd w:val="0"/>
        <w:spacing w:after="0" w:line="360" w:lineRule="auto"/>
        <w:jc w:val="both"/>
        <w:rPr>
          <w:rFonts w:asciiTheme="majorBidi" w:hAnsiTheme="majorBidi" w:cstheme="majorBidi"/>
          <w:sz w:val="24"/>
          <w:szCs w:val="24"/>
        </w:rPr>
      </w:pPr>
    </w:p>
    <w:p w:rsidR="0088426E" w:rsidRPr="00736466" w:rsidRDefault="0088426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b/>
          <w:bCs/>
          <w:sz w:val="24"/>
          <w:szCs w:val="24"/>
        </w:rPr>
        <w:t xml:space="preserve">1.2. Mécanisme de la conjugaison : </w:t>
      </w:r>
      <w:r w:rsidRPr="00736466">
        <w:rPr>
          <w:rFonts w:asciiTheme="majorBidi" w:hAnsiTheme="majorBidi" w:cstheme="majorBidi"/>
          <w:sz w:val="24"/>
          <w:szCs w:val="24"/>
        </w:rPr>
        <w:t>Quand on mélange des bactéries donatrices et des</w:t>
      </w:r>
      <w:r w:rsidR="00D355C2">
        <w:rPr>
          <w:rFonts w:asciiTheme="majorBidi" w:hAnsiTheme="majorBidi" w:cstheme="majorBidi"/>
          <w:sz w:val="24"/>
          <w:szCs w:val="24"/>
        </w:rPr>
        <w:t xml:space="preserve"> </w:t>
      </w:r>
      <w:r w:rsidRPr="00736466">
        <w:rPr>
          <w:rFonts w:asciiTheme="majorBidi" w:hAnsiTheme="majorBidi" w:cstheme="majorBidi"/>
          <w:sz w:val="24"/>
          <w:szCs w:val="24"/>
        </w:rPr>
        <w:t>bactéries réceptrices, le pili sexuel reconnaît des sites récepteurs pariétaux de la réceptrice et</w:t>
      </w:r>
      <w:r w:rsidR="00D355C2">
        <w:rPr>
          <w:rFonts w:asciiTheme="majorBidi" w:hAnsiTheme="majorBidi" w:cstheme="majorBidi"/>
          <w:sz w:val="24"/>
          <w:szCs w:val="24"/>
        </w:rPr>
        <w:t xml:space="preserve"> </w:t>
      </w:r>
      <w:r w:rsidRPr="00736466">
        <w:rPr>
          <w:rFonts w:asciiTheme="majorBidi" w:hAnsiTheme="majorBidi" w:cstheme="majorBidi"/>
          <w:sz w:val="24"/>
          <w:szCs w:val="24"/>
        </w:rPr>
        <w:t>s'y attache. Ensuite, il se rétracte pour mettre les bactéries en contact. Il se forme alors un pont</w:t>
      </w:r>
      <w:r w:rsidR="00D355C2">
        <w:rPr>
          <w:rFonts w:asciiTheme="majorBidi" w:hAnsiTheme="majorBidi" w:cstheme="majorBidi"/>
          <w:sz w:val="24"/>
          <w:szCs w:val="24"/>
        </w:rPr>
        <w:t xml:space="preserve"> </w:t>
      </w:r>
      <w:r w:rsidRPr="00736466">
        <w:rPr>
          <w:rFonts w:asciiTheme="majorBidi" w:hAnsiTheme="majorBidi" w:cstheme="majorBidi"/>
          <w:sz w:val="24"/>
          <w:szCs w:val="24"/>
        </w:rPr>
        <w:t>cytoplasmique par lequel se fait le transfert des gènes. Qu’un seul brin de l’ADN F est</w:t>
      </w:r>
      <w:r w:rsidR="00D355C2">
        <w:rPr>
          <w:rFonts w:asciiTheme="majorBidi" w:hAnsiTheme="majorBidi" w:cstheme="majorBidi"/>
          <w:sz w:val="24"/>
          <w:szCs w:val="24"/>
        </w:rPr>
        <w:t xml:space="preserve"> </w:t>
      </w:r>
      <w:r w:rsidRPr="00736466">
        <w:rPr>
          <w:rFonts w:asciiTheme="majorBidi" w:hAnsiTheme="majorBidi" w:cstheme="majorBidi"/>
          <w:sz w:val="24"/>
          <w:szCs w:val="24"/>
        </w:rPr>
        <w:t>transféré dans le cytoplasme de la cellule réceptrice où il va servir de matrice pour la synthèse</w:t>
      </w:r>
      <w:r w:rsidR="00D355C2">
        <w:rPr>
          <w:rFonts w:asciiTheme="majorBidi" w:hAnsiTheme="majorBidi" w:cstheme="majorBidi"/>
          <w:sz w:val="24"/>
          <w:szCs w:val="24"/>
        </w:rPr>
        <w:t xml:space="preserve"> </w:t>
      </w:r>
      <w:r w:rsidRPr="00736466">
        <w:rPr>
          <w:rFonts w:asciiTheme="majorBidi" w:hAnsiTheme="majorBidi" w:cstheme="majorBidi"/>
          <w:sz w:val="24"/>
          <w:szCs w:val="24"/>
        </w:rPr>
        <w:t>du second brin. L’autre brin d’ADN resté dans la cellule donneuse lui permettra de la même</w:t>
      </w:r>
      <w:r w:rsidR="00D355C2">
        <w:rPr>
          <w:rFonts w:asciiTheme="majorBidi" w:hAnsiTheme="majorBidi" w:cstheme="majorBidi"/>
          <w:sz w:val="24"/>
          <w:szCs w:val="24"/>
        </w:rPr>
        <w:t xml:space="preserve"> </w:t>
      </w:r>
      <w:r w:rsidRPr="00736466">
        <w:rPr>
          <w:rFonts w:asciiTheme="majorBidi" w:hAnsiTheme="majorBidi" w:cstheme="majorBidi"/>
          <w:sz w:val="24"/>
          <w:szCs w:val="24"/>
        </w:rPr>
        <w:t>façon de reconstituer par synthèse du brin complémentaire un facteur F fonctionnel.</w:t>
      </w:r>
    </w:p>
    <w:p w:rsidR="0088426E" w:rsidRDefault="0088426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Le facteur F peut rester libre dans le cytoplasme ou s'intégrer dans le chromosome bactérien</w:t>
      </w:r>
      <w:r w:rsidR="00D355C2">
        <w:rPr>
          <w:rFonts w:asciiTheme="majorBidi" w:hAnsiTheme="majorBidi" w:cstheme="majorBidi"/>
          <w:sz w:val="24"/>
          <w:szCs w:val="24"/>
        </w:rPr>
        <w:t xml:space="preserve"> </w:t>
      </w:r>
      <w:r w:rsidRPr="00736466">
        <w:rPr>
          <w:rFonts w:asciiTheme="majorBidi" w:hAnsiTheme="majorBidi" w:cstheme="majorBidi"/>
          <w:sz w:val="24"/>
          <w:szCs w:val="24"/>
        </w:rPr>
        <w:t>et se comporter par la suite comme une partie du chromosome (dans ce cas la bactérie est dite</w:t>
      </w:r>
      <w:r w:rsidR="00D355C2">
        <w:rPr>
          <w:rFonts w:asciiTheme="majorBidi" w:hAnsiTheme="majorBidi" w:cstheme="majorBidi"/>
          <w:sz w:val="24"/>
          <w:szCs w:val="24"/>
        </w:rPr>
        <w:t xml:space="preserve"> </w:t>
      </w:r>
      <w:r w:rsidRPr="00736466">
        <w:rPr>
          <w:rFonts w:asciiTheme="majorBidi" w:hAnsiTheme="majorBidi" w:cstheme="majorBidi"/>
          <w:sz w:val="24"/>
          <w:szCs w:val="24"/>
        </w:rPr>
        <w:t>Hfr pour Haute fréquence de recombinaison).</w:t>
      </w:r>
    </w:p>
    <w:p w:rsidR="00EA183F" w:rsidRDefault="00EA183F" w:rsidP="00CA15B4">
      <w:pPr>
        <w:autoSpaceDE w:val="0"/>
        <w:autoSpaceDN w:val="0"/>
        <w:adjustRightInd w:val="0"/>
        <w:spacing w:after="0" w:line="360" w:lineRule="auto"/>
        <w:jc w:val="both"/>
        <w:rPr>
          <w:rFonts w:asciiTheme="majorBidi" w:hAnsiTheme="majorBidi" w:cstheme="majorBidi"/>
          <w:sz w:val="24"/>
          <w:szCs w:val="24"/>
        </w:rPr>
      </w:pPr>
    </w:p>
    <w:p w:rsidR="00EA183F" w:rsidRPr="00736466" w:rsidRDefault="00EA183F" w:rsidP="00CA15B4">
      <w:pPr>
        <w:autoSpaceDE w:val="0"/>
        <w:autoSpaceDN w:val="0"/>
        <w:adjustRightInd w:val="0"/>
        <w:spacing w:after="0" w:line="360" w:lineRule="auto"/>
        <w:jc w:val="both"/>
        <w:rPr>
          <w:rFonts w:asciiTheme="majorBidi" w:hAnsiTheme="majorBidi" w:cstheme="majorBidi"/>
          <w:sz w:val="24"/>
          <w:szCs w:val="24"/>
        </w:rPr>
      </w:pPr>
    </w:p>
    <w:p w:rsidR="0088426E" w:rsidRDefault="0088426E" w:rsidP="00CA15B4">
      <w:pPr>
        <w:spacing w:before="100" w:beforeAutospacing="1" w:after="100" w:afterAutospacing="1" w:line="360" w:lineRule="auto"/>
        <w:jc w:val="both"/>
        <w:rPr>
          <w:rFonts w:asciiTheme="majorBidi" w:eastAsia="Times New Roman" w:hAnsiTheme="majorBidi" w:cstheme="majorBidi"/>
          <w:sz w:val="24"/>
          <w:szCs w:val="24"/>
          <w:lang w:eastAsia="fr-FR"/>
        </w:rPr>
      </w:pPr>
      <w:r w:rsidRPr="00736466">
        <w:rPr>
          <w:rFonts w:asciiTheme="majorBidi" w:eastAsia="Times New Roman" w:hAnsiTheme="majorBidi" w:cstheme="majorBidi"/>
          <w:noProof/>
          <w:sz w:val="24"/>
          <w:szCs w:val="24"/>
          <w:lang w:eastAsia="fr-FR"/>
        </w:rPr>
        <w:drawing>
          <wp:inline distT="0" distB="0" distL="0" distR="0">
            <wp:extent cx="5760720" cy="1755822"/>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5760720" cy="1755822"/>
                    </a:xfrm>
                    <a:prstGeom prst="rect">
                      <a:avLst/>
                    </a:prstGeom>
                    <a:noFill/>
                    <a:ln w="9525">
                      <a:noFill/>
                      <a:miter lim="800000"/>
                      <a:headEnd/>
                      <a:tailEnd/>
                    </a:ln>
                  </pic:spPr>
                </pic:pic>
              </a:graphicData>
            </a:graphic>
          </wp:inline>
        </w:drawing>
      </w:r>
    </w:p>
    <w:p w:rsidR="00D355C2" w:rsidRDefault="00D355C2" w:rsidP="00CA15B4">
      <w:pPr>
        <w:spacing w:before="100" w:beforeAutospacing="1" w:after="100" w:afterAutospacing="1" w:line="360" w:lineRule="auto"/>
        <w:jc w:val="both"/>
        <w:rPr>
          <w:rFonts w:asciiTheme="majorBidi" w:eastAsia="Times New Roman" w:hAnsiTheme="majorBidi" w:cstheme="majorBidi"/>
          <w:sz w:val="24"/>
          <w:szCs w:val="24"/>
          <w:lang w:eastAsia="fr-FR"/>
        </w:rPr>
      </w:pPr>
    </w:p>
    <w:p w:rsidR="00D355C2" w:rsidRPr="00C530B3" w:rsidRDefault="00C530B3" w:rsidP="00CA15B4">
      <w:pPr>
        <w:pStyle w:val="Paragraphedeliste"/>
        <w:spacing w:before="100" w:beforeAutospacing="1" w:after="100" w:afterAutospacing="1" w:line="36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 xml:space="preserve">Figure 02 : </w:t>
      </w:r>
      <w:r w:rsidR="00D355C2" w:rsidRPr="00C530B3">
        <w:rPr>
          <w:rFonts w:ascii="Times New Roman" w:hAnsi="Times New Roman" w:cs="Times New Roman"/>
          <w:sz w:val="24"/>
          <w:szCs w:val="24"/>
        </w:rPr>
        <w:t>Mécanisme de la conjugaison</w:t>
      </w:r>
    </w:p>
    <w:p w:rsidR="0088426E" w:rsidRDefault="0088426E" w:rsidP="00CA15B4">
      <w:pPr>
        <w:pStyle w:val="Paragraphedeliste"/>
        <w:spacing w:before="100" w:beforeAutospacing="1" w:after="100" w:afterAutospacing="1" w:line="360" w:lineRule="auto"/>
        <w:rPr>
          <w:rFonts w:asciiTheme="majorBidi" w:eastAsia="Times New Roman" w:hAnsiTheme="majorBidi" w:cstheme="majorBidi"/>
          <w:sz w:val="24"/>
          <w:szCs w:val="24"/>
          <w:lang w:eastAsia="fr-FR"/>
        </w:rPr>
      </w:pPr>
      <w:r w:rsidRPr="00736466">
        <w:rPr>
          <w:noProof/>
          <w:lang w:eastAsia="fr-FR"/>
        </w:rPr>
        <w:drawing>
          <wp:inline distT="0" distB="0" distL="0" distR="0">
            <wp:extent cx="4295775" cy="3434080"/>
            <wp:effectExtent l="19050" t="0" r="952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4295775" cy="3434080"/>
                    </a:xfrm>
                    <a:prstGeom prst="rect">
                      <a:avLst/>
                    </a:prstGeom>
                    <a:noFill/>
                    <a:ln w="9525">
                      <a:noFill/>
                      <a:miter lim="800000"/>
                      <a:headEnd/>
                      <a:tailEnd/>
                    </a:ln>
                  </pic:spPr>
                </pic:pic>
              </a:graphicData>
            </a:graphic>
          </wp:inline>
        </w:drawing>
      </w:r>
    </w:p>
    <w:p w:rsidR="00BE5562" w:rsidRDefault="00BE5562" w:rsidP="00CA15B4">
      <w:pPr>
        <w:pStyle w:val="Paragraphedeliste"/>
        <w:spacing w:before="100" w:beforeAutospacing="1" w:after="100" w:afterAutospacing="1" w:line="360" w:lineRule="auto"/>
        <w:rPr>
          <w:rFonts w:asciiTheme="majorBidi" w:eastAsia="Times New Roman" w:hAnsiTheme="majorBidi" w:cstheme="majorBidi"/>
          <w:sz w:val="24"/>
          <w:szCs w:val="24"/>
          <w:lang w:eastAsia="fr-FR"/>
        </w:rPr>
      </w:pPr>
    </w:p>
    <w:p w:rsidR="00D355C2" w:rsidRPr="00C530B3" w:rsidRDefault="00C530B3" w:rsidP="00CA15B4">
      <w:pPr>
        <w:spacing w:before="100" w:beforeAutospacing="1" w:after="100" w:afterAutospacing="1" w:line="360" w:lineRule="auto"/>
        <w:ind w:left="360"/>
        <w:jc w:val="center"/>
        <w:rPr>
          <w:rFonts w:ascii="Times New Roman" w:hAnsi="Times New Roman" w:cs="Times New Roman"/>
          <w:b/>
          <w:bCs/>
          <w:sz w:val="24"/>
          <w:szCs w:val="24"/>
        </w:rPr>
      </w:pPr>
      <w:r>
        <w:rPr>
          <w:rFonts w:ascii="Times New Roman" w:hAnsi="Times New Roman" w:cs="Times New Roman"/>
          <w:b/>
          <w:bCs/>
          <w:sz w:val="24"/>
          <w:szCs w:val="24"/>
        </w:rPr>
        <w:t xml:space="preserve">Figure 03 : </w:t>
      </w:r>
      <w:r w:rsidR="00D355C2" w:rsidRPr="00C530B3">
        <w:rPr>
          <w:rFonts w:ascii="Times New Roman" w:hAnsi="Times New Roman" w:cs="Times New Roman"/>
          <w:sz w:val="24"/>
          <w:szCs w:val="24"/>
        </w:rPr>
        <w:t>Intégration et excision du plasmide F</w:t>
      </w:r>
    </w:p>
    <w:p w:rsidR="00BE5562" w:rsidRDefault="00BE5562" w:rsidP="00CA15B4">
      <w:pPr>
        <w:spacing w:before="100" w:beforeAutospacing="1" w:after="100" w:afterAutospacing="1" w:line="360" w:lineRule="auto"/>
        <w:jc w:val="center"/>
        <w:rPr>
          <w:rFonts w:asciiTheme="majorBidi" w:eastAsia="Times New Roman" w:hAnsiTheme="majorBidi" w:cstheme="majorBidi"/>
          <w:sz w:val="24"/>
          <w:szCs w:val="24"/>
          <w:lang w:eastAsia="fr-FR"/>
        </w:rPr>
      </w:pPr>
    </w:p>
    <w:p w:rsidR="00BE5562" w:rsidRPr="00FC2C06" w:rsidRDefault="00596691" w:rsidP="00CA15B4">
      <w:pPr>
        <w:pStyle w:val="NormalWeb"/>
        <w:shd w:val="clear" w:color="auto" w:fill="FFFFFF"/>
        <w:spacing w:before="0" w:beforeAutospacing="0" w:after="204" w:afterAutospacing="0" w:line="360" w:lineRule="auto"/>
        <w:rPr>
          <w:rFonts w:asciiTheme="majorBidi" w:hAnsiTheme="majorBidi" w:cstheme="majorBidi"/>
          <w:color w:val="333333"/>
          <w:spacing w:val="3"/>
        </w:rPr>
      </w:pPr>
      <w:r w:rsidRPr="00FC2C06">
        <w:rPr>
          <w:rFonts w:asciiTheme="majorBidi" w:hAnsiTheme="majorBidi" w:cstheme="majorBidi"/>
          <w:color w:val="333333"/>
          <w:spacing w:val="3"/>
        </w:rPr>
        <w:t>C</w:t>
      </w:r>
      <w:r w:rsidR="00BE5562" w:rsidRPr="00FC2C06">
        <w:rPr>
          <w:rFonts w:asciiTheme="majorBidi" w:hAnsiTheme="majorBidi" w:cstheme="majorBidi"/>
          <w:color w:val="333333"/>
          <w:spacing w:val="3"/>
        </w:rPr>
        <w:t>es plasmides</w:t>
      </w:r>
      <w:r w:rsidR="00F54FAD" w:rsidRPr="00FC2C06">
        <w:rPr>
          <w:rFonts w:asciiTheme="majorBidi" w:hAnsiTheme="majorBidi" w:cstheme="majorBidi"/>
          <w:color w:val="333333"/>
          <w:spacing w:val="3"/>
        </w:rPr>
        <w:t xml:space="preserve"> con</w:t>
      </w:r>
      <w:r w:rsidR="00EA183F">
        <w:rPr>
          <w:rFonts w:asciiTheme="majorBidi" w:hAnsiTheme="majorBidi" w:cstheme="majorBidi"/>
          <w:color w:val="333333"/>
          <w:spacing w:val="3"/>
        </w:rPr>
        <w:t>j</w:t>
      </w:r>
      <w:r w:rsidR="004F3BD8">
        <w:rPr>
          <w:rFonts w:asciiTheme="majorBidi" w:hAnsiTheme="majorBidi" w:cstheme="majorBidi"/>
          <w:color w:val="333333"/>
          <w:spacing w:val="3"/>
        </w:rPr>
        <w:t>u</w:t>
      </w:r>
      <w:r w:rsidR="00F54FAD" w:rsidRPr="00FC2C06">
        <w:rPr>
          <w:rFonts w:asciiTheme="majorBidi" w:hAnsiTheme="majorBidi" w:cstheme="majorBidi"/>
          <w:color w:val="333333"/>
          <w:spacing w:val="3"/>
        </w:rPr>
        <w:t>gatifs</w:t>
      </w:r>
      <w:r w:rsidR="00BE5562" w:rsidRPr="00FC2C06">
        <w:rPr>
          <w:rFonts w:asciiTheme="majorBidi" w:hAnsiTheme="majorBidi" w:cstheme="majorBidi"/>
          <w:color w:val="333333"/>
          <w:spacing w:val="3"/>
        </w:rPr>
        <w:t xml:space="preserve"> ont la capacité de s'intégrer dans le chromosome bactérien par </w:t>
      </w:r>
      <w:r w:rsidR="00BE5562" w:rsidRPr="00FC2C06">
        <w:rPr>
          <w:rFonts w:asciiTheme="majorBidi" w:hAnsiTheme="majorBidi" w:cstheme="majorBidi"/>
          <w:b/>
          <w:bCs/>
          <w:color w:val="333333"/>
          <w:spacing w:val="3"/>
        </w:rPr>
        <w:t>recombinaison</w:t>
      </w:r>
      <w:r w:rsidR="00BE5562" w:rsidRPr="00FC2C06">
        <w:rPr>
          <w:rFonts w:asciiTheme="majorBidi" w:hAnsiTheme="majorBidi" w:cstheme="majorBidi"/>
          <w:color w:val="333333"/>
          <w:spacing w:val="3"/>
        </w:rPr>
        <w:t>, ce sont des </w:t>
      </w:r>
      <w:r w:rsidR="00BE5562" w:rsidRPr="00FC2C06">
        <w:rPr>
          <w:rStyle w:val="lev"/>
          <w:rFonts w:asciiTheme="majorBidi" w:hAnsiTheme="majorBidi" w:cstheme="majorBidi"/>
          <w:color w:val="333333"/>
          <w:spacing w:val="3"/>
        </w:rPr>
        <w:t>épisomes</w:t>
      </w:r>
      <w:r w:rsidR="00BE5562" w:rsidRPr="00FC2C06">
        <w:rPr>
          <w:rFonts w:asciiTheme="majorBidi" w:hAnsiTheme="majorBidi" w:cstheme="majorBidi"/>
          <w:color w:val="333333"/>
          <w:spacing w:val="3"/>
        </w:rPr>
        <w:t>.</w:t>
      </w:r>
      <w:r w:rsidRPr="00FC2C06">
        <w:rPr>
          <w:rFonts w:asciiTheme="majorBidi" w:hAnsiTheme="majorBidi" w:cstheme="majorBidi"/>
          <w:color w:val="333333"/>
          <w:spacing w:val="3"/>
        </w:rPr>
        <w:t xml:space="preserve"> </w:t>
      </w:r>
      <w:r w:rsidR="00BE5562" w:rsidRPr="00FC2C06">
        <w:rPr>
          <w:rFonts w:asciiTheme="majorBidi" w:hAnsiTheme="majorBidi" w:cstheme="majorBidi"/>
          <w:color w:val="333333"/>
          <w:spacing w:val="3"/>
        </w:rPr>
        <w:t>Les souches ayant un plasmide intégré ont toutes les caractéristiques de bactéries F</w:t>
      </w:r>
      <w:r w:rsidR="00BE5562" w:rsidRPr="00FC2C06">
        <w:rPr>
          <w:rFonts w:asciiTheme="majorBidi" w:hAnsiTheme="majorBidi" w:cstheme="majorBidi"/>
          <w:color w:val="333333"/>
          <w:spacing w:val="3"/>
          <w:vertAlign w:val="superscript"/>
        </w:rPr>
        <w:t>+</w:t>
      </w:r>
      <w:r w:rsidR="00BE5562" w:rsidRPr="00FC2C06">
        <w:rPr>
          <w:rFonts w:asciiTheme="majorBidi" w:hAnsiTheme="majorBidi" w:cstheme="majorBidi"/>
          <w:color w:val="333333"/>
          <w:spacing w:val="3"/>
        </w:rPr>
        <w:t> si ce n'est que lors du transfert de F vers une bactérie F</w:t>
      </w:r>
      <w:r w:rsidR="00BE5562" w:rsidRPr="00FC2C06">
        <w:rPr>
          <w:rFonts w:asciiTheme="majorBidi" w:hAnsiTheme="majorBidi" w:cstheme="majorBidi"/>
          <w:color w:val="333333"/>
          <w:spacing w:val="3"/>
          <w:vertAlign w:val="superscript"/>
        </w:rPr>
        <w:t>-</w:t>
      </w:r>
      <w:r w:rsidR="00BE5562" w:rsidRPr="00FC2C06">
        <w:rPr>
          <w:rFonts w:asciiTheme="majorBidi" w:hAnsiTheme="majorBidi" w:cstheme="majorBidi"/>
          <w:color w:val="333333"/>
          <w:spacing w:val="3"/>
        </w:rPr>
        <w:t>, ce transfert s'accompagne de celui de l'ADN du chromosome. Après cette conjugaison, il se produit une recombinaison dans la bactérie F</w:t>
      </w:r>
      <w:r w:rsidR="00BE5562" w:rsidRPr="00FC2C06">
        <w:rPr>
          <w:rFonts w:asciiTheme="majorBidi" w:hAnsiTheme="majorBidi" w:cstheme="majorBidi"/>
          <w:color w:val="333333"/>
          <w:spacing w:val="3"/>
          <w:vertAlign w:val="superscript"/>
        </w:rPr>
        <w:t>-</w:t>
      </w:r>
      <w:r w:rsidR="00BE5562" w:rsidRPr="00FC2C06">
        <w:rPr>
          <w:rFonts w:asciiTheme="majorBidi" w:hAnsiTheme="majorBidi" w:cstheme="majorBidi"/>
          <w:color w:val="333333"/>
          <w:spacing w:val="3"/>
        </w:rPr>
        <w:t xml:space="preserve"> entre l'ADN du chromosome </w:t>
      </w:r>
      <w:r w:rsidRPr="00FC2C06">
        <w:rPr>
          <w:rFonts w:asciiTheme="majorBidi" w:hAnsiTheme="majorBidi" w:cstheme="majorBidi"/>
          <w:color w:val="333333"/>
          <w:spacing w:val="3"/>
        </w:rPr>
        <w:t>et l'ADN nouvellement introduit.</w:t>
      </w:r>
    </w:p>
    <w:p w:rsidR="00AA2EFE" w:rsidRPr="00736466" w:rsidRDefault="00AA2EFE" w:rsidP="00CA15B4">
      <w:pPr>
        <w:autoSpaceDE w:val="0"/>
        <w:autoSpaceDN w:val="0"/>
        <w:adjustRightInd w:val="0"/>
        <w:spacing w:after="0" w:line="360" w:lineRule="auto"/>
        <w:jc w:val="both"/>
        <w:rPr>
          <w:rFonts w:asciiTheme="majorBidi" w:hAnsiTheme="majorBidi" w:cstheme="majorBidi"/>
          <w:b/>
          <w:bCs/>
          <w:sz w:val="24"/>
          <w:szCs w:val="24"/>
        </w:rPr>
      </w:pPr>
      <w:r w:rsidRPr="00736466">
        <w:rPr>
          <w:rFonts w:asciiTheme="majorBidi" w:hAnsiTheme="majorBidi" w:cstheme="majorBidi"/>
          <w:b/>
          <w:bCs/>
          <w:sz w:val="24"/>
          <w:szCs w:val="24"/>
        </w:rPr>
        <w:t>2. Transformation génétique :</w:t>
      </w:r>
    </w:p>
    <w:p w:rsidR="00AA2EFE" w:rsidRPr="00736466" w:rsidRDefault="00AA2EFE" w:rsidP="00CA15B4">
      <w:pPr>
        <w:autoSpaceDE w:val="0"/>
        <w:autoSpaceDN w:val="0"/>
        <w:adjustRightInd w:val="0"/>
        <w:spacing w:after="0" w:line="360" w:lineRule="auto"/>
        <w:jc w:val="both"/>
        <w:rPr>
          <w:rFonts w:asciiTheme="majorBidi" w:hAnsiTheme="majorBidi" w:cstheme="majorBidi"/>
          <w:b/>
          <w:bCs/>
          <w:sz w:val="24"/>
          <w:szCs w:val="24"/>
        </w:rPr>
      </w:pPr>
      <w:r w:rsidRPr="00736466">
        <w:rPr>
          <w:rFonts w:asciiTheme="majorBidi" w:hAnsiTheme="majorBidi" w:cstheme="majorBidi"/>
          <w:b/>
          <w:bCs/>
          <w:sz w:val="24"/>
          <w:szCs w:val="24"/>
        </w:rPr>
        <w:t>2.1. Mise en évidence de la transformation (Expérience de Griffith (1928)) :</w:t>
      </w:r>
    </w:p>
    <w:p w:rsidR="00AA2EFE" w:rsidRPr="00736466" w:rsidRDefault="00AA2EF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 xml:space="preserve">Griffith décrit deux souches de pneumocoques </w:t>
      </w:r>
      <w:r w:rsidRPr="00736466">
        <w:rPr>
          <w:rFonts w:asciiTheme="majorBidi" w:hAnsiTheme="majorBidi" w:cstheme="majorBidi"/>
          <w:i/>
          <w:iCs/>
          <w:sz w:val="24"/>
          <w:szCs w:val="24"/>
        </w:rPr>
        <w:t xml:space="preserve">Diplococcus pneumomiae </w:t>
      </w:r>
      <w:r w:rsidRPr="00736466">
        <w:rPr>
          <w:rFonts w:asciiTheme="majorBidi" w:hAnsiTheme="majorBidi" w:cstheme="majorBidi"/>
          <w:sz w:val="24"/>
          <w:szCs w:val="24"/>
        </w:rPr>
        <w:t>: la souche R</w:t>
      </w:r>
      <w:r w:rsidR="00D718D1">
        <w:rPr>
          <w:rFonts w:asciiTheme="majorBidi" w:hAnsiTheme="majorBidi" w:cstheme="majorBidi"/>
          <w:sz w:val="24"/>
          <w:szCs w:val="24"/>
        </w:rPr>
        <w:t xml:space="preserve"> </w:t>
      </w:r>
      <w:r w:rsidRPr="00736466">
        <w:rPr>
          <w:rFonts w:asciiTheme="majorBidi" w:hAnsiTheme="majorBidi" w:cstheme="majorBidi"/>
          <w:sz w:val="24"/>
          <w:szCs w:val="24"/>
        </w:rPr>
        <w:t>(rough, car lorsque cette souche est cultivée sur milieu de culture artificiel, les colonies</w:t>
      </w:r>
      <w:r w:rsidR="00D718D1">
        <w:rPr>
          <w:rFonts w:asciiTheme="majorBidi" w:hAnsiTheme="majorBidi" w:cstheme="majorBidi"/>
          <w:sz w:val="24"/>
          <w:szCs w:val="24"/>
        </w:rPr>
        <w:t xml:space="preserve"> </w:t>
      </w:r>
      <w:r w:rsidRPr="00736466">
        <w:rPr>
          <w:rFonts w:asciiTheme="majorBidi" w:hAnsiTheme="majorBidi" w:cstheme="majorBidi"/>
          <w:sz w:val="24"/>
          <w:szCs w:val="24"/>
        </w:rPr>
        <w:t>obtenues ont un aspect rugueux) et la souche S (smooth, car les colonies ont au contraire un</w:t>
      </w:r>
      <w:r w:rsidR="00D718D1">
        <w:rPr>
          <w:rFonts w:asciiTheme="majorBidi" w:hAnsiTheme="majorBidi" w:cstheme="majorBidi"/>
          <w:sz w:val="24"/>
          <w:szCs w:val="24"/>
        </w:rPr>
        <w:t xml:space="preserve"> </w:t>
      </w:r>
      <w:r w:rsidRPr="00736466">
        <w:rPr>
          <w:rFonts w:asciiTheme="majorBidi" w:hAnsiTheme="majorBidi" w:cstheme="majorBidi"/>
          <w:sz w:val="24"/>
          <w:szCs w:val="24"/>
        </w:rPr>
        <w:t>aspect lisse). La souche S doit son aspect à une capsule polysaccharidique qu'elle synthétise</w:t>
      </w:r>
      <w:r w:rsidR="00D718D1">
        <w:rPr>
          <w:rFonts w:asciiTheme="majorBidi" w:hAnsiTheme="majorBidi" w:cstheme="majorBidi"/>
          <w:sz w:val="24"/>
          <w:szCs w:val="24"/>
        </w:rPr>
        <w:t xml:space="preserve"> </w:t>
      </w:r>
      <w:r w:rsidRPr="00736466">
        <w:rPr>
          <w:rFonts w:asciiTheme="majorBidi" w:hAnsiTheme="majorBidi" w:cstheme="majorBidi"/>
          <w:sz w:val="24"/>
          <w:szCs w:val="24"/>
        </w:rPr>
        <w:t>autour d'elle. Cette souche est mortelle pour la souris lorsqu'elle lui est injectée. A l'inverse, la</w:t>
      </w:r>
      <w:r w:rsidR="00D718D1">
        <w:rPr>
          <w:rFonts w:asciiTheme="majorBidi" w:hAnsiTheme="majorBidi" w:cstheme="majorBidi"/>
          <w:sz w:val="24"/>
          <w:szCs w:val="24"/>
        </w:rPr>
        <w:t xml:space="preserve"> </w:t>
      </w:r>
      <w:r w:rsidRPr="00736466">
        <w:rPr>
          <w:rFonts w:asciiTheme="majorBidi" w:hAnsiTheme="majorBidi" w:cstheme="majorBidi"/>
          <w:sz w:val="24"/>
          <w:szCs w:val="24"/>
        </w:rPr>
        <w:lastRenderedPageBreak/>
        <w:t>souche R ne synthétise pas une telle capsule, et elle n'est pas nocive lorsqu'elle est injectée à</w:t>
      </w:r>
      <w:r w:rsidR="00D718D1">
        <w:rPr>
          <w:rFonts w:asciiTheme="majorBidi" w:hAnsiTheme="majorBidi" w:cstheme="majorBidi"/>
          <w:sz w:val="24"/>
          <w:szCs w:val="24"/>
        </w:rPr>
        <w:t xml:space="preserve"> </w:t>
      </w:r>
      <w:r w:rsidRPr="00736466">
        <w:rPr>
          <w:rFonts w:asciiTheme="majorBidi" w:hAnsiTheme="majorBidi" w:cstheme="majorBidi"/>
          <w:sz w:val="24"/>
          <w:szCs w:val="24"/>
        </w:rPr>
        <w:t>une souris. On sait aujourd'hui que cette différence entre les deux souches est due à une</w:t>
      </w:r>
      <w:r w:rsidR="00D718D1">
        <w:rPr>
          <w:rFonts w:asciiTheme="majorBidi" w:hAnsiTheme="majorBidi" w:cstheme="majorBidi"/>
          <w:sz w:val="24"/>
          <w:szCs w:val="24"/>
        </w:rPr>
        <w:t xml:space="preserve"> </w:t>
      </w:r>
      <w:r w:rsidRPr="00736466">
        <w:rPr>
          <w:rFonts w:asciiTheme="majorBidi" w:hAnsiTheme="majorBidi" w:cstheme="majorBidi"/>
          <w:sz w:val="24"/>
          <w:szCs w:val="24"/>
        </w:rPr>
        <w:t>mutation, chez la bactérie R, du gène codant l'enzyme responsable de la synthèse de la</w:t>
      </w:r>
      <w:r w:rsidR="00D718D1">
        <w:rPr>
          <w:rFonts w:asciiTheme="majorBidi" w:hAnsiTheme="majorBidi" w:cstheme="majorBidi"/>
          <w:sz w:val="24"/>
          <w:szCs w:val="24"/>
        </w:rPr>
        <w:t xml:space="preserve"> </w:t>
      </w:r>
      <w:r w:rsidRPr="00736466">
        <w:rPr>
          <w:rFonts w:asciiTheme="majorBidi" w:hAnsiTheme="majorBidi" w:cstheme="majorBidi"/>
          <w:sz w:val="24"/>
          <w:szCs w:val="24"/>
        </w:rPr>
        <w:t>capsule. Griffith observe tout d'abord que l'injection de bactéries S, si elles ont été</w:t>
      </w:r>
      <w:r w:rsidR="00D718D1">
        <w:rPr>
          <w:rFonts w:asciiTheme="majorBidi" w:hAnsiTheme="majorBidi" w:cstheme="majorBidi"/>
          <w:sz w:val="24"/>
          <w:szCs w:val="24"/>
        </w:rPr>
        <w:t xml:space="preserve"> </w:t>
      </w:r>
      <w:r w:rsidRPr="00736466">
        <w:rPr>
          <w:rFonts w:asciiTheme="majorBidi" w:hAnsiTheme="majorBidi" w:cstheme="majorBidi"/>
          <w:sz w:val="24"/>
          <w:szCs w:val="24"/>
        </w:rPr>
        <w:t>préalablement tuées par la chaleur, n'est plus létale pour la souris. Pour une raison qui nous est</w:t>
      </w:r>
      <w:r w:rsidR="00D718D1">
        <w:rPr>
          <w:rFonts w:asciiTheme="majorBidi" w:hAnsiTheme="majorBidi" w:cstheme="majorBidi"/>
          <w:sz w:val="24"/>
          <w:szCs w:val="24"/>
        </w:rPr>
        <w:t xml:space="preserve"> </w:t>
      </w:r>
      <w:r w:rsidRPr="00736466">
        <w:rPr>
          <w:rFonts w:asciiTheme="majorBidi" w:hAnsiTheme="majorBidi" w:cstheme="majorBidi"/>
          <w:sz w:val="24"/>
          <w:szCs w:val="24"/>
        </w:rPr>
        <w:t>toujours inconnue, Griffith décide alors d'injecter conjointement des bactéries S chauffées</w:t>
      </w:r>
      <w:r w:rsidR="00D718D1">
        <w:rPr>
          <w:rFonts w:asciiTheme="majorBidi" w:hAnsiTheme="majorBidi" w:cstheme="majorBidi"/>
          <w:sz w:val="24"/>
          <w:szCs w:val="24"/>
        </w:rPr>
        <w:t xml:space="preserve"> </w:t>
      </w:r>
      <w:r w:rsidRPr="00736466">
        <w:rPr>
          <w:rFonts w:asciiTheme="majorBidi" w:hAnsiTheme="majorBidi" w:cstheme="majorBidi"/>
          <w:sz w:val="24"/>
          <w:szCs w:val="24"/>
        </w:rPr>
        <w:t>mélangées à des bactéries R vivantes. Cette fois, les souris meurent de septicémie. Les</w:t>
      </w:r>
      <w:r w:rsidR="00D718D1">
        <w:rPr>
          <w:rFonts w:asciiTheme="majorBidi" w:hAnsiTheme="majorBidi" w:cstheme="majorBidi"/>
          <w:sz w:val="24"/>
          <w:szCs w:val="24"/>
        </w:rPr>
        <w:t xml:space="preserve"> </w:t>
      </w:r>
      <w:r w:rsidRPr="00736466">
        <w:rPr>
          <w:rFonts w:asciiTheme="majorBidi" w:hAnsiTheme="majorBidi" w:cstheme="majorBidi"/>
          <w:sz w:val="24"/>
          <w:szCs w:val="24"/>
        </w:rPr>
        <w:t>bactéries R, au contact des bactéries S tuées, ont donc acquis un caractère pathogène qu'elles</w:t>
      </w:r>
      <w:r w:rsidR="00D718D1">
        <w:rPr>
          <w:rFonts w:asciiTheme="majorBidi" w:hAnsiTheme="majorBidi" w:cstheme="majorBidi"/>
          <w:sz w:val="24"/>
          <w:szCs w:val="24"/>
        </w:rPr>
        <w:t xml:space="preserve"> </w:t>
      </w:r>
      <w:r w:rsidRPr="00736466">
        <w:rPr>
          <w:rFonts w:asciiTheme="majorBidi" w:hAnsiTheme="majorBidi" w:cstheme="majorBidi"/>
          <w:sz w:val="24"/>
          <w:szCs w:val="24"/>
        </w:rPr>
        <w:t>ne possédaient pas précédemment. Ce phénomène a été appelé transformation bactérienne.</w:t>
      </w:r>
    </w:p>
    <w:p w:rsidR="00AA2EFE" w:rsidRPr="00736466" w:rsidRDefault="00AA2EFE" w:rsidP="00CA15B4">
      <w:pPr>
        <w:spacing w:before="100" w:beforeAutospacing="1" w:after="100" w:afterAutospacing="1" w:line="360" w:lineRule="auto"/>
        <w:jc w:val="both"/>
        <w:rPr>
          <w:rFonts w:asciiTheme="majorBidi" w:eastAsia="Times New Roman" w:hAnsiTheme="majorBidi" w:cstheme="majorBidi"/>
          <w:sz w:val="24"/>
          <w:szCs w:val="24"/>
          <w:lang w:eastAsia="fr-FR"/>
        </w:rPr>
      </w:pPr>
      <w:r w:rsidRPr="00736466">
        <w:rPr>
          <w:rFonts w:asciiTheme="majorBidi" w:eastAsia="Times New Roman" w:hAnsiTheme="majorBidi" w:cstheme="majorBidi"/>
          <w:noProof/>
          <w:sz w:val="24"/>
          <w:szCs w:val="24"/>
          <w:lang w:eastAsia="fr-FR"/>
        </w:rPr>
        <w:drawing>
          <wp:inline distT="0" distB="0" distL="0" distR="0">
            <wp:extent cx="5592445" cy="3891280"/>
            <wp:effectExtent l="19050" t="0" r="825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a:stretch>
                      <a:fillRect/>
                    </a:stretch>
                  </pic:blipFill>
                  <pic:spPr bwMode="auto">
                    <a:xfrm>
                      <a:off x="0" y="0"/>
                      <a:ext cx="5592445" cy="3891280"/>
                    </a:xfrm>
                    <a:prstGeom prst="rect">
                      <a:avLst/>
                    </a:prstGeom>
                    <a:noFill/>
                    <a:ln w="9525">
                      <a:noFill/>
                      <a:miter lim="800000"/>
                      <a:headEnd/>
                      <a:tailEnd/>
                    </a:ln>
                  </pic:spPr>
                </pic:pic>
              </a:graphicData>
            </a:graphic>
          </wp:inline>
        </w:drawing>
      </w:r>
    </w:p>
    <w:p w:rsidR="00AA2EFE" w:rsidRPr="00C530B3" w:rsidRDefault="00D718D1" w:rsidP="00CA15B4">
      <w:pPr>
        <w:spacing w:before="100" w:beforeAutospacing="1" w:after="100" w:afterAutospacing="1" w:line="360" w:lineRule="auto"/>
        <w:jc w:val="center"/>
        <w:rPr>
          <w:rFonts w:asciiTheme="majorBidi" w:hAnsiTheme="majorBidi" w:cstheme="majorBidi"/>
          <w:sz w:val="24"/>
          <w:szCs w:val="24"/>
        </w:rPr>
      </w:pPr>
      <w:r>
        <w:rPr>
          <w:rFonts w:asciiTheme="majorBidi" w:hAnsiTheme="majorBidi" w:cstheme="majorBidi"/>
          <w:b/>
          <w:bCs/>
          <w:sz w:val="24"/>
          <w:szCs w:val="24"/>
        </w:rPr>
        <w:t>Figure 0</w:t>
      </w:r>
      <w:r w:rsidR="00C530B3">
        <w:rPr>
          <w:rFonts w:asciiTheme="majorBidi" w:hAnsiTheme="majorBidi" w:cstheme="majorBidi"/>
          <w:b/>
          <w:bCs/>
          <w:sz w:val="24"/>
          <w:szCs w:val="24"/>
        </w:rPr>
        <w:t>4</w:t>
      </w:r>
      <w:r w:rsidR="00AA2EFE" w:rsidRPr="00736466">
        <w:rPr>
          <w:rFonts w:asciiTheme="majorBidi" w:hAnsiTheme="majorBidi" w:cstheme="majorBidi"/>
          <w:b/>
          <w:bCs/>
          <w:sz w:val="24"/>
          <w:szCs w:val="24"/>
        </w:rPr>
        <w:t xml:space="preserve">: </w:t>
      </w:r>
      <w:r w:rsidR="00AA2EFE" w:rsidRPr="00C530B3">
        <w:rPr>
          <w:rFonts w:asciiTheme="majorBidi" w:hAnsiTheme="majorBidi" w:cstheme="majorBidi"/>
          <w:sz w:val="24"/>
          <w:szCs w:val="24"/>
        </w:rPr>
        <w:t xml:space="preserve">Expérience de Griffith (Griffith et </w:t>
      </w:r>
      <w:r w:rsidR="00AA2EFE" w:rsidRPr="00C530B3">
        <w:rPr>
          <w:rFonts w:asciiTheme="majorBidi" w:hAnsiTheme="majorBidi" w:cstheme="majorBidi"/>
          <w:i/>
          <w:iCs/>
          <w:sz w:val="24"/>
          <w:szCs w:val="24"/>
        </w:rPr>
        <w:t>al</w:t>
      </w:r>
      <w:r w:rsidR="00AA2EFE" w:rsidRPr="00C530B3">
        <w:rPr>
          <w:rFonts w:asciiTheme="majorBidi" w:hAnsiTheme="majorBidi" w:cstheme="majorBidi"/>
          <w:sz w:val="24"/>
          <w:szCs w:val="24"/>
        </w:rPr>
        <w:t>., 2013).</w:t>
      </w:r>
    </w:p>
    <w:p w:rsidR="00AA2EFE" w:rsidRPr="00736466" w:rsidRDefault="00AA2EF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 xml:space="preserve"> </w:t>
      </w:r>
      <w:r w:rsidRPr="00D718D1">
        <w:rPr>
          <w:rFonts w:asciiTheme="majorBidi" w:hAnsiTheme="majorBidi" w:cstheme="majorBidi"/>
          <w:b/>
          <w:bCs/>
          <w:sz w:val="24"/>
          <w:szCs w:val="24"/>
        </w:rPr>
        <w:t>La transformation</w:t>
      </w:r>
      <w:r w:rsidRPr="00736466">
        <w:rPr>
          <w:rFonts w:asciiTheme="majorBidi" w:hAnsiTheme="majorBidi" w:cstheme="majorBidi"/>
          <w:sz w:val="24"/>
          <w:szCs w:val="24"/>
        </w:rPr>
        <w:t xml:space="preserve"> est le transfert de gènes résultant de l’absorption d’ADN</w:t>
      </w:r>
      <w:r w:rsidR="00D718D1">
        <w:rPr>
          <w:rFonts w:asciiTheme="majorBidi" w:hAnsiTheme="majorBidi" w:cstheme="majorBidi"/>
          <w:sz w:val="24"/>
          <w:szCs w:val="24"/>
        </w:rPr>
        <w:t xml:space="preserve"> </w:t>
      </w:r>
      <w:r w:rsidRPr="00736466">
        <w:rPr>
          <w:rFonts w:asciiTheme="majorBidi" w:hAnsiTheme="majorBidi" w:cstheme="majorBidi"/>
          <w:sz w:val="24"/>
          <w:szCs w:val="24"/>
        </w:rPr>
        <w:t>nu par une cellule receveuse à partir d’une cellule donneuse. Certaines bactéries (ex :</w:t>
      </w:r>
      <w:r w:rsidR="00D718D1">
        <w:rPr>
          <w:rFonts w:asciiTheme="majorBidi" w:hAnsiTheme="majorBidi" w:cstheme="majorBidi"/>
          <w:sz w:val="24"/>
          <w:szCs w:val="24"/>
        </w:rPr>
        <w:t xml:space="preserve"> </w:t>
      </w:r>
      <w:r w:rsidRPr="00736466">
        <w:rPr>
          <w:rFonts w:asciiTheme="majorBidi" w:hAnsiTheme="majorBidi" w:cstheme="majorBidi"/>
          <w:i/>
          <w:iCs/>
          <w:sz w:val="24"/>
          <w:szCs w:val="24"/>
        </w:rPr>
        <w:t>Bacillus, Haemophilus, Neisseria, Pneumococcus</w:t>
      </w:r>
      <w:r w:rsidRPr="00736466">
        <w:rPr>
          <w:rFonts w:asciiTheme="majorBidi" w:hAnsiTheme="majorBidi" w:cstheme="majorBidi"/>
          <w:sz w:val="24"/>
          <w:szCs w:val="24"/>
        </w:rPr>
        <w:t>) peuvent absorber de l’ADN à partir de</w:t>
      </w:r>
      <w:r w:rsidR="00D718D1">
        <w:rPr>
          <w:rFonts w:asciiTheme="majorBidi" w:hAnsiTheme="majorBidi" w:cstheme="majorBidi"/>
          <w:sz w:val="24"/>
          <w:szCs w:val="24"/>
        </w:rPr>
        <w:t xml:space="preserve">  </w:t>
      </w:r>
      <w:r w:rsidRPr="00736466">
        <w:rPr>
          <w:rFonts w:asciiTheme="majorBidi" w:hAnsiTheme="majorBidi" w:cstheme="majorBidi"/>
          <w:sz w:val="24"/>
          <w:szCs w:val="24"/>
        </w:rPr>
        <w:t>l’environnement et l’ADN absorbé peut être incorporé dans le chromosome du receveur.</w:t>
      </w:r>
    </w:p>
    <w:p w:rsidR="00AA2EFE" w:rsidRDefault="00AA2EF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lastRenderedPageBreak/>
        <w:t>L'introduction de l'ADN se fait sans aucune aide extérieure ni phage, ni système spécifique de</w:t>
      </w:r>
      <w:r w:rsidR="00D718D1">
        <w:rPr>
          <w:rFonts w:asciiTheme="majorBidi" w:hAnsiTheme="majorBidi" w:cstheme="majorBidi"/>
          <w:sz w:val="24"/>
          <w:szCs w:val="24"/>
        </w:rPr>
        <w:t xml:space="preserve"> </w:t>
      </w:r>
      <w:r w:rsidRPr="00736466">
        <w:rPr>
          <w:rFonts w:asciiTheme="majorBidi" w:hAnsiTheme="majorBidi" w:cstheme="majorBidi"/>
          <w:sz w:val="24"/>
          <w:szCs w:val="24"/>
        </w:rPr>
        <w:t>transfert. La bactérie donatrice est le plus souvent de même espèce que la bactérie réceptrice,</w:t>
      </w:r>
      <w:r w:rsidR="00D718D1">
        <w:rPr>
          <w:rFonts w:asciiTheme="majorBidi" w:hAnsiTheme="majorBidi" w:cstheme="majorBidi"/>
          <w:sz w:val="24"/>
          <w:szCs w:val="24"/>
        </w:rPr>
        <w:t xml:space="preserve"> </w:t>
      </w:r>
      <w:r w:rsidRPr="00736466">
        <w:rPr>
          <w:rFonts w:asciiTheme="majorBidi" w:hAnsiTheme="majorBidi" w:cstheme="majorBidi"/>
          <w:sz w:val="24"/>
          <w:szCs w:val="24"/>
        </w:rPr>
        <w:t>la réceptrice n'est réceptrice que pendant un temps donné (compétence due à des facteurs de</w:t>
      </w:r>
      <w:r w:rsidR="00D718D1">
        <w:rPr>
          <w:rFonts w:asciiTheme="majorBidi" w:hAnsiTheme="majorBidi" w:cstheme="majorBidi"/>
          <w:sz w:val="24"/>
          <w:szCs w:val="24"/>
        </w:rPr>
        <w:t xml:space="preserve"> compétence protéiques). </w:t>
      </w:r>
    </w:p>
    <w:p w:rsidR="00D718D1" w:rsidRPr="00736466" w:rsidRDefault="00D718D1" w:rsidP="00CA15B4">
      <w:pPr>
        <w:autoSpaceDE w:val="0"/>
        <w:autoSpaceDN w:val="0"/>
        <w:adjustRightInd w:val="0"/>
        <w:spacing w:after="0" w:line="360" w:lineRule="auto"/>
        <w:jc w:val="both"/>
        <w:rPr>
          <w:rFonts w:asciiTheme="majorBidi" w:hAnsiTheme="majorBidi" w:cstheme="majorBidi"/>
          <w:sz w:val="24"/>
          <w:szCs w:val="24"/>
        </w:rPr>
      </w:pPr>
    </w:p>
    <w:p w:rsidR="00AA2EFE" w:rsidRPr="00736466" w:rsidRDefault="00AA2EF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b/>
          <w:bCs/>
          <w:sz w:val="24"/>
          <w:szCs w:val="24"/>
        </w:rPr>
        <w:t>2.</w:t>
      </w:r>
      <w:r w:rsidR="00D718D1">
        <w:rPr>
          <w:rFonts w:asciiTheme="majorBidi" w:hAnsiTheme="majorBidi" w:cstheme="majorBidi"/>
          <w:b/>
          <w:bCs/>
          <w:sz w:val="24"/>
          <w:szCs w:val="24"/>
        </w:rPr>
        <w:t>2</w:t>
      </w:r>
      <w:r w:rsidRPr="00736466">
        <w:rPr>
          <w:rFonts w:asciiTheme="majorBidi" w:hAnsiTheme="majorBidi" w:cstheme="majorBidi"/>
          <w:b/>
          <w:bCs/>
          <w:sz w:val="24"/>
          <w:szCs w:val="24"/>
        </w:rPr>
        <w:t xml:space="preserve">. Mécanisme de la transformation : </w:t>
      </w:r>
      <w:r w:rsidRPr="00736466">
        <w:rPr>
          <w:rFonts w:asciiTheme="majorBidi" w:hAnsiTheme="majorBidi" w:cstheme="majorBidi"/>
          <w:sz w:val="24"/>
          <w:szCs w:val="24"/>
        </w:rPr>
        <w:t>elle s’effectue selon les étapes suivantes :</w:t>
      </w:r>
    </w:p>
    <w:p w:rsidR="00AA2EFE" w:rsidRDefault="00AA2EFE" w:rsidP="00CA15B4">
      <w:pPr>
        <w:pStyle w:val="Paragraphedeliste"/>
        <w:numPr>
          <w:ilvl w:val="0"/>
          <w:numId w:val="5"/>
        </w:numPr>
        <w:autoSpaceDE w:val="0"/>
        <w:autoSpaceDN w:val="0"/>
        <w:adjustRightInd w:val="0"/>
        <w:spacing w:after="0" w:line="360" w:lineRule="auto"/>
        <w:jc w:val="both"/>
        <w:rPr>
          <w:rFonts w:asciiTheme="majorBidi" w:hAnsiTheme="majorBidi" w:cstheme="majorBidi"/>
          <w:sz w:val="24"/>
          <w:szCs w:val="24"/>
        </w:rPr>
      </w:pPr>
      <w:r w:rsidRPr="00D718D1">
        <w:rPr>
          <w:rFonts w:asciiTheme="majorBidi" w:hAnsiTheme="majorBidi" w:cstheme="majorBidi"/>
          <w:sz w:val="24"/>
          <w:szCs w:val="24"/>
        </w:rPr>
        <w:t>Fixation covalente de l’ADN à un complexe protéique membranaire : le "Transformasome"</w:t>
      </w:r>
    </w:p>
    <w:p w:rsidR="00AA2EFE" w:rsidRPr="00D718D1" w:rsidRDefault="00AA2EFE" w:rsidP="00CA15B4">
      <w:pPr>
        <w:pStyle w:val="Paragraphedeliste"/>
        <w:numPr>
          <w:ilvl w:val="0"/>
          <w:numId w:val="5"/>
        </w:numPr>
        <w:autoSpaceDE w:val="0"/>
        <w:autoSpaceDN w:val="0"/>
        <w:adjustRightInd w:val="0"/>
        <w:spacing w:after="0" w:line="360" w:lineRule="auto"/>
        <w:jc w:val="both"/>
        <w:rPr>
          <w:rFonts w:asciiTheme="majorBidi" w:hAnsiTheme="majorBidi" w:cstheme="majorBidi"/>
          <w:sz w:val="24"/>
          <w:szCs w:val="24"/>
        </w:rPr>
      </w:pPr>
      <w:r w:rsidRPr="00D718D1">
        <w:rPr>
          <w:rFonts w:asciiTheme="majorBidi" w:hAnsiTheme="majorBidi" w:cstheme="majorBidi"/>
          <w:sz w:val="24"/>
          <w:szCs w:val="24"/>
        </w:rPr>
        <w:t>Absorption de l’ADN : L’absorption d’ADN diffère pour les bactéries en fonction qu’elles</w:t>
      </w:r>
      <w:r w:rsidR="00D718D1" w:rsidRPr="00D718D1">
        <w:rPr>
          <w:rFonts w:asciiTheme="majorBidi" w:hAnsiTheme="majorBidi" w:cstheme="majorBidi"/>
          <w:sz w:val="24"/>
          <w:szCs w:val="24"/>
        </w:rPr>
        <w:t xml:space="preserve"> </w:t>
      </w:r>
      <w:r w:rsidRPr="00D718D1">
        <w:rPr>
          <w:rFonts w:asciiTheme="majorBidi" w:hAnsiTheme="majorBidi" w:cstheme="majorBidi"/>
          <w:sz w:val="24"/>
          <w:szCs w:val="24"/>
        </w:rPr>
        <w:t>soient Gram + ou Gram -. Dans les bactéries Gram+ l’ADN est absorbé sous la forme d’une</w:t>
      </w:r>
      <w:r w:rsidR="00D718D1" w:rsidRPr="00D718D1">
        <w:rPr>
          <w:rFonts w:asciiTheme="majorBidi" w:hAnsiTheme="majorBidi" w:cstheme="majorBidi"/>
          <w:sz w:val="24"/>
          <w:szCs w:val="24"/>
        </w:rPr>
        <w:t xml:space="preserve"> </w:t>
      </w:r>
      <w:r w:rsidRPr="00D718D1">
        <w:rPr>
          <w:rFonts w:asciiTheme="majorBidi" w:hAnsiTheme="majorBidi" w:cstheme="majorBidi"/>
          <w:sz w:val="24"/>
          <w:szCs w:val="24"/>
        </w:rPr>
        <w:t>molécule simple brin et le brin complémentaire est fabriqué chez le receveur. Par contraste,</w:t>
      </w:r>
      <w:r w:rsidR="00D718D1">
        <w:rPr>
          <w:rFonts w:asciiTheme="majorBidi" w:hAnsiTheme="majorBidi" w:cstheme="majorBidi"/>
          <w:sz w:val="24"/>
          <w:szCs w:val="24"/>
        </w:rPr>
        <w:t xml:space="preserve"> </w:t>
      </w:r>
      <w:r w:rsidRPr="00D718D1">
        <w:rPr>
          <w:rFonts w:asciiTheme="majorBidi" w:hAnsiTheme="majorBidi" w:cstheme="majorBidi"/>
          <w:sz w:val="24"/>
          <w:szCs w:val="24"/>
        </w:rPr>
        <w:t>les bactéries Gram – absorbent l’ADN sous forme de double brin.</w:t>
      </w:r>
    </w:p>
    <w:p w:rsidR="00AA2EFE" w:rsidRDefault="00AA2EFE" w:rsidP="00CA15B4">
      <w:pPr>
        <w:pStyle w:val="Paragraphedeliste"/>
        <w:numPr>
          <w:ilvl w:val="0"/>
          <w:numId w:val="6"/>
        </w:numPr>
        <w:autoSpaceDE w:val="0"/>
        <w:autoSpaceDN w:val="0"/>
        <w:adjustRightInd w:val="0"/>
        <w:spacing w:after="0" w:line="360" w:lineRule="auto"/>
        <w:jc w:val="both"/>
        <w:rPr>
          <w:rFonts w:asciiTheme="majorBidi" w:hAnsiTheme="majorBidi" w:cstheme="majorBidi"/>
          <w:sz w:val="24"/>
          <w:szCs w:val="24"/>
        </w:rPr>
      </w:pPr>
      <w:r w:rsidRPr="00D718D1">
        <w:rPr>
          <w:rFonts w:asciiTheme="majorBidi" w:hAnsiTheme="majorBidi" w:cstheme="majorBidi"/>
          <w:sz w:val="24"/>
          <w:szCs w:val="24"/>
        </w:rPr>
        <w:t>Recombinaison légitime/homologue/générale : Après que l’ADN du donneur ait été</w:t>
      </w:r>
      <w:r w:rsidR="00D718D1" w:rsidRPr="00D718D1">
        <w:rPr>
          <w:rFonts w:asciiTheme="majorBidi" w:hAnsiTheme="majorBidi" w:cstheme="majorBidi"/>
          <w:sz w:val="24"/>
          <w:szCs w:val="24"/>
        </w:rPr>
        <w:t xml:space="preserve"> </w:t>
      </w:r>
      <w:r w:rsidRPr="00D718D1">
        <w:rPr>
          <w:rFonts w:asciiTheme="majorBidi" w:hAnsiTheme="majorBidi" w:cstheme="majorBidi"/>
          <w:sz w:val="24"/>
          <w:szCs w:val="24"/>
        </w:rPr>
        <w:t>internalisé, un évènement de recombinaison réciproque a lieu entre le chromosome et l’ADN</w:t>
      </w:r>
      <w:r w:rsidR="00D718D1" w:rsidRPr="00D718D1">
        <w:rPr>
          <w:rFonts w:asciiTheme="majorBidi" w:hAnsiTheme="majorBidi" w:cstheme="majorBidi"/>
          <w:sz w:val="24"/>
          <w:szCs w:val="24"/>
        </w:rPr>
        <w:t xml:space="preserve"> </w:t>
      </w:r>
      <w:r w:rsidRPr="00D718D1">
        <w:rPr>
          <w:rFonts w:asciiTheme="majorBidi" w:hAnsiTheme="majorBidi" w:cstheme="majorBidi"/>
          <w:sz w:val="24"/>
          <w:szCs w:val="24"/>
        </w:rPr>
        <w:t>donneur. Cette recombinaison nécessite une homologie entre l’ADN donneur et le</w:t>
      </w:r>
      <w:r w:rsidR="00D718D1" w:rsidRPr="00D718D1">
        <w:rPr>
          <w:rFonts w:asciiTheme="majorBidi" w:hAnsiTheme="majorBidi" w:cstheme="majorBidi"/>
          <w:sz w:val="24"/>
          <w:szCs w:val="24"/>
        </w:rPr>
        <w:t xml:space="preserve"> </w:t>
      </w:r>
      <w:r w:rsidRPr="00D718D1">
        <w:rPr>
          <w:rFonts w:asciiTheme="majorBidi" w:hAnsiTheme="majorBidi" w:cstheme="majorBidi"/>
          <w:sz w:val="24"/>
          <w:szCs w:val="24"/>
        </w:rPr>
        <w:t>chromosome ce qui résulte en la substitution de l’ADN entre le receveur et le donneur.</w:t>
      </w:r>
    </w:p>
    <w:p w:rsidR="00D718D1" w:rsidRPr="00D718D1" w:rsidRDefault="00D718D1" w:rsidP="00CA15B4">
      <w:pPr>
        <w:pStyle w:val="Paragraphedeliste"/>
        <w:autoSpaceDE w:val="0"/>
        <w:autoSpaceDN w:val="0"/>
        <w:adjustRightInd w:val="0"/>
        <w:spacing w:after="0" w:line="360" w:lineRule="auto"/>
        <w:jc w:val="both"/>
        <w:rPr>
          <w:rFonts w:asciiTheme="majorBidi" w:hAnsiTheme="majorBidi" w:cstheme="majorBidi"/>
          <w:sz w:val="24"/>
          <w:szCs w:val="24"/>
        </w:rPr>
      </w:pPr>
    </w:p>
    <w:p w:rsidR="00AA2EFE" w:rsidRDefault="00AA2EF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La transformation a lieu dans la nature, mais, est couramment utilisée dans les laboratoires debiologie moléculaire. Elle permet d'introduire un gène d'intérêt chez la bactérie.</w:t>
      </w:r>
    </w:p>
    <w:p w:rsidR="00AA2EFE" w:rsidRPr="00736466" w:rsidRDefault="009E45B9" w:rsidP="00CA15B4">
      <w:pPr>
        <w:pStyle w:val="NormalWeb"/>
        <w:spacing w:line="360" w:lineRule="auto"/>
        <w:jc w:val="both"/>
        <w:rPr>
          <w:rFonts w:asciiTheme="majorBidi" w:hAnsiTheme="majorBidi" w:cstheme="majorBidi"/>
        </w:rPr>
      </w:pPr>
      <w:r w:rsidRPr="00736466">
        <w:rPr>
          <w:rFonts w:asciiTheme="majorBidi" w:hAnsiTheme="majorBidi" w:cstheme="majorBidi"/>
        </w:rPr>
        <w:t>En laboratoire, la transformation artificielle peut être facilitée par des agents tels que le chlorure de calcium, qui rend la membrane cellulaire perméable à l'ADN, ou par des traitements thermiques ou électriques, comme l'électroporation. Les cellules transformées ne deviennent recombinantes que si les gènes portés par l'ADN exogène s'expriment. De plus, la transformation des bactéries est souvent plus efficace avec de l'ADN plasmidique, qui est moins susceptible d'être dégradé que des fragments linéaires et qui se réplique de manière autonome.</w:t>
      </w:r>
    </w:p>
    <w:p w:rsidR="00AA2EFE" w:rsidRPr="00736466" w:rsidRDefault="00AA2EFE" w:rsidP="00CA15B4">
      <w:pPr>
        <w:spacing w:before="100" w:beforeAutospacing="1" w:after="100" w:afterAutospacing="1" w:line="360" w:lineRule="auto"/>
        <w:jc w:val="center"/>
        <w:rPr>
          <w:rFonts w:asciiTheme="majorBidi" w:eastAsia="Times New Roman" w:hAnsiTheme="majorBidi" w:cstheme="majorBidi"/>
          <w:sz w:val="24"/>
          <w:szCs w:val="24"/>
          <w:lang w:eastAsia="fr-FR"/>
        </w:rPr>
      </w:pPr>
      <w:r w:rsidRPr="00736466">
        <w:rPr>
          <w:rFonts w:asciiTheme="majorBidi" w:eastAsia="Times New Roman" w:hAnsiTheme="majorBidi" w:cstheme="majorBidi"/>
          <w:noProof/>
          <w:sz w:val="24"/>
          <w:szCs w:val="24"/>
          <w:lang w:eastAsia="fr-FR"/>
        </w:rPr>
        <w:lastRenderedPageBreak/>
        <w:drawing>
          <wp:inline distT="0" distB="0" distL="0" distR="0">
            <wp:extent cx="2596559" cy="3058775"/>
            <wp:effectExtent l="1905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2602498" cy="3065771"/>
                    </a:xfrm>
                    <a:prstGeom prst="rect">
                      <a:avLst/>
                    </a:prstGeom>
                    <a:noFill/>
                    <a:ln w="9525">
                      <a:noFill/>
                      <a:miter lim="800000"/>
                      <a:headEnd/>
                      <a:tailEnd/>
                    </a:ln>
                  </pic:spPr>
                </pic:pic>
              </a:graphicData>
            </a:graphic>
          </wp:inline>
        </w:drawing>
      </w:r>
      <w:r w:rsidRPr="00736466">
        <w:rPr>
          <w:rFonts w:asciiTheme="majorBidi" w:eastAsia="Times New Roman" w:hAnsiTheme="majorBidi" w:cstheme="majorBidi"/>
          <w:noProof/>
          <w:sz w:val="24"/>
          <w:szCs w:val="24"/>
          <w:lang w:eastAsia="fr-FR"/>
        </w:rPr>
        <w:drawing>
          <wp:inline distT="0" distB="0" distL="0" distR="0">
            <wp:extent cx="2437868" cy="2341620"/>
            <wp:effectExtent l="19050" t="0" r="532"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srcRect/>
                    <a:stretch>
                      <a:fillRect/>
                    </a:stretch>
                  </pic:blipFill>
                  <pic:spPr bwMode="auto">
                    <a:xfrm>
                      <a:off x="0" y="0"/>
                      <a:ext cx="2435265" cy="2339120"/>
                    </a:xfrm>
                    <a:prstGeom prst="rect">
                      <a:avLst/>
                    </a:prstGeom>
                    <a:noFill/>
                    <a:ln w="9525">
                      <a:noFill/>
                      <a:miter lim="800000"/>
                      <a:headEnd/>
                      <a:tailEnd/>
                    </a:ln>
                  </pic:spPr>
                </pic:pic>
              </a:graphicData>
            </a:graphic>
          </wp:inline>
        </w:drawing>
      </w:r>
    </w:p>
    <w:p w:rsidR="00AA2EFE" w:rsidRDefault="00D718D1" w:rsidP="00CA15B4">
      <w:pPr>
        <w:spacing w:before="100" w:beforeAutospacing="1" w:after="100" w:afterAutospacing="1" w:line="360" w:lineRule="auto"/>
        <w:jc w:val="center"/>
        <w:rPr>
          <w:rFonts w:asciiTheme="majorBidi" w:hAnsiTheme="majorBidi" w:cstheme="majorBidi"/>
          <w:sz w:val="24"/>
          <w:szCs w:val="24"/>
        </w:rPr>
      </w:pPr>
      <w:r>
        <w:rPr>
          <w:rFonts w:asciiTheme="majorBidi" w:hAnsiTheme="majorBidi" w:cstheme="majorBidi"/>
          <w:b/>
          <w:bCs/>
          <w:sz w:val="24"/>
          <w:szCs w:val="24"/>
        </w:rPr>
        <w:t>Figure</w:t>
      </w:r>
      <w:r w:rsidR="00C530B3">
        <w:rPr>
          <w:rFonts w:asciiTheme="majorBidi" w:hAnsiTheme="majorBidi" w:cstheme="majorBidi"/>
          <w:b/>
          <w:bCs/>
          <w:sz w:val="24"/>
          <w:szCs w:val="24"/>
        </w:rPr>
        <w:t xml:space="preserve"> 05</w:t>
      </w:r>
      <w:r>
        <w:rPr>
          <w:rFonts w:asciiTheme="majorBidi" w:hAnsiTheme="majorBidi" w:cstheme="majorBidi"/>
          <w:b/>
          <w:bCs/>
          <w:sz w:val="24"/>
          <w:szCs w:val="24"/>
        </w:rPr>
        <w:t xml:space="preserve"> </w:t>
      </w:r>
      <w:r w:rsidR="00AA2EFE" w:rsidRPr="00736466">
        <w:rPr>
          <w:rFonts w:asciiTheme="majorBidi" w:hAnsiTheme="majorBidi" w:cstheme="majorBidi"/>
          <w:b/>
          <w:bCs/>
          <w:sz w:val="24"/>
          <w:szCs w:val="24"/>
        </w:rPr>
        <w:t xml:space="preserve">: </w:t>
      </w:r>
      <w:r w:rsidR="00AA2EFE" w:rsidRPr="00D718D1">
        <w:rPr>
          <w:rFonts w:asciiTheme="majorBidi" w:hAnsiTheme="majorBidi" w:cstheme="majorBidi"/>
          <w:sz w:val="24"/>
          <w:szCs w:val="24"/>
        </w:rPr>
        <w:t>La</w:t>
      </w:r>
      <w:r w:rsidR="00AA2EFE" w:rsidRPr="00736466">
        <w:rPr>
          <w:rFonts w:asciiTheme="majorBidi" w:hAnsiTheme="majorBidi" w:cstheme="majorBidi"/>
          <w:b/>
          <w:bCs/>
          <w:sz w:val="24"/>
          <w:szCs w:val="24"/>
        </w:rPr>
        <w:t xml:space="preserve"> </w:t>
      </w:r>
      <w:r w:rsidR="00AA2EFE" w:rsidRPr="00D718D1">
        <w:rPr>
          <w:rFonts w:asciiTheme="majorBidi" w:hAnsiTheme="majorBidi" w:cstheme="majorBidi"/>
          <w:sz w:val="24"/>
          <w:szCs w:val="24"/>
        </w:rPr>
        <w:t xml:space="preserve">transformation bactérienne (Willey et </w:t>
      </w:r>
      <w:r w:rsidR="00AA2EFE" w:rsidRPr="00D718D1">
        <w:rPr>
          <w:rFonts w:asciiTheme="majorBidi" w:hAnsiTheme="majorBidi" w:cstheme="majorBidi"/>
          <w:i/>
          <w:iCs/>
          <w:sz w:val="24"/>
          <w:szCs w:val="24"/>
        </w:rPr>
        <w:t>al</w:t>
      </w:r>
      <w:r w:rsidR="00AA2EFE" w:rsidRPr="00D718D1">
        <w:rPr>
          <w:rFonts w:asciiTheme="majorBidi" w:hAnsiTheme="majorBidi" w:cstheme="majorBidi"/>
          <w:sz w:val="24"/>
          <w:szCs w:val="24"/>
        </w:rPr>
        <w:t>.,. 2017).</w:t>
      </w:r>
    </w:p>
    <w:p w:rsidR="00D718D1" w:rsidRPr="00D718D1" w:rsidRDefault="00D718D1" w:rsidP="00CA15B4">
      <w:pPr>
        <w:spacing w:before="100" w:beforeAutospacing="1" w:after="100" w:afterAutospacing="1" w:line="360" w:lineRule="auto"/>
        <w:jc w:val="both"/>
        <w:rPr>
          <w:rFonts w:asciiTheme="majorBidi" w:hAnsiTheme="majorBidi" w:cstheme="majorBidi"/>
          <w:sz w:val="24"/>
          <w:szCs w:val="24"/>
        </w:rPr>
      </w:pPr>
    </w:p>
    <w:p w:rsidR="00AA2EFE" w:rsidRPr="00736466" w:rsidRDefault="00AA2EFE" w:rsidP="00CA15B4">
      <w:pPr>
        <w:spacing w:before="100" w:beforeAutospacing="1" w:after="100" w:afterAutospacing="1" w:line="360" w:lineRule="auto"/>
        <w:jc w:val="both"/>
        <w:rPr>
          <w:rFonts w:asciiTheme="majorBidi" w:hAnsiTheme="majorBidi" w:cstheme="majorBidi"/>
          <w:b/>
          <w:bCs/>
          <w:sz w:val="24"/>
          <w:szCs w:val="24"/>
        </w:rPr>
      </w:pPr>
    </w:p>
    <w:p w:rsidR="00AA2EFE" w:rsidRPr="00736466" w:rsidRDefault="00AA2EFE" w:rsidP="00CA15B4">
      <w:pPr>
        <w:autoSpaceDE w:val="0"/>
        <w:autoSpaceDN w:val="0"/>
        <w:adjustRightInd w:val="0"/>
        <w:spacing w:after="0" w:line="360" w:lineRule="auto"/>
        <w:jc w:val="both"/>
        <w:rPr>
          <w:rFonts w:asciiTheme="majorBidi" w:hAnsiTheme="majorBidi" w:cstheme="majorBidi"/>
          <w:b/>
          <w:bCs/>
          <w:sz w:val="24"/>
          <w:szCs w:val="24"/>
        </w:rPr>
      </w:pPr>
      <w:r w:rsidRPr="00736466">
        <w:rPr>
          <w:rFonts w:asciiTheme="majorBidi" w:hAnsiTheme="majorBidi" w:cstheme="majorBidi"/>
          <w:b/>
          <w:bCs/>
          <w:sz w:val="24"/>
          <w:szCs w:val="24"/>
        </w:rPr>
        <w:t>2.</w:t>
      </w:r>
      <w:r w:rsidR="009E45B9">
        <w:rPr>
          <w:rFonts w:asciiTheme="majorBidi" w:hAnsiTheme="majorBidi" w:cstheme="majorBidi"/>
          <w:b/>
          <w:bCs/>
          <w:sz w:val="24"/>
          <w:szCs w:val="24"/>
        </w:rPr>
        <w:t>3</w:t>
      </w:r>
      <w:r w:rsidRPr="00736466">
        <w:rPr>
          <w:rFonts w:asciiTheme="majorBidi" w:hAnsiTheme="majorBidi" w:cstheme="majorBidi"/>
          <w:b/>
          <w:bCs/>
          <w:sz w:val="24"/>
          <w:szCs w:val="24"/>
        </w:rPr>
        <w:t>. Applications scientifiques de la transformation bactérienne</w:t>
      </w:r>
    </w:p>
    <w:p w:rsidR="00AA2EFE" w:rsidRPr="00736466" w:rsidRDefault="00AA2EF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La transformation a un grand intérêt historique :</w:t>
      </w:r>
    </w:p>
    <w:p w:rsidR="00AA2EFE" w:rsidRPr="00736466" w:rsidRDefault="00AA2EF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 xml:space="preserve"> En bactériologie médicale, son intérêt est lié à l'émergence d'espèces résistantes aux</w:t>
      </w:r>
    </w:p>
    <w:p w:rsidR="00AA2EFE" w:rsidRPr="00736466" w:rsidRDefault="00AA2EF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antibiotiques comme le pneumocoque ou récemment, le méningocoque. Cette émergence de</w:t>
      </w:r>
    </w:p>
    <w:p w:rsidR="00AA2EFE" w:rsidRPr="00736466" w:rsidRDefault="00AA2EF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la résistance, à la pénicilline G par exemple, a été lente depuis l'introduction des antibiotiques.</w:t>
      </w:r>
    </w:p>
    <w:p w:rsidR="00AA2EFE" w:rsidRPr="00736466" w:rsidRDefault="00AA2EF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En fait ce phénomène n'a été possible qu'après sélection de mutants résistants (streptocoques</w:t>
      </w:r>
    </w:p>
    <w:p w:rsidR="00AA2EFE" w:rsidRPr="00736466" w:rsidRDefault="00AA2EF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buccaux) lors d'antibiothérapie puis de transfert du ou des gènes de cette résistance par</w:t>
      </w:r>
    </w:p>
    <w:p w:rsidR="00AA2EFE" w:rsidRDefault="00AA2EF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transformation naturelle à l'espèce pathogène potentielle en situation de portage.</w:t>
      </w:r>
    </w:p>
    <w:p w:rsidR="00EA183F" w:rsidRDefault="00EA183F" w:rsidP="00CA15B4">
      <w:pPr>
        <w:autoSpaceDE w:val="0"/>
        <w:autoSpaceDN w:val="0"/>
        <w:adjustRightInd w:val="0"/>
        <w:spacing w:after="0" w:line="360" w:lineRule="auto"/>
        <w:jc w:val="both"/>
        <w:rPr>
          <w:rFonts w:asciiTheme="majorBidi" w:hAnsiTheme="majorBidi" w:cstheme="majorBidi"/>
          <w:sz w:val="24"/>
          <w:szCs w:val="24"/>
        </w:rPr>
      </w:pPr>
    </w:p>
    <w:p w:rsidR="00EA183F" w:rsidRDefault="00EA183F" w:rsidP="00CA15B4">
      <w:pPr>
        <w:autoSpaceDE w:val="0"/>
        <w:autoSpaceDN w:val="0"/>
        <w:adjustRightInd w:val="0"/>
        <w:spacing w:after="0" w:line="360" w:lineRule="auto"/>
        <w:jc w:val="both"/>
        <w:rPr>
          <w:rFonts w:asciiTheme="majorBidi" w:hAnsiTheme="majorBidi" w:cstheme="majorBidi"/>
          <w:sz w:val="24"/>
          <w:szCs w:val="24"/>
        </w:rPr>
      </w:pPr>
    </w:p>
    <w:p w:rsidR="00EA183F" w:rsidRDefault="00EA183F" w:rsidP="00CA15B4">
      <w:pPr>
        <w:autoSpaceDE w:val="0"/>
        <w:autoSpaceDN w:val="0"/>
        <w:adjustRightInd w:val="0"/>
        <w:spacing w:after="0" w:line="360" w:lineRule="auto"/>
        <w:jc w:val="both"/>
        <w:rPr>
          <w:rFonts w:asciiTheme="majorBidi" w:hAnsiTheme="majorBidi" w:cstheme="majorBidi"/>
          <w:sz w:val="24"/>
          <w:szCs w:val="24"/>
        </w:rPr>
      </w:pPr>
    </w:p>
    <w:p w:rsidR="00EA183F" w:rsidRDefault="00EA183F" w:rsidP="00CA15B4">
      <w:pPr>
        <w:autoSpaceDE w:val="0"/>
        <w:autoSpaceDN w:val="0"/>
        <w:adjustRightInd w:val="0"/>
        <w:spacing w:after="0" w:line="360" w:lineRule="auto"/>
        <w:jc w:val="both"/>
        <w:rPr>
          <w:rFonts w:asciiTheme="majorBidi" w:hAnsiTheme="majorBidi" w:cstheme="majorBidi"/>
          <w:sz w:val="24"/>
          <w:szCs w:val="24"/>
        </w:rPr>
      </w:pPr>
    </w:p>
    <w:p w:rsidR="00FC7E5A" w:rsidRDefault="00FC7E5A" w:rsidP="00CA15B4">
      <w:pPr>
        <w:autoSpaceDE w:val="0"/>
        <w:autoSpaceDN w:val="0"/>
        <w:adjustRightInd w:val="0"/>
        <w:spacing w:after="0" w:line="360" w:lineRule="auto"/>
        <w:jc w:val="both"/>
        <w:rPr>
          <w:rFonts w:asciiTheme="majorBidi" w:hAnsiTheme="majorBidi" w:cstheme="majorBidi"/>
          <w:sz w:val="24"/>
          <w:szCs w:val="24"/>
        </w:rPr>
      </w:pPr>
    </w:p>
    <w:p w:rsidR="00FC7E5A" w:rsidRDefault="00FC7E5A" w:rsidP="00CA15B4">
      <w:pPr>
        <w:autoSpaceDE w:val="0"/>
        <w:autoSpaceDN w:val="0"/>
        <w:adjustRightInd w:val="0"/>
        <w:spacing w:after="0" w:line="360" w:lineRule="auto"/>
        <w:jc w:val="both"/>
        <w:rPr>
          <w:rFonts w:asciiTheme="majorBidi" w:hAnsiTheme="majorBidi" w:cstheme="majorBidi"/>
          <w:sz w:val="24"/>
          <w:szCs w:val="24"/>
        </w:rPr>
      </w:pPr>
    </w:p>
    <w:p w:rsidR="009E45B9" w:rsidRPr="00736466" w:rsidRDefault="009E45B9" w:rsidP="00CA15B4">
      <w:pPr>
        <w:autoSpaceDE w:val="0"/>
        <w:autoSpaceDN w:val="0"/>
        <w:adjustRightInd w:val="0"/>
        <w:spacing w:after="0" w:line="360" w:lineRule="auto"/>
        <w:jc w:val="both"/>
        <w:rPr>
          <w:rFonts w:asciiTheme="majorBidi" w:hAnsiTheme="majorBidi" w:cstheme="majorBidi"/>
          <w:sz w:val="24"/>
          <w:szCs w:val="24"/>
        </w:rPr>
      </w:pPr>
    </w:p>
    <w:p w:rsidR="00AA2EFE" w:rsidRPr="00736466" w:rsidRDefault="00AA2EFE" w:rsidP="00CA15B4">
      <w:pPr>
        <w:autoSpaceDE w:val="0"/>
        <w:autoSpaceDN w:val="0"/>
        <w:adjustRightInd w:val="0"/>
        <w:spacing w:after="0" w:line="360" w:lineRule="auto"/>
        <w:jc w:val="both"/>
        <w:rPr>
          <w:rFonts w:asciiTheme="majorBidi" w:hAnsiTheme="majorBidi" w:cstheme="majorBidi"/>
          <w:b/>
          <w:bCs/>
          <w:sz w:val="24"/>
          <w:szCs w:val="24"/>
        </w:rPr>
      </w:pPr>
      <w:r w:rsidRPr="00736466">
        <w:rPr>
          <w:rFonts w:asciiTheme="majorBidi" w:hAnsiTheme="majorBidi" w:cstheme="majorBidi"/>
          <w:b/>
          <w:bCs/>
          <w:sz w:val="24"/>
          <w:szCs w:val="24"/>
        </w:rPr>
        <w:lastRenderedPageBreak/>
        <w:t>3. La Transduction :</w:t>
      </w:r>
    </w:p>
    <w:p w:rsidR="00AA2EFE" w:rsidRPr="00736466" w:rsidRDefault="00AA2EFE" w:rsidP="00CA15B4">
      <w:pPr>
        <w:autoSpaceDE w:val="0"/>
        <w:autoSpaceDN w:val="0"/>
        <w:adjustRightInd w:val="0"/>
        <w:spacing w:after="0" w:line="360" w:lineRule="auto"/>
        <w:jc w:val="both"/>
        <w:rPr>
          <w:rFonts w:asciiTheme="majorBidi" w:hAnsiTheme="majorBidi" w:cstheme="majorBidi"/>
          <w:b/>
          <w:bCs/>
          <w:sz w:val="24"/>
          <w:szCs w:val="24"/>
        </w:rPr>
      </w:pPr>
      <w:r w:rsidRPr="00736466">
        <w:rPr>
          <w:rFonts w:asciiTheme="majorBidi" w:hAnsiTheme="majorBidi" w:cstheme="majorBidi"/>
          <w:b/>
          <w:bCs/>
          <w:sz w:val="24"/>
          <w:szCs w:val="24"/>
        </w:rPr>
        <w:t>3.1. Mise en évidence de la transduction (Expérience de Zinder et Lederberg (1951)):</w:t>
      </w:r>
    </w:p>
    <w:p w:rsidR="00AA2EFE" w:rsidRPr="00736466" w:rsidRDefault="00AA2EF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 xml:space="preserve">Une culture de la souche LT-2 de </w:t>
      </w:r>
      <w:r w:rsidRPr="00736466">
        <w:rPr>
          <w:rFonts w:asciiTheme="majorBidi" w:hAnsiTheme="majorBidi" w:cstheme="majorBidi"/>
          <w:i/>
          <w:iCs/>
          <w:sz w:val="24"/>
          <w:szCs w:val="24"/>
        </w:rPr>
        <w:t xml:space="preserve">Salmonella typhimurium </w:t>
      </w:r>
      <w:r w:rsidRPr="00736466">
        <w:rPr>
          <w:rFonts w:asciiTheme="majorBidi" w:hAnsiTheme="majorBidi" w:cstheme="majorBidi"/>
          <w:sz w:val="24"/>
          <w:szCs w:val="24"/>
        </w:rPr>
        <w:t>(souche auxotrophe pour</w:t>
      </w:r>
      <w:r w:rsidR="009E45B9">
        <w:rPr>
          <w:rFonts w:asciiTheme="majorBidi" w:hAnsiTheme="majorBidi" w:cstheme="majorBidi"/>
          <w:sz w:val="24"/>
          <w:szCs w:val="24"/>
        </w:rPr>
        <w:t xml:space="preserve"> </w:t>
      </w:r>
      <w:r w:rsidRPr="00736466">
        <w:rPr>
          <w:rFonts w:asciiTheme="majorBidi" w:hAnsiTheme="majorBidi" w:cstheme="majorBidi"/>
          <w:sz w:val="24"/>
          <w:szCs w:val="24"/>
        </w:rPr>
        <w:t xml:space="preserve">l'histidine) et une culture de la souche LT-22 de </w:t>
      </w:r>
      <w:r w:rsidRPr="00736466">
        <w:rPr>
          <w:rFonts w:asciiTheme="majorBidi" w:hAnsiTheme="majorBidi" w:cstheme="majorBidi"/>
          <w:i/>
          <w:iCs/>
          <w:sz w:val="24"/>
          <w:szCs w:val="24"/>
        </w:rPr>
        <w:t xml:space="preserve">Salmonella typhimurium </w:t>
      </w:r>
      <w:r w:rsidRPr="00736466">
        <w:rPr>
          <w:rFonts w:asciiTheme="majorBidi" w:hAnsiTheme="majorBidi" w:cstheme="majorBidi"/>
          <w:sz w:val="24"/>
          <w:szCs w:val="24"/>
        </w:rPr>
        <w:t>(souche auxotrophe</w:t>
      </w:r>
      <w:r w:rsidR="009E45B9">
        <w:rPr>
          <w:rFonts w:asciiTheme="majorBidi" w:hAnsiTheme="majorBidi" w:cstheme="majorBidi"/>
          <w:sz w:val="24"/>
          <w:szCs w:val="24"/>
        </w:rPr>
        <w:t xml:space="preserve"> </w:t>
      </w:r>
      <w:r w:rsidRPr="00736466">
        <w:rPr>
          <w:rFonts w:asciiTheme="majorBidi" w:hAnsiTheme="majorBidi" w:cstheme="majorBidi"/>
          <w:sz w:val="24"/>
          <w:szCs w:val="24"/>
        </w:rPr>
        <w:t>pour le tryptophane) sont placées chacune dans une branche d'un tube en U séparé par une</w:t>
      </w:r>
      <w:r w:rsidR="009E45B9">
        <w:rPr>
          <w:rFonts w:asciiTheme="majorBidi" w:hAnsiTheme="majorBidi" w:cstheme="majorBidi"/>
          <w:sz w:val="24"/>
          <w:szCs w:val="24"/>
        </w:rPr>
        <w:t xml:space="preserve"> </w:t>
      </w:r>
      <w:r w:rsidRPr="00736466">
        <w:rPr>
          <w:rFonts w:asciiTheme="majorBidi" w:hAnsiTheme="majorBidi" w:cstheme="majorBidi"/>
          <w:sz w:val="24"/>
          <w:szCs w:val="24"/>
        </w:rPr>
        <w:t>membrane en verre fritté qui interdit tout contact entre les deux souches bactériennes. Des</w:t>
      </w:r>
      <w:r w:rsidR="009E45B9">
        <w:rPr>
          <w:rFonts w:asciiTheme="majorBidi" w:hAnsiTheme="majorBidi" w:cstheme="majorBidi"/>
          <w:sz w:val="24"/>
          <w:szCs w:val="24"/>
        </w:rPr>
        <w:t xml:space="preserve"> </w:t>
      </w:r>
      <w:r w:rsidRPr="00736466">
        <w:rPr>
          <w:rFonts w:asciiTheme="majorBidi" w:hAnsiTheme="majorBidi" w:cstheme="majorBidi"/>
          <w:sz w:val="24"/>
          <w:szCs w:val="24"/>
        </w:rPr>
        <w:t>bactéries prototrophes pour le tryptophane sont obtenues à une fréquence de 10</w:t>
      </w:r>
      <w:r w:rsidRPr="009E45B9">
        <w:rPr>
          <w:rFonts w:asciiTheme="majorBidi" w:hAnsiTheme="majorBidi" w:cstheme="majorBidi"/>
          <w:sz w:val="24"/>
          <w:szCs w:val="24"/>
          <w:vertAlign w:val="superscript"/>
        </w:rPr>
        <w:t>-5</w:t>
      </w:r>
      <w:r w:rsidRPr="00736466">
        <w:rPr>
          <w:rFonts w:asciiTheme="majorBidi" w:hAnsiTheme="majorBidi" w:cstheme="majorBidi"/>
          <w:sz w:val="24"/>
          <w:szCs w:val="24"/>
        </w:rPr>
        <w:t>. Ces</w:t>
      </w:r>
      <w:r w:rsidR="009E45B9">
        <w:rPr>
          <w:rFonts w:asciiTheme="majorBidi" w:hAnsiTheme="majorBidi" w:cstheme="majorBidi"/>
          <w:sz w:val="24"/>
          <w:szCs w:val="24"/>
        </w:rPr>
        <w:t xml:space="preserve"> </w:t>
      </w:r>
      <w:r w:rsidRPr="00736466">
        <w:rPr>
          <w:rFonts w:asciiTheme="majorBidi" w:hAnsiTheme="majorBidi" w:cstheme="majorBidi"/>
          <w:sz w:val="24"/>
          <w:szCs w:val="24"/>
        </w:rPr>
        <w:t>bactéries prototrophes appartiennent toujours à la souche LT-22 et aucune bactérie de la</w:t>
      </w:r>
      <w:r w:rsidR="009E45B9">
        <w:rPr>
          <w:rFonts w:asciiTheme="majorBidi" w:hAnsiTheme="majorBidi" w:cstheme="majorBidi"/>
          <w:sz w:val="24"/>
          <w:szCs w:val="24"/>
        </w:rPr>
        <w:t xml:space="preserve"> </w:t>
      </w:r>
      <w:r w:rsidRPr="00736466">
        <w:rPr>
          <w:rFonts w:asciiTheme="majorBidi" w:hAnsiTheme="majorBidi" w:cstheme="majorBidi"/>
          <w:sz w:val="24"/>
          <w:szCs w:val="24"/>
        </w:rPr>
        <w:t>souche LT-2 ne devient prototrophe.</w:t>
      </w:r>
      <w:r w:rsidR="009E45B9">
        <w:rPr>
          <w:rFonts w:asciiTheme="majorBidi" w:hAnsiTheme="majorBidi" w:cstheme="majorBidi"/>
          <w:sz w:val="24"/>
          <w:szCs w:val="24"/>
        </w:rPr>
        <w:t xml:space="preserve"> </w:t>
      </w:r>
      <w:r w:rsidRPr="00736466">
        <w:rPr>
          <w:rFonts w:asciiTheme="majorBidi" w:hAnsiTheme="majorBidi" w:cstheme="majorBidi"/>
          <w:sz w:val="24"/>
          <w:szCs w:val="24"/>
        </w:rPr>
        <w:t>La fréquence d'apparition des prototrophes exclut une mutation. La présence d'un filtre en</w:t>
      </w:r>
      <w:r w:rsidR="009E45B9">
        <w:rPr>
          <w:rFonts w:asciiTheme="majorBidi" w:hAnsiTheme="majorBidi" w:cstheme="majorBidi"/>
          <w:sz w:val="24"/>
          <w:szCs w:val="24"/>
        </w:rPr>
        <w:t xml:space="preserve"> </w:t>
      </w:r>
      <w:r w:rsidRPr="00736466">
        <w:rPr>
          <w:rFonts w:asciiTheme="majorBidi" w:hAnsiTheme="majorBidi" w:cstheme="majorBidi"/>
          <w:sz w:val="24"/>
          <w:szCs w:val="24"/>
        </w:rPr>
        <w:t>verre fritté élimine la possibilité d'une conjugaison. L'addition de l’ADNase dans le milieu</w:t>
      </w:r>
      <w:r w:rsidR="009E45B9">
        <w:rPr>
          <w:rFonts w:asciiTheme="majorBidi" w:hAnsiTheme="majorBidi" w:cstheme="majorBidi"/>
          <w:sz w:val="24"/>
          <w:szCs w:val="24"/>
        </w:rPr>
        <w:t xml:space="preserve"> </w:t>
      </w:r>
      <w:r w:rsidRPr="00736466">
        <w:rPr>
          <w:rFonts w:asciiTheme="majorBidi" w:hAnsiTheme="majorBidi" w:cstheme="majorBidi"/>
          <w:sz w:val="24"/>
          <w:szCs w:val="24"/>
        </w:rPr>
        <w:t>n'inhibe pas l'apparition des prototrophes ce qui exclut une transformation. La seule</w:t>
      </w:r>
      <w:r w:rsidR="009E45B9">
        <w:rPr>
          <w:rFonts w:asciiTheme="majorBidi" w:hAnsiTheme="majorBidi" w:cstheme="majorBidi"/>
          <w:sz w:val="24"/>
          <w:szCs w:val="24"/>
        </w:rPr>
        <w:t xml:space="preserve"> </w:t>
      </w:r>
      <w:r w:rsidRPr="00736466">
        <w:rPr>
          <w:rFonts w:asciiTheme="majorBidi" w:hAnsiTheme="majorBidi" w:cstheme="majorBidi"/>
          <w:sz w:val="24"/>
          <w:szCs w:val="24"/>
        </w:rPr>
        <w:t>explication possible était celle d'un transfert génétique faisant intervenir de l'ADN sous une</w:t>
      </w:r>
      <w:r w:rsidR="009E45B9">
        <w:rPr>
          <w:rFonts w:asciiTheme="majorBidi" w:hAnsiTheme="majorBidi" w:cstheme="majorBidi"/>
          <w:sz w:val="24"/>
          <w:szCs w:val="24"/>
        </w:rPr>
        <w:t xml:space="preserve"> </w:t>
      </w:r>
      <w:r w:rsidRPr="00736466">
        <w:rPr>
          <w:rFonts w:asciiTheme="majorBidi" w:hAnsiTheme="majorBidi" w:cstheme="majorBidi"/>
          <w:sz w:val="24"/>
          <w:szCs w:val="24"/>
        </w:rPr>
        <w:t>forme suffisamment petite pour traverser le verre fritté et sous une forme suffisamment</w:t>
      </w:r>
      <w:r w:rsidR="009E45B9">
        <w:rPr>
          <w:rFonts w:asciiTheme="majorBidi" w:hAnsiTheme="majorBidi" w:cstheme="majorBidi"/>
          <w:sz w:val="24"/>
          <w:szCs w:val="24"/>
        </w:rPr>
        <w:t xml:space="preserve"> </w:t>
      </w:r>
      <w:r w:rsidRPr="00736466">
        <w:rPr>
          <w:rFonts w:asciiTheme="majorBidi" w:hAnsiTheme="majorBidi" w:cstheme="majorBidi"/>
          <w:sz w:val="24"/>
          <w:szCs w:val="24"/>
        </w:rPr>
        <w:t>protégée pour résister à l’ADNase. Des études complémentaires ont permis de montrer que le</w:t>
      </w:r>
      <w:r w:rsidR="009E45B9">
        <w:rPr>
          <w:rFonts w:asciiTheme="majorBidi" w:hAnsiTheme="majorBidi" w:cstheme="majorBidi"/>
          <w:sz w:val="24"/>
          <w:szCs w:val="24"/>
        </w:rPr>
        <w:t xml:space="preserve"> </w:t>
      </w:r>
      <w:r w:rsidRPr="00736466">
        <w:rPr>
          <w:rFonts w:asciiTheme="majorBidi" w:hAnsiTheme="majorBidi" w:cstheme="majorBidi"/>
          <w:sz w:val="24"/>
          <w:szCs w:val="24"/>
        </w:rPr>
        <w:t>transfert était dû au phage P22 et que ce transfert pouvait être aboli par des anticorps</w:t>
      </w:r>
      <w:r w:rsidR="009E45B9">
        <w:rPr>
          <w:rFonts w:asciiTheme="majorBidi" w:hAnsiTheme="majorBidi" w:cstheme="majorBidi"/>
          <w:sz w:val="24"/>
          <w:szCs w:val="24"/>
        </w:rPr>
        <w:t xml:space="preserve"> </w:t>
      </w:r>
      <w:r w:rsidRPr="00736466">
        <w:rPr>
          <w:rFonts w:asciiTheme="majorBidi" w:hAnsiTheme="majorBidi" w:cstheme="majorBidi"/>
          <w:sz w:val="24"/>
          <w:szCs w:val="24"/>
        </w:rPr>
        <w:t>neutralisants dirigés contre le phage P22.</w:t>
      </w:r>
    </w:p>
    <w:p w:rsidR="00AA2EFE" w:rsidRPr="00736466" w:rsidRDefault="00AA2EFE" w:rsidP="00CA15B4">
      <w:pPr>
        <w:spacing w:before="100" w:beforeAutospacing="1" w:after="100" w:afterAutospacing="1" w:line="360" w:lineRule="auto"/>
        <w:jc w:val="both"/>
        <w:rPr>
          <w:rFonts w:asciiTheme="majorBidi" w:eastAsia="Times New Roman" w:hAnsiTheme="majorBidi" w:cstheme="majorBidi"/>
          <w:sz w:val="24"/>
          <w:szCs w:val="24"/>
          <w:lang w:eastAsia="fr-FR"/>
        </w:rPr>
      </w:pPr>
      <w:r w:rsidRPr="00736466">
        <w:rPr>
          <w:rFonts w:asciiTheme="majorBidi" w:eastAsia="Times New Roman" w:hAnsiTheme="majorBidi" w:cstheme="majorBidi"/>
          <w:noProof/>
          <w:sz w:val="24"/>
          <w:szCs w:val="24"/>
          <w:lang w:eastAsia="fr-FR"/>
        </w:rPr>
        <w:drawing>
          <wp:inline distT="0" distB="0" distL="0" distR="0">
            <wp:extent cx="5760720" cy="3438610"/>
            <wp:effectExtent l="1905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a:stretch>
                      <a:fillRect/>
                    </a:stretch>
                  </pic:blipFill>
                  <pic:spPr bwMode="auto">
                    <a:xfrm>
                      <a:off x="0" y="0"/>
                      <a:ext cx="5760720" cy="3438610"/>
                    </a:xfrm>
                    <a:prstGeom prst="rect">
                      <a:avLst/>
                    </a:prstGeom>
                    <a:noFill/>
                    <a:ln w="9525">
                      <a:noFill/>
                      <a:miter lim="800000"/>
                      <a:headEnd/>
                      <a:tailEnd/>
                    </a:ln>
                  </pic:spPr>
                </pic:pic>
              </a:graphicData>
            </a:graphic>
          </wp:inline>
        </w:drawing>
      </w:r>
    </w:p>
    <w:p w:rsidR="00AA2EFE" w:rsidRDefault="00912C94" w:rsidP="00CA15B4">
      <w:pPr>
        <w:autoSpaceDE w:val="0"/>
        <w:autoSpaceDN w:val="0"/>
        <w:adjustRightInd w:val="0"/>
        <w:spacing w:after="0" w:line="360" w:lineRule="auto"/>
        <w:jc w:val="center"/>
        <w:rPr>
          <w:rFonts w:asciiTheme="majorBidi" w:hAnsiTheme="majorBidi" w:cstheme="majorBidi"/>
          <w:sz w:val="24"/>
          <w:szCs w:val="24"/>
        </w:rPr>
      </w:pPr>
      <w:r>
        <w:rPr>
          <w:rFonts w:asciiTheme="majorBidi" w:hAnsiTheme="majorBidi" w:cstheme="majorBidi"/>
          <w:b/>
          <w:bCs/>
          <w:sz w:val="24"/>
          <w:szCs w:val="24"/>
        </w:rPr>
        <w:t xml:space="preserve">Figure </w:t>
      </w:r>
      <w:r w:rsidR="00C530B3">
        <w:rPr>
          <w:rFonts w:asciiTheme="majorBidi" w:hAnsiTheme="majorBidi" w:cstheme="majorBidi"/>
          <w:b/>
          <w:bCs/>
          <w:sz w:val="24"/>
          <w:szCs w:val="24"/>
        </w:rPr>
        <w:t xml:space="preserve">06 </w:t>
      </w:r>
      <w:r w:rsidR="00AA2EFE" w:rsidRPr="00736466">
        <w:rPr>
          <w:rFonts w:asciiTheme="majorBidi" w:hAnsiTheme="majorBidi" w:cstheme="majorBidi"/>
          <w:b/>
          <w:bCs/>
          <w:sz w:val="24"/>
          <w:szCs w:val="24"/>
        </w:rPr>
        <w:t xml:space="preserve">: </w:t>
      </w:r>
      <w:r w:rsidR="00AA2EFE" w:rsidRPr="00912C94">
        <w:rPr>
          <w:rFonts w:asciiTheme="majorBidi" w:hAnsiTheme="majorBidi" w:cstheme="majorBidi"/>
          <w:sz w:val="24"/>
          <w:szCs w:val="24"/>
        </w:rPr>
        <w:t>Expérience de Zinder et Lederberg (1951)</w:t>
      </w:r>
    </w:p>
    <w:p w:rsidR="00912C94" w:rsidRDefault="00912C94" w:rsidP="00CA15B4">
      <w:pPr>
        <w:autoSpaceDE w:val="0"/>
        <w:autoSpaceDN w:val="0"/>
        <w:adjustRightInd w:val="0"/>
        <w:spacing w:after="0" w:line="360" w:lineRule="auto"/>
        <w:jc w:val="both"/>
        <w:rPr>
          <w:rFonts w:asciiTheme="majorBidi" w:hAnsiTheme="majorBidi" w:cstheme="majorBidi"/>
          <w:sz w:val="24"/>
          <w:szCs w:val="24"/>
        </w:rPr>
      </w:pPr>
    </w:p>
    <w:p w:rsidR="00912C94" w:rsidRDefault="00912C94" w:rsidP="00CA15B4">
      <w:pPr>
        <w:autoSpaceDE w:val="0"/>
        <w:autoSpaceDN w:val="0"/>
        <w:adjustRightInd w:val="0"/>
        <w:spacing w:after="0" w:line="360" w:lineRule="auto"/>
        <w:jc w:val="both"/>
        <w:rPr>
          <w:rFonts w:asciiTheme="majorBidi" w:hAnsiTheme="majorBidi" w:cstheme="majorBidi"/>
          <w:sz w:val="24"/>
          <w:szCs w:val="24"/>
        </w:rPr>
      </w:pPr>
    </w:p>
    <w:p w:rsidR="00912C94" w:rsidRPr="00912C94" w:rsidRDefault="00912C94" w:rsidP="00CA15B4">
      <w:pPr>
        <w:autoSpaceDE w:val="0"/>
        <w:autoSpaceDN w:val="0"/>
        <w:adjustRightInd w:val="0"/>
        <w:spacing w:after="0" w:line="360" w:lineRule="auto"/>
        <w:jc w:val="both"/>
        <w:rPr>
          <w:rFonts w:asciiTheme="majorBidi" w:hAnsiTheme="majorBidi" w:cstheme="majorBidi"/>
          <w:sz w:val="24"/>
          <w:szCs w:val="24"/>
        </w:rPr>
      </w:pPr>
    </w:p>
    <w:p w:rsidR="00AA2EFE" w:rsidRDefault="00AA2EF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La transduction est le transfert d'ADN bactérien à partir d’un donneur vers</w:t>
      </w:r>
      <w:r w:rsidR="004538AA">
        <w:rPr>
          <w:rFonts w:asciiTheme="majorBidi" w:hAnsiTheme="majorBidi" w:cstheme="majorBidi"/>
          <w:sz w:val="24"/>
          <w:szCs w:val="24"/>
        </w:rPr>
        <w:t xml:space="preserve"> </w:t>
      </w:r>
      <w:r w:rsidRPr="00736466">
        <w:rPr>
          <w:rFonts w:asciiTheme="majorBidi" w:hAnsiTheme="majorBidi" w:cstheme="majorBidi"/>
          <w:sz w:val="24"/>
          <w:szCs w:val="24"/>
        </w:rPr>
        <w:t>un receveur par l'intermédiaire d’un bactériophage. Dans la plupart des cas le transfert de</w:t>
      </w:r>
      <w:r w:rsidR="004538AA">
        <w:rPr>
          <w:rFonts w:asciiTheme="majorBidi" w:hAnsiTheme="majorBidi" w:cstheme="majorBidi"/>
          <w:sz w:val="24"/>
          <w:szCs w:val="24"/>
        </w:rPr>
        <w:t xml:space="preserve"> </w:t>
      </w:r>
      <w:r w:rsidRPr="00736466">
        <w:rPr>
          <w:rFonts w:asciiTheme="majorBidi" w:hAnsiTheme="majorBidi" w:cstheme="majorBidi"/>
          <w:sz w:val="24"/>
          <w:szCs w:val="24"/>
        </w:rPr>
        <w:t>gène a lieu entre des membres de la même famille de bactéries. Cependant, si un phage</w:t>
      </w:r>
      <w:r w:rsidR="004538AA">
        <w:rPr>
          <w:rFonts w:asciiTheme="majorBidi" w:hAnsiTheme="majorBidi" w:cstheme="majorBidi"/>
          <w:sz w:val="24"/>
          <w:szCs w:val="24"/>
        </w:rPr>
        <w:t xml:space="preserve"> </w:t>
      </w:r>
      <w:r w:rsidRPr="00736466">
        <w:rPr>
          <w:rFonts w:asciiTheme="majorBidi" w:hAnsiTheme="majorBidi" w:cstheme="majorBidi"/>
          <w:sz w:val="24"/>
          <w:szCs w:val="24"/>
        </w:rPr>
        <w:t>particulier possède une large gamme d’hôtes alors le transfert entre espèces peut avoir lieu. La</w:t>
      </w:r>
      <w:r w:rsidR="004538AA">
        <w:rPr>
          <w:rFonts w:asciiTheme="majorBidi" w:hAnsiTheme="majorBidi" w:cstheme="majorBidi"/>
          <w:sz w:val="24"/>
          <w:szCs w:val="24"/>
        </w:rPr>
        <w:t xml:space="preserve"> </w:t>
      </w:r>
      <w:r w:rsidRPr="00736466">
        <w:rPr>
          <w:rFonts w:asciiTheme="majorBidi" w:hAnsiTheme="majorBidi" w:cstheme="majorBidi"/>
          <w:sz w:val="24"/>
          <w:szCs w:val="24"/>
        </w:rPr>
        <w:t>capacité d’un phage à médier la transduction est reliée au cycle de vie du phage.</w:t>
      </w:r>
    </w:p>
    <w:p w:rsidR="00EA183F" w:rsidRDefault="00EA183F" w:rsidP="00CA15B4">
      <w:pPr>
        <w:autoSpaceDE w:val="0"/>
        <w:autoSpaceDN w:val="0"/>
        <w:adjustRightInd w:val="0"/>
        <w:spacing w:after="0" w:line="360" w:lineRule="auto"/>
        <w:jc w:val="both"/>
        <w:rPr>
          <w:rFonts w:asciiTheme="majorBidi" w:hAnsiTheme="majorBidi" w:cstheme="majorBidi"/>
          <w:sz w:val="24"/>
          <w:szCs w:val="24"/>
        </w:rPr>
      </w:pPr>
    </w:p>
    <w:p w:rsidR="004538AA" w:rsidRPr="00736466" w:rsidRDefault="004538AA" w:rsidP="00CA15B4">
      <w:pPr>
        <w:autoSpaceDE w:val="0"/>
        <w:autoSpaceDN w:val="0"/>
        <w:adjustRightInd w:val="0"/>
        <w:spacing w:after="0" w:line="360" w:lineRule="auto"/>
        <w:jc w:val="both"/>
        <w:rPr>
          <w:rFonts w:asciiTheme="majorBidi" w:hAnsiTheme="majorBidi" w:cstheme="majorBidi"/>
          <w:sz w:val="24"/>
          <w:szCs w:val="24"/>
        </w:rPr>
      </w:pPr>
    </w:p>
    <w:p w:rsidR="00AA2EFE" w:rsidRPr="00736466" w:rsidRDefault="00AA2EFE" w:rsidP="00CA15B4">
      <w:pPr>
        <w:autoSpaceDE w:val="0"/>
        <w:autoSpaceDN w:val="0"/>
        <w:adjustRightInd w:val="0"/>
        <w:spacing w:after="0" w:line="360" w:lineRule="auto"/>
        <w:jc w:val="both"/>
        <w:rPr>
          <w:rFonts w:asciiTheme="majorBidi" w:hAnsiTheme="majorBidi" w:cstheme="majorBidi"/>
          <w:b/>
          <w:bCs/>
          <w:sz w:val="24"/>
          <w:szCs w:val="24"/>
        </w:rPr>
      </w:pPr>
      <w:r w:rsidRPr="00736466">
        <w:rPr>
          <w:rFonts w:asciiTheme="majorBidi" w:hAnsiTheme="majorBidi" w:cstheme="majorBidi"/>
          <w:b/>
          <w:bCs/>
          <w:sz w:val="24"/>
          <w:szCs w:val="24"/>
        </w:rPr>
        <w:t>3.</w:t>
      </w:r>
      <w:r w:rsidR="004538AA">
        <w:rPr>
          <w:rFonts w:asciiTheme="majorBidi" w:hAnsiTheme="majorBidi" w:cstheme="majorBidi"/>
          <w:b/>
          <w:bCs/>
          <w:sz w:val="24"/>
          <w:szCs w:val="24"/>
        </w:rPr>
        <w:t>2</w:t>
      </w:r>
      <w:r w:rsidRPr="00736466">
        <w:rPr>
          <w:rFonts w:asciiTheme="majorBidi" w:hAnsiTheme="majorBidi" w:cstheme="majorBidi"/>
          <w:b/>
          <w:bCs/>
          <w:sz w:val="24"/>
          <w:szCs w:val="24"/>
        </w:rPr>
        <w:t>. Types de transduction :</w:t>
      </w:r>
    </w:p>
    <w:p w:rsidR="00AA2EFE" w:rsidRPr="00736466" w:rsidRDefault="00AA2EFE" w:rsidP="00CA15B4">
      <w:pPr>
        <w:autoSpaceDE w:val="0"/>
        <w:autoSpaceDN w:val="0"/>
        <w:adjustRightInd w:val="0"/>
        <w:spacing w:after="0" w:line="360" w:lineRule="auto"/>
        <w:jc w:val="both"/>
        <w:rPr>
          <w:rFonts w:asciiTheme="majorBidi" w:hAnsiTheme="majorBidi" w:cstheme="majorBidi"/>
          <w:b/>
          <w:bCs/>
          <w:sz w:val="24"/>
          <w:szCs w:val="24"/>
        </w:rPr>
      </w:pPr>
      <w:r w:rsidRPr="00736466">
        <w:rPr>
          <w:rFonts w:asciiTheme="majorBidi" w:hAnsiTheme="majorBidi" w:cstheme="majorBidi"/>
          <w:b/>
          <w:bCs/>
          <w:sz w:val="24"/>
          <w:szCs w:val="24"/>
        </w:rPr>
        <w:t>3.</w:t>
      </w:r>
      <w:r w:rsidR="004538AA">
        <w:rPr>
          <w:rFonts w:asciiTheme="majorBidi" w:hAnsiTheme="majorBidi" w:cstheme="majorBidi"/>
          <w:b/>
          <w:bCs/>
          <w:sz w:val="24"/>
          <w:szCs w:val="24"/>
        </w:rPr>
        <w:t>2</w:t>
      </w:r>
      <w:r w:rsidRPr="00736466">
        <w:rPr>
          <w:rFonts w:asciiTheme="majorBidi" w:hAnsiTheme="majorBidi" w:cstheme="majorBidi"/>
          <w:b/>
          <w:bCs/>
          <w:sz w:val="24"/>
          <w:szCs w:val="24"/>
        </w:rPr>
        <w:t>.1. Transduction généralisée :</w:t>
      </w:r>
    </w:p>
    <w:p w:rsidR="00AA2EFE" w:rsidRPr="00736466" w:rsidRDefault="00AA2EF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La transduction généralisée est une transduction au cours de laquelle potentiellement</w:t>
      </w:r>
      <w:r w:rsidR="004538AA">
        <w:rPr>
          <w:rFonts w:asciiTheme="majorBidi" w:hAnsiTheme="majorBidi" w:cstheme="majorBidi"/>
          <w:sz w:val="24"/>
          <w:szCs w:val="24"/>
        </w:rPr>
        <w:t xml:space="preserve"> </w:t>
      </w:r>
      <w:r w:rsidRPr="00736466">
        <w:rPr>
          <w:rFonts w:asciiTheme="majorBidi" w:hAnsiTheme="majorBidi" w:cstheme="majorBidi"/>
          <w:sz w:val="24"/>
          <w:szCs w:val="24"/>
        </w:rPr>
        <w:t>n’importe quel gène bactérien de la bactérie donatrice peut être transféré à la réceptrice. Les</w:t>
      </w:r>
    </w:p>
    <w:p w:rsidR="00AA2EFE" w:rsidRPr="00736466" w:rsidRDefault="00AA2EF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bactériophages qui assurent la transduction généralisée découpent généralement l’ADN de</w:t>
      </w:r>
      <w:r w:rsidR="004538AA">
        <w:rPr>
          <w:rFonts w:asciiTheme="majorBidi" w:hAnsiTheme="majorBidi" w:cstheme="majorBidi"/>
          <w:sz w:val="24"/>
          <w:szCs w:val="24"/>
        </w:rPr>
        <w:t xml:space="preserve"> </w:t>
      </w:r>
      <w:r w:rsidRPr="00736466">
        <w:rPr>
          <w:rFonts w:asciiTheme="majorBidi" w:hAnsiTheme="majorBidi" w:cstheme="majorBidi"/>
          <w:sz w:val="24"/>
          <w:szCs w:val="24"/>
        </w:rPr>
        <w:t>l’hôte en plus petits morceaux et encapsident cet ADN dans une particule phagique par erreur</w:t>
      </w:r>
      <w:r w:rsidR="004538AA">
        <w:rPr>
          <w:rFonts w:asciiTheme="majorBidi" w:hAnsiTheme="majorBidi" w:cstheme="majorBidi"/>
          <w:sz w:val="24"/>
          <w:szCs w:val="24"/>
        </w:rPr>
        <w:t xml:space="preserve"> </w:t>
      </w:r>
      <w:r w:rsidRPr="00736466">
        <w:rPr>
          <w:rFonts w:asciiTheme="majorBidi" w:hAnsiTheme="majorBidi" w:cstheme="majorBidi"/>
          <w:sz w:val="24"/>
          <w:szCs w:val="24"/>
        </w:rPr>
        <w:t>lors de l’encapsidation. Occasionnellement, un des morceaux de l’ADN de l’hôte est</w:t>
      </w:r>
      <w:r w:rsidR="004538AA">
        <w:rPr>
          <w:rFonts w:asciiTheme="majorBidi" w:hAnsiTheme="majorBidi" w:cstheme="majorBidi"/>
          <w:sz w:val="24"/>
          <w:szCs w:val="24"/>
        </w:rPr>
        <w:t xml:space="preserve"> </w:t>
      </w:r>
      <w:r w:rsidRPr="00736466">
        <w:rPr>
          <w:rFonts w:asciiTheme="majorBidi" w:hAnsiTheme="majorBidi" w:cstheme="majorBidi"/>
          <w:sz w:val="24"/>
          <w:szCs w:val="24"/>
        </w:rPr>
        <w:t>accidentellement empaqueté dans la capside du phage. Ainsi, n’importe quel gène du donneur</w:t>
      </w:r>
      <w:r w:rsidR="004538AA">
        <w:rPr>
          <w:rFonts w:asciiTheme="majorBidi" w:hAnsiTheme="majorBidi" w:cstheme="majorBidi"/>
          <w:sz w:val="24"/>
          <w:szCs w:val="24"/>
        </w:rPr>
        <w:t xml:space="preserve"> </w:t>
      </w:r>
      <w:r w:rsidRPr="00736466">
        <w:rPr>
          <w:rFonts w:asciiTheme="majorBidi" w:hAnsiTheme="majorBidi" w:cstheme="majorBidi"/>
          <w:sz w:val="24"/>
          <w:szCs w:val="24"/>
        </w:rPr>
        <w:t>peut potentiellement être transféré mais ne sera transféré qu’autant d’ADN que peut contenir</w:t>
      </w:r>
      <w:r w:rsidR="004538AA">
        <w:rPr>
          <w:rFonts w:asciiTheme="majorBidi" w:hAnsiTheme="majorBidi" w:cstheme="majorBidi"/>
          <w:sz w:val="24"/>
          <w:szCs w:val="24"/>
        </w:rPr>
        <w:t xml:space="preserve"> </w:t>
      </w:r>
      <w:r w:rsidRPr="00736466">
        <w:rPr>
          <w:rFonts w:asciiTheme="majorBidi" w:hAnsiTheme="majorBidi" w:cstheme="majorBidi"/>
          <w:sz w:val="24"/>
          <w:szCs w:val="24"/>
        </w:rPr>
        <w:t>une tête de phage. Si une cellule réceptrice est infectée par un phage qui contient de l’ADN du</w:t>
      </w:r>
      <w:r w:rsidR="004538AA">
        <w:rPr>
          <w:rFonts w:asciiTheme="majorBidi" w:hAnsiTheme="majorBidi" w:cstheme="majorBidi"/>
          <w:sz w:val="24"/>
          <w:szCs w:val="24"/>
        </w:rPr>
        <w:t xml:space="preserve"> </w:t>
      </w:r>
      <w:r w:rsidRPr="00736466">
        <w:rPr>
          <w:rFonts w:asciiTheme="majorBidi" w:hAnsiTheme="majorBidi" w:cstheme="majorBidi"/>
          <w:sz w:val="24"/>
          <w:szCs w:val="24"/>
        </w:rPr>
        <w:t>donneur, l’ADN du donneur entre dans le receveur. Dans la cellule réceptrice un évènement</w:t>
      </w:r>
      <w:r w:rsidR="004538AA">
        <w:rPr>
          <w:rFonts w:asciiTheme="majorBidi" w:hAnsiTheme="majorBidi" w:cstheme="majorBidi"/>
          <w:sz w:val="24"/>
          <w:szCs w:val="24"/>
        </w:rPr>
        <w:t xml:space="preserve"> </w:t>
      </w:r>
      <w:r w:rsidRPr="00736466">
        <w:rPr>
          <w:rFonts w:asciiTheme="majorBidi" w:hAnsiTheme="majorBidi" w:cstheme="majorBidi"/>
          <w:sz w:val="24"/>
          <w:szCs w:val="24"/>
        </w:rPr>
        <w:t>de recombinaison généralisée qui substitue l’ADN du donneur à l’ADN du receveur peut</w:t>
      </w:r>
      <w:r w:rsidR="004538AA">
        <w:rPr>
          <w:rFonts w:asciiTheme="majorBidi" w:hAnsiTheme="majorBidi" w:cstheme="majorBidi"/>
          <w:sz w:val="24"/>
          <w:szCs w:val="24"/>
        </w:rPr>
        <w:t xml:space="preserve"> </w:t>
      </w:r>
      <w:r w:rsidRPr="00736466">
        <w:rPr>
          <w:rFonts w:asciiTheme="majorBidi" w:hAnsiTheme="majorBidi" w:cstheme="majorBidi"/>
          <w:sz w:val="24"/>
          <w:szCs w:val="24"/>
        </w:rPr>
        <w:t>avoir lieu.</w:t>
      </w:r>
    </w:p>
    <w:p w:rsidR="00AA2EFE" w:rsidRPr="00736466" w:rsidRDefault="00AA2EFE" w:rsidP="00CA15B4">
      <w:pPr>
        <w:spacing w:before="100" w:beforeAutospacing="1" w:after="100" w:afterAutospacing="1" w:line="360" w:lineRule="auto"/>
        <w:jc w:val="center"/>
        <w:rPr>
          <w:rFonts w:asciiTheme="majorBidi" w:eastAsia="Times New Roman" w:hAnsiTheme="majorBidi" w:cstheme="majorBidi"/>
          <w:sz w:val="24"/>
          <w:szCs w:val="24"/>
          <w:lang w:eastAsia="fr-FR"/>
        </w:rPr>
      </w:pPr>
      <w:r w:rsidRPr="00736466">
        <w:rPr>
          <w:rFonts w:asciiTheme="majorBidi" w:eastAsia="Times New Roman" w:hAnsiTheme="majorBidi" w:cstheme="majorBidi"/>
          <w:noProof/>
          <w:sz w:val="24"/>
          <w:szCs w:val="24"/>
          <w:lang w:eastAsia="fr-FR"/>
        </w:rPr>
        <w:drawing>
          <wp:inline distT="0" distB="0" distL="0" distR="0">
            <wp:extent cx="1828800" cy="1764101"/>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a:stretch>
                      <a:fillRect/>
                    </a:stretch>
                  </pic:blipFill>
                  <pic:spPr bwMode="auto">
                    <a:xfrm>
                      <a:off x="0" y="0"/>
                      <a:ext cx="1830639" cy="1765875"/>
                    </a:xfrm>
                    <a:prstGeom prst="rect">
                      <a:avLst/>
                    </a:prstGeom>
                    <a:noFill/>
                    <a:ln w="9525">
                      <a:noFill/>
                      <a:miter lim="800000"/>
                      <a:headEnd/>
                      <a:tailEnd/>
                    </a:ln>
                  </pic:spPr>
                </pic:pic>
              </a:graphicData>
            </a:graphic>
          </wp:inline>
        </w:drawing>
      </w:r>
      <w:r w:rsidRPr="00736466">
        <w:rPr>
          <w:rFonts w:asciiTheme="majorBidi" w:eastAsia="Times New Roman" w:hAnsiTheme="majorBidi" w:cstheme="majorBidi"/>
          <w:noProof/>
          <w:sz w:val="24"/>
          <w:szCs w:val="24"/>
          <w:lang w:eastAsia="fr-FR"/>
        </w:rPr>
        <w:drawing>
          <wp:inline distT="0" distB="0" distL="0" distR="0">
            <wp:extent cx="2238375" cy="1690146"/>
            <wp:effectExtent l="19050" t="0" r="9525"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srcRect/>
                    <a:stretch>
                      <a:fillRect/>
                    </a:stretch>
                  </pic:blipFill>
                  <pic:spPr bwMode="auto">
                    <a:xfrm>
                      <a:off x="0" y="0"/>
                      <a:ext cx="2252562" cy="1700858"/>
                    </a:xfrm>
                    <a:prstGeom prst="rect">
                      <a:avLst/>
                    </a:prstGeom>
                    <a:noFill/>
                    <a:ln w="9525">
                      <a:noFill/>
                      <a:miter lim="800000"/>
                      <a:headEnd/>
                      <a:tailEnd/>
                    </a:ln>
                  </pic:spPr>
                </pic:pic>
              </a:graphicData>
            </a:graphic>
          </wp:inline>
        </w:drawing>
      </w:r>
    </w:p>
    <w:p w:rsidR="00AA2EFE" w:rsidRPr="00736466" w:rsidRDefault="00AA2EFE" w:rsidP="00CA15B4">
      <w:pPr>
        <w:spacing w:before="100" w:beforeAutospacing="1" w:after="100" w:afterAutospacing="1" w:line="360" w:lineRule="auto"/>
        <w:jc w:val="both"/>
        <w:rPr>
          <w:rFonts w:asciiTheme="majorBidi" w:eastAsia="Times New Roman" w:hAnsiTheme="majorBidi" w:cstheme="majorBidi"/>
          <w:sz w:val="24"/>
          <w:szCs w:val="24"/>
          <w:lang w:eastAsia="fr-FR"/>
        </w:rPr>
      </w:pPr>
    </w:p>
    <w:p w:rsidR="00AA2EFE" w:rsidRDefault="00AA2EFE" w:rsidP="00CA15B4">
      <w:pPr>
        <w:autoSpaceDE w:val="0"/>
        <w:autoSpaceDN w:val="0"/>
        <w:adjustRightInd w:val="0"/>
        <w:spacing w:after="0" w:line="360" w:lineRule="auto"/>
        <w:jc w:val="center"/>
        <w:rPr>
          <w:rFonts w:asciiTheme="majorBidi" w:hAnsiTheme="majorBidi" w:cstheme="majorBidi"/>
          <w:sz w:val="24"/>
          <w:szCs w:val="24"/>
        </w:rPr>
      </w:pPr>
      <w:r w:rsidRPr="00736466">
        <w:rPr>
          <w:rFonts w:asciiTheme="majorBidi" w:hAnsiTheme="majorBidi" w:cstheme="majorBidi"/>
          <w:b/>
          <w:bCs/>
          <w:sz w:val="24"/>
          <w:szCs w:val="24"/>
        </w:rPr>
        <w:lastRenderedPageBreak/>
        <w:t>Figure</w:t>
      </w:r>
      <w:r w:rsidR="00C530B3">
        <w:rPr>
          <w:rFonts w:asciiTheme="majorBidi" w:hAnsiTheme="majorBidi" w:cstheme="majorBidi"/>
          <w:b/>
          <w:bCs/>
          <w:sz w:val="24"/>
          <w:szCs w:val="24"/>
        </w:rPr>
        <w:t xml:space="preserve"> 07</w:t>
      </w:r>
      <w:r w:rsidRPr="00736466">
        <w:rPr>
          <w:rFonts w:asciiTheme="majorBidi" w:hAnsiTheme="majorBidi" w:cstheme="majorBidi"/>
          <w:b/>
          <w:bCs/>
          <w:sz w:val="24"/>
          <w:szCs w:val="24"/>
        </w:rPr>
        <w:t xml:space="preserve">: </w:t>
      </w:r>
      <w:r w:rsidRPr="004538AA">
        <w:rPr>
          <w:rFonts w:asciiTheme="majorBidi" w:hAnsiTheme="majorBidi" w:cstheme="majorBidi"/>
          <w:sz w:val="24"/>
          <w:szCs w:val="24"/>
        </w:rPr>
        <w:t xml:space="preserve">Transduction généralisée (Willey et </w:t>
      </w:r>
      <w:r w:rsidRPr="004538AA">
        <w:rPr>
          <w:rFonts w:asciiTheme="majorBidi" w:hAnsiTheme="majorBidi" w:cstheme="majorBidi"/>
          <w:i/>
          <w:iCs/>
          <w:sz w:val="24"/>
          <w:szCs w:val="24"/>
        </w:rPr>
        <w:t>al</w:t>
      </w:r>
      <w:r w:rsidRPr="004538AA">
        <w:rPr>
          <w:rFonts w:asciiTheme="majorBidi" w:hAnsiTheme="majorBidi" w:cstheme="majorBidi"/>
          <w:sz w:val="24"/>
          <w:szCs w:val="24"/>
        </w:rPr>
        <w:t>.,. 2017).</w:t>
      </w:r>
    </w:p>
    <w:p w:rsidR="004538AA" w:rsidRPr="00736466" w:rsidRDefault="004538AA" w:rsidP="00CA15B4">
      <w:pPr>
        <w:autoSpaceDE w:val="0"/>
        <w:autoSpaceDN w:val="0"/>
        <w:adjustRightInd w:val="0"/>
        <w:spacing w:after="0" w:line="360" w:lineRule="auto"/>
        <w:jc w:val="both"/>
        <w:rPr>
          <w:rFonts w:asciiTheme="majorBidi" w:hAnsiTheme="majorBidi" w:cstheme="majorBidi"/>
          <w:b/>
          <w:bCs/>
          <w:sz w:val="24"/>
          <w:szCs w:val="24"/>
        </w:rPr>
      </w:pPr>
    </w:p>
    <w:p w:rsidR="00AA2EFE" w:rsidRPr="00736466" w:rsidRDefault="00AA2EFE" w:rsidP="00CA15B4">
      <w:pPr>
        <w:autoSpaceDE w:val="0"/>
        <w:autoSpaceDN w:val="0"/>
        <w:adjustRightInd w:val="0"/>
        <w:spacing w:after="0" w:line="360" w:lineRule="auto"/>
        <w:jc w:val="both"/>
        <w:rPr>
          <w:rFonts w:asciiTheme="majorBidi" w:hAnsiTheme="majorBidi" w:cstheme="majorBidi"/>
          <w:b/>
          <w:bCs/>
          <w:sz w:val="24"/>
          <w:szCs w:val="24"/>
        </w:rPr>
      </w:pPr>
      <w:r w:rsidRPr="00736466">
        <w:rPr>
          <w:rFonts w:asciiTheme="majorBidi" w:hAnsiTheme="majorBidi" w:cstheme="majorBidi"/>
          <w:b/>
          <w:bCs/>
          <w:sz w:val="24"/>
          <w:szCs w:val="24"/>
        </w:rPr>
        <w:t>3.</w:t>
      </w:r>
      <w:r w:rsidR="004538AA">
        <w:rPr>
          <w:rFonts w:asciiTheme="majorBidi" w:hAnsiTheme="majorBidi" w:cstheme="majorBidi"/>
          <w:b/>
          <w:bCs/>
          <w:sz w:val="24"/>
          <w:szCs w:val="24"/>
        </w:rPr>
        <w:t>2</w:t>
      </w:r>
      <w:r w:rsidRPr="00736466">
        <w:rPr>
          <w:rFonts w:asciiTheme="majorBidi" w:hAnsiTheme="majorBidi" w:cstheme="majorBidi"/>
          <w:b/>
          <w:bCs/>
          <w:sz w:val="24"/>
          <w:szCs w:val="24"/>
        </w:rPr>
        <w:t>. 2. Transduction spécialisée :</w:t>
      </w:r>
    </w:p>
    <w:p w:rsidR="00AA2EFE" w:rsidRPr="00736466" w:rsidRDefault="00AA2EFE" w:rsidP="00CA15B4">
      <w:pPr>
        <w:autoSpaceDE w:val="0"/>
        <w:autoSpaceDN w:val="0"/>
        <w:adjustRightInd w:val="0"/>
        <w:spacing w:after="0" w:line="360" w:lineRule="auto"/>
        <w:jc w:val="both"/>
        <w:rPr>
          <w:rFonts w:asciiTheme="majorBidi" w:hAnsiTheme="majorBidi" w:cstheme="majorBidi"/>
          <w:sz w:val="24"/>
          <w:szCs w:val="24"/>
        </w:rPr>
      </w:pPr>
      <w:r w:rsidRPr="00736466">
        <w:rPr>
          <w:rFonts w:asciiTheme="majorBidi" w:hAnsiTheme="majorBidi" w:cstheme="majorBidi"/>
          <w:sz w:val="24"/>
          <w:szCs w:val="24"/>
        </w:rPr>
        <w:t>La transduction spécialisée est une transduction au cours de laquelle uniquement certains</w:t>
      </w:r>
      <w:r w:rsidR="00261541">
        <w:rPr>
          <w:rFonts w:asciiTheme="majorBidi" w:hAnsiTheme="majorBidi" w:cstheme="majorBidi"/>
          <w:sz w:val="24"/>
          <w:szCs w:val="24"/>
        </w:rPr>
        <w:t xml:space="preserve"> </w:t>
      </w:r>
      <w:r w:rsidRPr="00736466">
        <w:rPr>
          <w:rFonts w:asciiTheme="majorBidi" w:hAnsiTheme="majorBidi" w:cstheme="majorBidi"/>
          <w:sz w:val="24"/>
          <w:szCs w:val="24"/>
        </w:rPr>
        <w:t>gènes du donneur peuvent être transférés au receveur. Différents phages peuvent transférer</w:t>
      </w:r>
      <w:r w:rsidR="00261541">
        <w:rPr>
          <w:rFonts w:asciiTheme="majorBidi" w:hAnsiTheme="majorBidi" w:cstheme="majorBidi"/>
          <w:sz w:val="24"/>
          <w:szCs w:val="24"/>
        </w:rPr>
        <w:t xml:space="preserve"> </w:t>
      </w:r>
      <w:r w:rsidRPr="00736466">
        <w:rPr>
          <w:rFonts w:asciiTheme="majorBidi" w:hAnsiTheme="majorBidi" w:cstheme="majorBidi"/>
          <w:sz w:val="24"/>
          <w:szCs w:val="24"/>
        </w:rPr>
        <w:t>différents gènes mais un phage individuel peut seulement transférer certains gènes. La</w:t>
      </w:r>
      <w:r w:rsidR="00261541">
        <w:rPr>
          <w:rFonts w:asciiTheme="majorBidi" w:hAnsiTheme="majorBidi" w:cstheme="majorBidi"/>
          <w:sz w:val="24"/>
          <w:szCs w:val="24"/>
        </w:rPr>
        <w:t xml:space="preserve"> </w:t>
      </w:r>
      <w:r w:rsidRPr="00736466">
        <w:rPr>
          <w:rFonts w:asciiTheme="majorBidi" w:hAnsiTheme="majorBidi" w:cstheme="majorBidi"/>
          <w:sz w:val="24"/>
          <w:szCs w:val="24"/>
        </w:rPr>
        <w:t>transduction spécialisée est assurée par des phages lysogéniques ou tempérés et les gènes qui</w:t>
      </w:r>
      <w:r w:rsidR="00261541">
        <w:rPr>
          <w:rFonts w:asciiTheme="majorBidi" w:hAnsiTheme="majorBidi" w:cstheme="majorBidi"/>
          <w:sz w:val="24"/>
          <w:szCs w:val="24"/>
        </w:rPr>
        <w:t xml:space="preserve"> </w:t>
      </w:r>
      <w:r w:rsidRPr="00736466">
        <w:rPr>
          <w:rFonts w:asciiTheme="majorBidi" w:hAnsiTheme="majorBidi" w:cstheme="majorBidi"/>
          <w:sz w:val="24"/>
          <w:szCs w:val="24"/>
        </w:rPr>
        <w:t>sont transférés dépendent d’où le prophage est inséré dans le chromosome. Pendant l’excision</w:t>
      </w:r>
    </w:p>
    <w:p w:rsidR="004538AA" w:rsidRDefault="00AA2EFE" w:rsidP="00CA15B4">
      <w:pPr>
        <w:autoSpaceDE w:val="0"/>
        <w:autoSpaceDN w:val="0"/>
        <w:adjustRightInd w:val="0"/>
        <w:spacing w:after="0" w:line="360" w:lineRule="auto"/>
        <w:jc w:val="both"/>
        <w:rPr>
          <w:rFonts w:asciiTheme="majorBidi" w:hAnsiTheme="majorBidi" w:cstheme="majorBidi"/>
          <w:b/>
          <w:bCs/>
          <w:sz w:val="24"/>
          <w:szCs w:val="24"/>
        </w:rPr>
      </w:pPr>
      <w:r w:rsidRPr="00736466">
        <w:rPr>
          <w:rFonts w:asciiTheme="majorBidi" w:hAnsiTheme="majorBidi" w:cstheme="majorBidi"/>
          <w:sz w:val="24"/>
          <w:szCs w:val="24"/>
        </w:rPr>
        <w:t>du prophage, occasionnellement une erreur peut se produire lorsqu’une partie de l’ADN de</w:t>
      </w:r>
      <w:r w:rsidR="00261541">
        <w:rPr>
          <w:rFonts w:asciiTheme="majorBidi" w:hAnsiTheme="majorBidi" w:cstheme="majorBidi"/>
          <w:sz w:val="24"/>
          <w:szCs w:val="24"/>
        </w:rPr>
        <w:t xml:space="preserve"> </w:t>
      </w:r>
      <w:r w:rsidRPr="00736466">
        <w:rPr>
          <w:rFonts w:asciiTheme="majorBidi" w:hAnsiTheme="majorBidi" w:cstheme="majorBidi"/>
          <w:sz w:val="24"/>
          <w:szCs w:val="24"/>
        </w:rPr>
        <w:t>l’hôte est excisée avec celui du phage (excision anormale). C’est seulement les gènes de forte</w:t>
      </w:r>
      <w:r w:rsidR="00261541">
        <w:rPr>
          <w:rFonts w:asciiTheme="majorBidi" w:hAnsiTheme="majorBidi" w:cstheme="majorBidi"/>
          <w:sz w:val="24"/>
          <w:szCs w:val="24"/>
        </w:rPr>
        <w:t xml:space="preserve"> </w:t>
      </w:r>
      <w:r w:rsidRPr="00736466">
        <w:rPr>
          <w:rFonts w:asciiTheme="majorBidi" w:hAnsiTheme="majorBidi" w:cstheme="majorBidi"/>
          <w:sz w:val="24"/>
          <w:szCs w:val="24"/>
        </w:rPr>
        <w:t>proximité du site de l’intégration du phage peuvent être transférés (d’où la transduction</w:t>
      </w:r>
      <w:r w:rsidR="00261541">
        <w:rPr>
          <w:rFonts w:asciiTheme="majorBidi" w:hAnsiTheme="majorBidi" w:cstheme="majorBidi"/>
          <w:sz w:val="24"/>
          <w:szCs w:val="24"/>
        </w:rPr>
        <w:t xml:space="preserve"> </w:t>
      </w:r>
      <w:r w:rsidRPr="00736466">
        <w:rPr>
          <w:rFonts w:asciiTheme="majorBidi" w:hAnsiTheme="majorBidi" w:cstheme="majorBidi"/>
          <w:sz w:val="24"/>
          <w:szCs w:val="24"/>
        </w:rPr>
        <w:t>spécialisée). Après réplication et libération du phage et infection du receveur, la</w:t>
      </w:r>
      <w:r w:rsidR="00261541">
        <w:rPr>
          <w:rFonts w:asciiTheme="majorBidi" w:hAnsiTheme="majorBidi" w:cstheme="majorBidi"/>
          <w:sz w:val="24"/>
          <w:szCs w:val="24"/>
        </w:rPr>
        <w:t xml:space="preserve"> </w:t>
      </w:r>
      <w:r w:rsidRPr="00736466">
        <w:rPr>
          <w:rFonts w:asciiTheme="majorBidi" w:hAnsiTheme="majorBidi" w:cstheme="majorBidi"/>
          <w:sz w:val="24"/>
          <w:szCs w:val="24"/>
        </w:rPr>
        <w:t>lysogénisation du receveur peut avoir lieu, ce qui résulte en un transfert stable des gènes du</w:t>
      </w:r>
      <w:r w:rsidR="00261541">
        <w:rPr>
          <w:rFonts w:asciiTheme="majorBidi" w:hAnsiTheme="majorBidi" w:cstheme="majorBidi"/>
          <w:sz w:val="24"/>
          <w:szCs w:val="24"/>
        </w:rPr>
        <w:t xml:space="preserve"> </w:t>
      </w:r>
      <w:r w:rsidRPr="00736466">
        <w:rPr>
          <w:rFonts w:asciiTheme="majorBidi" w:hAnsiTheme="majorBidi" w:cstheme="majorBidi"/>
          <w:sz w:val="24"/>
          <w:szCs w:val="24"/>
        </w:rPr>
        <w:t xml:space="preserve">donneur. Le receveur va alors avoir deux copies des gènes qui ont été transférés. </w:t>
      </w:r>
    </w:p>
    <w:p w:rsidR="004B6DD7" w:rsidRDefault="004B6DD7" w:rsidP="00CA15B4">
      <w:pPr>
        <w:spacing w:before="100" w:beforeAutospacing="1" w:after="100" w:afterAutospacing="1" w:line="360" w:lineRule="auto"/>
        <w:jc w:val="both"/>
        <w:rPr>
          <w:rFonts w:asciiTheme="majorBidi" w:eastAsia="Times New Roman" w:hAnsiTheme="majorBidi" w:cstheme="majorBidi"/>
          <w:sz w:val="24"/>
          <w:szCs w:val="24"/>
          <w:lang w:eastAsia="fr-FR"/>
        </w:rPr>
      </w:pPr>
    </w:p>
    <w:p w:rsidR="00F02FAF" w:rsidRDefault="00F02FAF" w:rsidP="00CA15B4">
      <w:pPr>
        <w:spacing w:before="100" w:beforeAutospacing="1" w:after="100" w:afterAutospacing="1" w:line="360" w:lineRule="auto"/>
        <w:jc w:val="both"/>
        <w:rPr>
          <w:rFonts w:asciiTheme="majorBidi" w:eastAsia="Times New Roman" w:hAnsiTheme="majorBidi" w:cstheme="majorBidi"/>
          <w:sz w:val="24"/>
          <w:szCs w:val="24"/>
          <w:lang w:eastAsia="fr-FR"/>
        </w:rPr>
      </w:pPr>
    </w:p>
    <w:p w:rsidR="004F3BD8" w:rsidRDefault="00F02FAF" w:rsidP="00CA15B4">
      <w:pPr>
        <w:spacing w:before="100" w:beforeAutospacing="1" w:after="100" w:afterAutospacing="1" w:line="360" w:lineRule="auto"/>
        <w:jc w:val="center"/>
        <w:rPr>
          <w:rFonts w:asciiTheme="majorBidi" w:eastAsia="Times New Roman" w:hAnsiTheme="majorBidi" w:cstheme="majorBidi"/>
          <w:sz w:val="24"/>
          <w:szCs w:val="24"/>
          <w:lang w:eastAsia="fr-FR"/>
        </w:rPr>
      </w:pPr>
      <w:r>
        <w:rPr>
          <w:rFonts w:asciiTheme="majorBidi" w:eastAsia="Times New Roman" w:hAnsiTheme="majorBidi" w:cstheme="majorBidi"/>
          <w:noProof/>
          <w:sz w:val="24"/>
          <w:szCs w:val="24"/>
          <w:lang w:eastAsia="fr-FR"/>
        </w:rPr>
        <w:lastRenderedPageBreak/>
        <w:drawing>
          <wp:inline distT="0" distB="0" distL="0" distR="0">
            <wp:extent cx="3844790" cy="5730949"/>
            <wp:effectExtent l="19050" t="0" r="33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3845764" cy="5732401"/>
                    </a:xfrm>
                    <a:prstGeom prst="rect">
                      <a:avLst/>
                    </a:prstGeom>
                    <a:noFill/>
                    <a:ln w="9525">
                      <a:noFill/>
                      <a:miter lim="800000"/>
                      <a:headEnd/>
                      <a:tailEnd/>
                    </a:ln>
                  </pic:spPr>
                </pic:pic>
              </a:graphicData>
            </a:graphic>
          </wp:inline>
        </w:drawing>
      </w:r>
    </w:p>
    <w:p w:rsidR="00C53CC2" w:rsidRDefault="00C53CC2" w:rsidP="00CA15B4">
      <w:pPr>
        <w:spacing w:before="100" w:beforeAutospacing="1" w:after="100" w:afterAutospacing="1" w:line="360" w:lineRule="auto"/>
        <w:jc w:val="center"/>
        <w:rPr>
          <w:rFonts w:asciiTheme="majorBidi" w:eastAsia="Times New Roman" w:hAnsiTheme="majorBidi" w:cstheme="majorBidi"/>
          <w:sz w:val="24"/>
          <w:szCs w:val="24"/>
          <w:lang w:eastAsia="fr-FR"/>
        </w:rPr>
      </w:pPr>
    </w:p>
    <w:p w:rsidR="00C53CC2" w:rsidRDefault="00C53CC2" w:rsidP="00CA15B4">
      <w:pPr>
        <w:spacing w:before="100" w:beforeAutospacing="1" w:after="100" w:afterAutospacing="1" w:line="360" w:lineRule="auto"/>
        <w:jc w:val="center"/>
        <w:rPr>
          <w:rFonts w:asciiTheme="majorBidi" w:eastAsia="Times New Roman" w:hAnsiTheme="majorBidi" w:cstheme="majorBidi"/>
          <w:sz w:val="24"/>
          <w:szCs w:val="24"/>
          <w:lang w:eastAsia="fr-FR"/>
        </w:rPr>
      </w:pPr>
    </w:p>
    <w:p w:rsidR="00C53CC2" w:rsidRDefault="00C53CC2" w:rsidP="00CA15B4">
      <w:pPr>
        <w:spacing w:before="100" w:beforeAutospacing="1" w:after="100" w:afterAutospacing="1" w:line="360" w:lineRule="auto"/>
        <w:jc w:val="center"/>
        <w:rPr>
          <w:rFonts w:asciiTheme="majorBidi" w:eastAsia="Times New Roman" w:hAnsiTheme="majorBidi" w:cstheme="majorBidi"/>
          <w:sz w:val="24"/>
          <w:szCs w:val="24"/>
          <w:lang w:eastAsia="fr-FR"/>
        </w:rPr>
      </w:pPr>
      <w:r>
        <w:rPr>
          <w:rFonts w:ascii="Arial" w:hAnsi="Arial" w:cs="Arial"/>
          <w:i/>
          <w:iCs/>
          <w:color w:val="000000"/>
          <w:sz w:val="23"/>
          <w:szCs w:val="23"/>
          <w:shd w:val="clear" w:color="auto" w:fill="FFFFFF"/>
        </w:rPr>
        <w:t>int,R, A, H, I</w:t>
      </w:r>
      <w:r>
        <w:rPr>
          <w:rFonts w:ascii="Arial" w:hAnsi="Arial" w:cs="Arial"/>
          <w:color w:val="000000"/>
          <w:sz w:val="23"/>
          <w:szCs w:val="23"/>
          <w:shd w:val="clear" w:color="auto" w:fill="FFFFFF"/>
        </w:rPr>
        <w:t> : gènes de lambda (intégrase, enz. de lyse, prot. de tête, prot. de queue, prot. de queue). </w:t>
      </w:r>
      <w:r>
        <w:rPr>
          <w:rFonts w:ascii="Arial" w:hAnsi="Arial" w:cs="Arial"/>
          <w:i/>
          <w:iCs/>
          <w:color w:val="000000"/>
          <w:sz w:val="23"/>
          <w:szCs w:val="23"/>
          <w:shd w:val="clear" w:color="auto" w:fill="FFFFFF"/>
        </w:rPr>
        <w:t>Ori</w:t>
      </w:r>
      <w:r>
        <w:rPr>
          <w:rFonts w:ascii="Arial" w:hAnsi="Arial" w:cs="Arial"/>
          <w:color w:val="000000"/>
          <w:sz w:val="23"/>
          <w:szCs w:val="23"/>
          <w:shd w:val="clear" w:color="auto" w:fill="FFFFFF"/>
        </w:rPr>
        <w:t> : origine de réplication de lambda. </w:t>
      </w:r>
      <w:r>
        <w:rPr>
          <w:rFonts w:ascii="Arial" w:hAnsi="Arial" w:cs="Arial"/>
          <w:i/>
          <w:iCs/>
          <w:color w:val="000000"/>
          <w:sz w:val="23"/>
          <w:szCs w:val="23"/>
          <w:shd w:val="clear" w:color="auto" w:fill="FFFFFF"/>
        </w:rPr>
        <w:t>Cos</w:t>
      </w:r>
      <w:r>
        <w:rPr>
          <w:rFonts w:ascii="Arial" w:hAnsi="Arial" w:cs="Arial"/>
          <w:color w:val="000000"/>
          <w:sz w:val="23"/>
          <w:szCs w:val="23"/>
          <w:shd w:val="clear" w:color="auto" w:fill="FFFFFF"/>
        </w:rPr>
        <w:t xml:space="preserve"> : extrémités cohésives de lambda. </w:t>
      </w:r>
      <w:r>
        <w:rPr>
          <w:rFonts w:ascii="Arial" w:hAnsi="Arial" w:cs="Arial"/>
          <w:i/>
          <w:iCs/>
          <w:color w:val="000000"/>
          <w:sz w:val="23"/>
          <w:szCs w:val="23"/>
          <w:shd w:val="clear" w:color="auto" w:fill="FFFFFF"/>
        </w:rPr>
        <w:t>attB</w:t>
      </w:r>
      <w:r>
        <w:rPr>
          <w:rFonts w:ascii="Arial" w:hAnsi="Arial" w:cs="Arial"/>
          <w:color w:val="000000"/>
          <w:sz w:val="23"/>
          <w:szCs w:val="23"/>
          <w:shd w:val="clear" w:color="auto" w:fill="FFFFFF"/>
        </w:rPr>
        <w:t> : séquence d'attachement : intégration spécifique entre </w:t>
      </w:r>
      <w:r>
        <w:rPr>
          <w:rFonts w:ascii="Arial" w:hAnsi="Arial" w:cs="Arial"/>
          <w:i/>
          <w:iCs/>
          <w:color w:val="000000"/>
          <w:sz w:val="23"/>
          <w:szCs w:val="23"/>
          <w:shd w:val="clear" w:color="auto" w:fill="FFFFFF"/>
        </w:rPr>
        <w:t>Gal</w:t>
      </w:r>
      <w:r>
        <w:rPr>
          <w:rFonts w:ascii="Arial" w:hAnsi="Arial" w:cs="Arial"/>
          <w:color w:val="000000"/>
          <w:sz w:val="23"/>
          <w:szCs w:val="23"/>
          <w:shd w:val="clear" w:color="auto" w:fill="FFFFFF"/>
        </w:rPr>
        <w:t> et </w:t>
      </w:r>
      <w:r>
        <w:rPr>
          <w:rFonts w:ascii="Arial" w:hAnsi="Arial" w:cs="Arial"/>
          <w:i/>
          <w:iCs/>
          <w:color w:val="000000"/>
          <w:sz w:val="23"/>
          <w:szCs w:val="23"/>
          <w:shd w:val="clear" w:color="auto" w:fill="FFFFFF"/>
        </w:rPr>
        <w:t>bio</w:t>
      </w:r>
      <w:r>
        <w:rPr>
          <w:rFonts w:ascii="Arial" w:hAnsi="Arial" w:cs="Arial"/>
          <w:color w:val="000000"/>
          <w:sz w:val="23"/>
          <w:szCs w:val="23"/>
          <w:shd w:val="clear" w:color="auto" w:fill="FFFFFF"/>
        </w:rPr>
        <w:t>.</w:t>
      </w:r>
    </w:p>
    <w:p w:rsidR="00C53CC2" w:rsidRDefault="00C53CC2" w:rsidP="00CA15B4">
      <w:pPr>
        <w:spacing w:before="100" w:beforeAutospacing="1" w:after="100" w:afterAutospacing="1" w:line="360" w:lineRule="auto"/>
        <w:jc w:val="center"/>
        <w:rPr>
          <w:rFonts w:asciiTheme="majorBidi" w:eastAsia="Times New Roman" w:hAnsiTheme="majorBidi" w:cstheme="majorBidi"/>
          <w:sz w:val="24"/>
          <w:szCs w:val="24"/>
          <w:lang w:eastAsia="fr-FR"/>
        </w:rPr>
      </w:pPr>
      <w:r>
        <w:rPr>
          <w:rFonts w:asciiTheme="majorBidi" w:eastAsia="Times New Roman" w:hAnsiTheme="majorBidi" w:cstheme="majorBidi"/>
          <w:noProof/>
          <w:sz w:val="24"/>
          <w:szCs w:val="24"/>
          <w:lang w:eastAsia="fr-FR"/>
        </w:rPr>
        <w:lastRenderedPageBreak/>
        <w:drawing>
          <wp:inline distT="0" distB="0" distL="0" distR="0">
            <wp:extent cx="5760720" cy="4937509"/>
            <wp:effectExtent l="19050" t="0" r="0" b="0"/>
            <wp:docPr id="2" name="Image 1" descr="C:\Users\Tis Info\Desktop\transductionlambd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s Info\Desktop\transductionlambda2.gif"/>
                    <pic:cNvPicPr>
                      <a:picLocks noChangeAspect="1" noChangeArrowheads="1"/>
                    </pic:cNvPicPr>
                  </pic:nvPicPr>
                  <pic:blipFill>
                    <a:blip r:embed="rId17"/>
                    <a:srcRect/>
                    <a:stretch>
                      <a:fillRect/>
                    </a:stretch>
                  </pic:blipFill>
                  <pic:spPr bwMode="auto">
                    <a:xfrm>
                      <a:off x="0" y="0"/>
                      <a:ext cx="5760720" cy="4937509"/>
                    </a:xfrm>
                    <a:prstGeom prst="rect">
                      <a:avLst/>
                    </a:prstGeom>
                    <a:noFill/>
                    <a:ln w="9525">
                      <a:noFill/>
                      <a:miter lim="800000"/>
                      <a:headEnd/>
                      <a:tailEnd/>
                    </a:ln>
                  </pic:spPr>
                </pic:pic>
              </a:graphicData>
            </a:graphic>
          </wp:inline>
        </w:drawing>
      </w:r>
    </w:p>
    <w:p w:rsidR="00EA183F" w:rsidRDefault="00EA183F" w:rsidP="00CA15B4">
      <w:pPr>
        <w:spacing w:before="100" w:beforeAutospacing="1" w:after="100" w:afterAutospacing="1" w:line="360" w:lineRule="auto"/>
        <w:jc w:val="center"/>
        <w:rPr>
          <w:rFonts w:asciiTheme="majorBidi" w:eastAsia="Times New Roman" w:hAnsiTheme="majorBidi" w:cstheme="majorBidi"/>
          <w:sz w:val="24"/>
          <w:szCs w:val="24"/>
          <w:lang w:eastAsia="fr-FR"/>
        </w:rPr>
      </w:pPr>
    </w:p>
    <w:p w:rsidR="00EA183F" w:rsidRDefault="00EA183F" w:rsidP="00CA15B4">
      <w:pPr>
        <w:spacing w:before="100" w:beforeAutospacing="1" w:after="100" w:afterAutospacing="1" w:line="360" w:lineRule="auto"/>
        <w:jc w:val="center"/>
        <w:rPr>
          <w:rFonts w:asciiTheme="majorBidi" w:eastAsia="Times New Roman" w:hAnsiTheme="majorBidi" w:cstheme="majorBidi"/>
          <w:sz w:val="24"/>
          <w:szCs w:val="24"/>
          <w:lang w:eastAsia="fr-FR"/>
        </w:rPr>
      </w:pPr>
    </w:p>
    <w:p w:rsidR="004F3BD8" w:rsidRDefault="004F3BD8" w:rsidP="00CA15B4">
      <w:pPr>
        <w:spacing w:line="360" w:lineRule="auto"/>
        <w:rPr>
          <w:rFonts w:asciiTheme="majorBidi" w:eastAsia="Times New Roman" w:hAnsiTheme="majorBidi" w:cstheme="majorBidi"/>
          <w:sz w:val="24"/>
          <w:szCs w:val="24"/>
          <w:lang w:eastAsia="fr-FR"/>
        </w:rPr>
      </w:pPr>
    </w:p>
    <w:p w:rsidR="00F02FAF" w:rsidRPr="004F3BD8" w:rsidRDefault="004F3BD8" w:rsidP="00CA15B4">
      <w:pPr>
        <w:spacing w:line="360" w:lineRule="auto"/>
        <w:ind w:firstLine="708"/>
        <w:jc w:val="center"/>
        <w:rPr>
          <w:rFonts w:asciiTheme="majorBidi" w:eastAsia="Times New Roman" w:hAnsiTheme="majorBidi" w:cstheme="majorBidi"/>
          <w:sz w:val="24"/>
          <w:szCs w:val="24"/>
          <w:lang w:eastAsia="fr-FR"/>
        </w:rPr>
      </w:pPr>
      <w:r w:rsidRPr="004F3BD8">
        <w:rPr>
          <w:rFonts w:asciiTheme="majorBidi" w:eastAsia="Times New Roman" w:hAnsiTheme="majorBidi" w:cstheme="majorBidi"/>
          <w:b/>
          <w:bCs/>
          <w:sz w:val="24"/>
          <w:szCs w:val="24"/>
          <w:lang w:eastAsia="fr-FR"/>
        </w:rPr>
        <w:t>Figure</w:t>
      </w:r>
      <w:r w:rsidR="00C530B3">
        <w:rPr>
          <w:rFonts w:asciiTheme="majorBidi" w:eastAsia="Times New Roman" w:hAnsiTheme="majorBidi" w:cstheme="majorBidi"/>
          <w:b/>
          <w:bCs/>
          <w:sz w:val="24"/>
          <w:szCs w:val="24"/>
          <w:lang w:eastAsia="fr-FR"/>
        </w:rPr>
        <w:t xml:space="preserve"> 08</w:t>
      </w:r>
      <w:r w:rsidRPr="004F3BD8">
        <w:rPr>
          <w:rFonts w:asciiTheme="majorBidi" w:eastAsia="Times New Roman" w:hAnsiTheme="majorBidi" w:cstheme="majorBidi"/>
          <w:b/>
          <w:bCs/>
          <w:sz w:val="24"/>
          <w:szCs w:val="24"/>
          <w:lang w:eastAsia="fr-FR"/>
        </w:rPr>
        <w:t> </w:t>
      </w:r>
      <w:r>
        <w:rPr>
          <w:rFonts w:asciiTheme="majorBidi" w:eastAsia="Times New Roman" w:hAnsiTheme="majorBidi" w:cstheme="majorBidi"/>
          <w:sz w:val="24"/>
          <w:szCs w:val="24"/>
          <w:lang w:eastAsia="fr-FR"/>
        </w:rPr>
        <w:t>: la transduction spécialisée</w:t>
      </w:r>
    </w:p>
    <w:sectPr w:rsidR="00F02FAF" w:rsidRPr="004F3BD8" w:rsidSect="00AB19CD">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0D8D" w:rsidRDefault="00B10D8D" w:rsidP="000B48A1">
      <w:pPr>
        <w:spacing w:after="0" w:line="240" w:lineRule="auto"/>
      </w:pPr>
      <w:r>
        <w:separator/>
      </w:r>
    </w:p>
  </w:endnote>
  <w:endnote w:type="continuationSeparator" w:id="1">
    <w:p w:rsidR="00B10D8D" w:rsidRDefault="00B10D8D" w:rsidP="000B48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1124"/>
      <w:docPartObj>
        <w:docPartGallery w:val="Page Numbers (Bottom of Page)"/>
        <w:docPartUnique/>
      </w:docPartObj>
    </w:sdtPr>
    <w:sdtContent>
      <w:p w:rsidR="000B48A1" w:rsidRDefault="007B50A2">
        <w:pPr>
          <w:pStyle w:val="Pieddepage"/>
          <w:jc w:val="center"/>
        </w:pPr>
        <w:fldSimple w:instr=" PAGE   \* MERGEFORMAT ">
          <w:r w:rsidR="00FC7E5A">
            <w:rPr>
              <w:noProof/>
            </w:rPr>
            <w:t>1</w:t>
          </w:r>
        </w:fldSimple>
      </w:p>
    </w:sdtContent>
  </w:sdt>
  <w:p w:rsidR="000B48A1" w:rsidRDefault="000B48A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0D8D" w:rsidRDefault="00B10D8D" w:rsidP="000B48A1">
      <w:pPr>
        <w:spacing w:after="0" w:line="240" w:lineRule="auto"/>
      </w:pPr>
      <w:r>
        <w:separator/>
      </w:r>
    </w:p>
  </w:footnote>
  <w:footnote w:type="continuationSeparator" w:id="1">
    <w:p w:rsidR="00B10D8D" w:rsidRDefault="00B10D8D" w:rsidP="000B48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8A1" w:rsidRPr="00BF51C0" w:rsidRDefault="000B48A1" w:rsidP="000B48A1">
    <w:pPr>
      <w:pStyle w:val="En-tte"/>
      <w:rPr>
        <w:rFonts w:asciiTheme="majorBidi" w:hAnsiTheme="majorBidi" w:cstheme="majorBidi"/>
        <w:i/>
        <w:iCs/>
        <w:sz w:val="20"/>
        <w:szCs w:val="20"/>
      </w:rPr>
    </w:pPr>
    <w:r w:rsidRPr="00BF51C0">
      <w:rPr>
        <w:rFonts w:asciiTheme="majorBidi" w:hAnsiTheme="majorBidi" w:cstheme="majorBidi"/>
        <w:i/>
        <w:iCs/>
        <w:sz w:val="20"/>
        <w:szCs w:val="20"/>
      </w:rPr>
      <w:t>Centre universitaire Mila</w:t>
    </w:r>
  </w:p>
  <w:p w:rsidR="000B48A1" w:rsidRPr="00BF51C0" w:rsidRDefault="000B48A1" w:rsidP="000B48A1">
    <w:pPr>
      <w:pStyle w:val="En-tte"/>
      <w:rPr>
        <w:rFonts w:asciiTheme="majorBidi" w:hAnsiTheme="majorBidi" w:cstheme="majorBidi"/>
        <w:i/>
        <w:iCs/>
        <w:sz w:val="20"/>
        <w:szCs w:val="20"/>
      </w:rPr>
    </w:pPr>
    <w:r w:rsidRPr="00BF51C0">
      <w:rPr>
        <w:rFonts w:asciiTheme="majorBidi" w:hAnsiTheme="majorBidi" w:cstheme="majorBidi"/>
        <w:i/>
        <w:iCs/>
        <w:sz w:val="20"/>
        <w:szCs w:val="20"/>
      </w:rPr>
      <w:t xml:space="preserve">Module : Biotechnologie microbienne                                                           </w:t>
    </w:r>
    <w:r>
      <w:rPr>
        <w:rFonts w:asciiTheme="majorBidi" w:hAnsiTheme="majorBidi" w:cstheme="majorBidi"/>
        <w:i/>
        <w:iCs/>
        <w:sz w:val="20"/>
        <w:szCs w:val="20"/>
      </w:rPr>
      <w:t xml:space="preserve">       </w:t>
    </w:r>
    <w:r w:rsidRPr="00BF51C0">
      <w:rPr>
        <w:rFonts w:asciiTheme="majorBidi" w:hAnsiTheme="majorBidi" w:cstheme="majorBidi"/>
        <w:i/>
        <w:iCs/>
        <w:sz w:val="20"/>
        <w:szCs w:val="20"/>
      </w:rPr>
      <w:t>Dr. RABHI Nour El Houda</w:t>
    </w:r>
  </w:p>
  <w:p w:rsidR="000B48A1" w:rsidRPr="00BF51C0" w:rsidRDefault="000B48A1" w:rsidP="000B48A1">
    <w:pPr>
      <w:pStyle w:val="En-tte"/>
      <w:rPr>
        <w:rFonts w:asciiTheme="majorBidi" w:hAnsiTheme="majorBidi" w:cstheme="majorBidi"/>
        <w:i/>
        <w:iCs/>
        <w:sz w:val="20"/>
        <w:szCs w:val="20"/>
      </w:rPr>
    </w:pPr>
    <w:r w:rsidRPr="00BF51C0">
      <w:rPr>
        <w:rFonts w:asciiTheme="majorBidi" w:hAnsiTheme="majorBidi" w:cstheme="majorBidi"/>
        <w:i/>
        <w:iCs/>
        <w:sz w:val="20"/>
        <w:szCs w:val="20"/>
      </w:rPr>
      <w:t>Spécialité : Microbiologie appliquée</w:t>
    </w:r>
  </w:p>
  <w:p w:rsidR="000B48A1" w:rsidRPr="00BF51C0" w:rsidRDefault="000B48A1" w:rsidP="000B48A1">
    <w:pPr>
      <w:pStyle w:val="En-tte"/>
      <w:rPr>
        <w:rFonts w:asciiTheme="majorBidi" w:hAnsiTheme="majorBidi" w:cstheme="majorBidi"/>
        <w:i/>
        <w:iCs/>
        <w:sz w:val="20"/>
        <w:szCs w:val="20"/>
      </w:rPr>
    </w:pPr>
    <w:r w:rsidRPr="00BF51C0">
      <w:rPr>
        <w:rFonts w:asciiTheme="majorBidi" w:hAnsiTheme="majorBidi" w:cstheme="majorBidi"/>
        <w:i/>
        <w:iCs/>
        <w:sz w:val="20"/>
        <w:szCs w:val="20"/>
      </w:rPr>
      <w:t>Niveau : Master2</w:t>
    </w:r>
  </w:p>
  <w:p w:rsidR="000B48A1" w:rsidRDefault="000B48A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95DA8"/>
    <w:multiLevelType w:val="hybridMultilevel"/>
    <w:tmpl w:val="B1FED534"/>
    <w:lvl w:ilvl="0" w:tplc="6D745802">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0194A13"/>
    <w:multiLevelType w:val="multilevel"/>
    <w:tmpl w:val="DB340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0E1C66"/>
    <w:multiLevelType w:val="hybridMultilevel"/>
    <w:tmpl w:val="64EA016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1F84122"/>
    <w:multiLevelType w:val="multilevel"/>
    <w:tmpl w:val="FF506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3C22F0"/>
    <w:multiLevelType w:val="hybridMultilevel"/>
    <w:tmpl w:val="C0FABE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4E83B90"/>
    <w:multiLevelType w:val="hybridMultilevel"/>
    <w:tmpl w:val="C2ACF05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78864F0"/>
    <w:multiLevelType w:val="hybridMultilevel"/>
    <w:tmpl w:val="748219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BCD4CAD"/>
    <w:multiLevelType w:val="hybridMultilevel"/>
    <w:tmpl w:val="308A81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5"/>
  </w:num>
  <w:num w:numId="5">
    <w:abstractNumId w:val="7"/>
  </w:num>
  <w:num w:numId="6">
    <w:abstractNumId w:val="2"/>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B6DD7"/>
    <w:rsid w:val="00005AB6"/>
    <w:rsid w:val="00023C98"/>
    <w:rsid w:val="00071A29"/>
    <w:rsid w:val="000B48A1"/>
    <w:rsid w:val="001D59D6"/>
    <w:rsid w:val="00261541"/>
    <w:rsid w:val="004538AA"/>
    <w:rsid w:val="004A18F3"/>
    <w:rsid w:val="004B6DD7"/>
    <w:rsid w:val="004F3BD8"/>
    <w:rsid w:val="00581804"/>
    <w:rsid w:val="00596691"/>
    <w:rsid w:val="006A1E74"/>
    <w:rsid w:val="00736466"/>
    <w:rsid w:val="007B50A2"/>
    <w:rsid w:val="0088426E"/>
    <w:rsid w:val="00912C94"/>
    <w:rsid w:val="009A3F99"/>
    <w:rsid w:val="009E45B9"/>
    <w:rsid w:val="00AA0F24"/>
    <w:rsid w:val="00AA2EFE"/>
    <w:rsid w:val="00AB19CD"/>
    <w:rsid w:val="00B10D8D"/>
    <w:rsid w:val="00BE5562"/>
    <w:rsid w:val="00C530B3"/>
    <w:rsid w:val="00C53CC2"/>
    <w:rsid w:val="00CA15B4"/>
    <w:rsid w:val="00D31BAE"/>
    <w:rsid w:val="00D355C2"/>
    <w:rsid w:val="00D718D1"/>
    <w:rsid w:val="00EA183F"/>
    <w:rsid w:val="00F02FAF"/>
    <w:rsid w:val="00F54FAD"/>
    <w:rsid w:val="00FC2C06"/>
    <w:rsid w:val="00FC7E5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9CD"/>
  </w:style>
  <w:style w:type="paragraph" w:styleId="Titre3">
    <w:name w:val="heading 3"/>
    <w:basedOn w:val="Normal"/>
    <w:link w:val="Titre3Car"/>
    <w:uiPriority w:val="9"/>
    <w:qFormat/>
    <w:rsid w:val="004B6DD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4B6DD7"/>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4B6DD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B6DD7"/>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4B6DD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semiHidden/>
    <w:rsid w:val="004B6DD7"/>
    <w:rPr>
      <w:rFonts w:asciiTheme="majorHAnsi" w:eastAsiaTheme="majorEastAsia" w:hAnsiTheme="majorHAnsi" w:cstheme="majorBidi"/>
      <w:b/>
      <w:bCs/>
      <w:i/>
      <w:iCs/>
      <w:color w:val="4F81BD" w:themeColor="accent1"/>
    </w:rPr>
  </w:style>
  <w:style w:type="character" w:styleId="lev">
    <w:name w:val="Strong"/>
    <w:basedOn w:val="Policepardfaut"/>
    <w:uiPriority w:val="22"/>
    <w:qFormat/>
    <w:rsid w:val="004B6DD7"/>
    <w:rPr>
      <w:b/>
      <w:bCs/>
    </w:rPr>
  </w:style>
  <w:style w:type="character" w:customStyle="1" w:styleId="Titre5Car">
    <w:name w:val="Titre 5 Car"/>
    <w:basedOn w:val="Policepardfaut"/>
    <w:link w:val="Titre5"/>
    <w:uiPriority w:val="9"/>
    <w:semiHidden/>
    <w:rsid w:val="004B6DD7"/>
    <w:rPr>
      <w:rFonts w:asciiTheme="majorHAnsi" w:eastAsiaTheme="majorEastAsia" w:hAnsiTheme="majorHAnsi" w:cstheme="majorBidi"/>
      <w:color w:val="243F60" w:themeColor="accent1" w:themeShade="7F"/>
    </w:rPr>
  </w:style>
  <w:style w:type="paragraph" w:styleId="Textedebulles">
    <w:name w:val="Balloon Text"/>
    <w:basedOn w:val="Normal"/>
    <w:link w:val="TextedebullesCar"/>
    <w:uiPriority w:val="99"/>
    <w:semiHidden/>
    <w:unhideWhenUsed/>
    <w:rsid w:val="008842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426E"/>
    <w:rPr>
      <w:rFonts w:ascii="Tahoma" w:hAnsi="Tahoma" w:cs="Tahoma"/>
      <w:sz w:val="16"/>
      <w:szCs w:val="16"/>
    </w:rPr>
  </w:style>
  <w:style w:type="paragraph" w:styleId="Paragraphedeliste">
    <w:name w:val="List Paragraph"/>
    <w:basedOn w:val="Normal"/>
    <w:uiPriority w:val="34"/>
    <w:qFormat/>
    <w:rsid w:val="00736466"/>
    <w:pPr>
      <w:ind w:left="720"/>
      <w:contextualSpacing/>
    </w:pPr>
  </w:style>
  <w:style w:type="character" w:styleId="Accentuation">
    <w:name w:val="Emphasis"/>
    <w:basedOn w:val="Policepardfaut"/>
    <w:uiPriority w:val="20"/>
    <w:qFormat/>
    <w:rsid w:val="00BE5562"/>
    <w:rPr>
      <w:i/>
      <w:iCs/>
    </w:rPr>
  </w:style>
  <w:style w:type="paragraph" w:styleId="En-tte">
    <w:name w:val="header"/>
    <w:basedOn w:val="Normal"/>
    <w:link w:val="En-tteCar"/>
    <w:uiPriority w:val="99"/>
    <w:semiHidden/>
    <w:unhideWhenUsed/>
    <w:rsid w:val="000B48A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B48A1"/>
  </w:style>
  <w:style w:type="paragraph" w:styleId="Pieddepage">
    <w:name w:val="footer"/>
    <w:basedOn w:val="Normal"/>
    <w:link w:val="PieddepageCar"/>
    <w:uiPriority w:val="99"/>
    <w:unhideWhenUsed/>
    <w:rsid w:val="000B48A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B48A1"/>
  </w:style>
</w:styles>
</file>

<file path=word/webSettings.xml><?xml version="1.0" encoding="utf-8"?>
<w:webSettings xmlns:r="http://schemas.openxmlformats.org/officeDocument/2006/relationships" xmlns:w="http://schemas.openxmlformats.org/wordprocessingml/2006/main">
  <w:divs>
    <w:div w:id="300156694">
      <w:bodyDiv w:val="1"/>
      <w:marLeft w:val="0"/>
      <w:marRight w:val="0"/>
      <w:marTop w:val="0"/>
      <w:marBottom w:val="0"/>
      <w:divBdr>
        <w:top w:val="none" w:sz="0" w:space="0" w:color="auto"/>
        <w:left w:val="none" w:sz="0" w:space="0" w:color="auto"/>
        <w:bottom w:val="none" w:sz="0" w:space="0" w:color="auto"/>
        <w:right w:val="none" w:sz="0" w:space="0" w:color="auto"/>
      </w:divBdr>
    </w:div>
    <w:div w:id="571233537">
      <w:bodyDiv w:val="1"/>
      <w:marLeft w:val="0"/>
      <w:marRight w:val="0"/>
      <w:marTop w:val="0"/>
      <w:marBottom w:val="0"/>
      <w:divBdr>
        <w:top w:val="none" w:sz="0" w:space="0" w:color="auto"/>
        <w:left w:val="none" w:sz="0" w:space="0" w:color="auto"/>
        <w:bottom w:val="none" w:sz="0" w:space="0" w:color="auto"/>
        <w:right w:val="none" w:sz="0" w:space="0" w:color="auto"/>
      </w:divBdr>
    </w:div>
    <w:div w:id="756367107">
      <w:bodyDiv w:val="1"/>
      <w:marLeft w:val="0"/>
      <w:marRight w:val="0"/>
      <w:marTop w:val="0"/>
      <w:marBottom w:val="0"/>
      <w:divBdr>
        <w:top w:val="none" w:sz="0" w:space="0" w:color="auto"/>
        <w:left w:val="none" w:sz="0" w:space="0" w:color="auto"/>
        <w:bottom w:val="none" w:sz="0" w:space="0" w:color="auto"/>
        <w:right w:val="none" w:sz="0" w:space="0" w:color="auto"/>
      </w:divBdr>
    </w:div>
    <w:div w:id="757824349">
      <w:bodyDiv w:val="1"/>
      <w:marLeft w:val="0"/>
      <w:marRight w:val="0"/>
      <w:marTop w:val="0"/>
      <w:marBottom w:val="0"/>
      <w:divBdr>
        <w:top w:val="none" w:sz="0" w:space="0" w:color="auto"/>
        <w:left w:val="none" w:sz="0" w:space="0" w:color="auto"/>
        <w:bottom w:val="none" w:sz="0" w:space="0" w:color="auto"/>
        <w:right w:val="none" w:sz="0" w:space="0" w:color="auto"/>
      </w:divBdr>
    </w:div>
    <w:div w:id="1129742212">
      <w:bodyDiv w:val="1"/>
      <w:marLeft w:val="0"/>
      <w:marRight w:val="0"/>
      <w:marTop w:val="0"/>
      <w:marBottom w:val="0"/>
      <w:divBdr>
        <w:top w:val="none" w:sz="0" w:space="0" w:color="auto"/>
        <w:left w:val="none" w:sz="0" w:space="0" w:color="auto"/>
        <w:bottom w:val="none" w:sz="0" w:space="0" w:color="auto"/>
        <w:right w:val="none" w:sz="0" w:space="0" w:color="auto"/>
      </w:divBdr>
    </w:div>
    <w:div w:id="1366053385">
      <w:bodyDiv w:val="1"/>
      <w:marLeft w:val="0"/>
      <w:marRight w:val="0"/>
      <w:marTop w:val="0"/>
      <w:marBottom w:val="0"/>
      <w:divBdr>
        <w:top w:val="none" w:sz="0" w:space="0" w:color="auto"/>
        <w:left w:val="none" w:sz="0" w:space="0" w:color="auto"/>
        <w:bottom w:val="none" w:sz="0" w:space="0" w:color="auto"/>
        <w:right w:val="none" w:sz="0" w:space="0" w:color="auto"/>
      </w:divBdr>
    </w:div>
    <w:div w:id="1681353623">
      <w:bodyDiv w:val="1"/>
      <w:marLeft w:val="0"/>
      <w:marRight w:val="0"/>
      <w:marTop w:val="0"/>
      <w:marBottom w:val="0"/>
      <w:divBdr>
        <w:top w:val="none" w:sz="0" w:space="0" w:color="auto"/>
        <w:left w:val="none" w:sz="0" w:space="0" w:color="auto"/>
        <w:bottom w:val="none" w:sz="0" w:space="0" w:color="auto"/>
        <w:right w:val="none" w:sz="0" w:space="0" w:color="auto"/>
      </w:divBdr>
    </w:div>
    <w:div w:id="207939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gi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3277</Words>
  <Characters>18029</Characters>
  <Application>Microsoft Office Word</Application>
  <DocSecurity>0</DocSecurity>
  <Lines>150</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2</cp:revision>
  <dcterms:created xsi:type="dcterms:W3CDTF">2025-11-02T11:20:00Z</dcterms:created>
  <dcterms:modified xsi:type="dcterms:W3CDTF">2025-11-02T11:20:00Z</dcterms:modified>
</cp:coreProperties>
</file>