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BB3" w:rsidRPr="00031BB3" w:rsidRDefault="001B0EC2" w:rsidP="001B0EC2">
      <w:pPr>
        <w:spacing w:before="100" w:beforeAutospacing="1" w:after="100" w:afterAutospacing="1" w:line="360" w:lineRule="auto"/>
        <w:jc w:val="center"/>
        <w:outlineLvl w:val="1"/>
        <w:rPr>
          <w:rFonts w:asciiTheme="majorBidi" w:eastAsia="Times New Roman" w:hAnsiTheme="majorBidi" w:cstheme="majorBidi"/>
          <w:b/>
          <w:bCs/>
          <w:sz w:val="24"/>
          <w:szCs w:val="24"/>
          <w:lang w:eastAsia="fr-FR"/>
        </w:rPr>
      </w:pPr>
      <w:r w:rsidRPr="00D847FC">
        <w:rPr>
          <w:rFonts w:asciiTheme="majorBidi" w:eastAsia="Times New Roman" w:hAnsiTheme="majorBidi" w:cstheme="majorBidi"/>
          <w:b/>
          <w:bCs/>
          <w:sz w:val="24"/>
          <w:szCs w:val="24"/>
          <w:lang w:eastAsia="fr-FR"/>
        </w:rPr>
        <w:t>Résistance Aux Antibiotiques</w:t>
      </w:r>
    </w:p>
    <w:p w:rsidR="00031BB3" w:rsidRPr="00031BB3" w:rsidRDefault="00031BB3" w:rsidP="00D847FC">
      <w:pPr>
        <w:spacing w:before="100" w:beforeAutospacing="1" w:after="100" w:afterAutospacing="1" w:line="360" w:lineRule="auto"/>
        <w:outlineLvl w:val="2"/>
        <w:rPr>
          <w:rFonts w:asciiTheme="majorBidi" w:eastAsia="Times New Roman" w:hAnsiTheme="majorBidi" w:cstheme="majorBidi"/>
          <w:b/>
          <w:bCs/>
          <w:sz w:val="24"/>
          <w:szCs w:val="24"/>
          <w:lang w:eastAsia="fr-FR"/>
        </w:rPr>
      </w:pPr>
      <w:r w:rsidRPr="00031BB3">
        <w:rPr>
          <w:rFonts w:asciiTheme="majorBidi" w:eastAsia="Times New Roman" w:hAnsiTheme="majorBidi" w:cstheme="majorBidi"/>
          <w:b/>
          <w:bCs/>
          <w:sz w:val="24"/>
          <w:szCs w:val="24"/>
          <w:lang w:eastAsia="fr-FR"/>
        </w:rPr>
        <w:t>Introduction</w:t>
      </w:r>
    </w:p>
    <w:p w:rsidR="00031BB3" w:rsidRPr="00031BB3" w:rsidRDefault="00031BB3" w:rsidP="00F222C8">
      <w:pPr>
        <w:spacing w:before="100" w:beforeAutospacing="1" w:after="100" w:afterAutospacing="1" w:line="360" w:lineRule="auto"/>
        <w:jc w:val="both"/>
        <w:rPr>
          <w:rFonts w:asciiTheme="majorBidi" w:eastAsia="Times New Roman" w:hAnsiTheme="majorBidi" w:cstheme="majorBidi"/>
          <w:sz w:val="24"/>
          <w:szCs w:val="24"/>
          <w:lang w:eastAsia="fr-FR"/>
        </w:rPr>
      </w:pPr>
      <w:r w:rsidRPr="00031BB3">
        <w:rPr>
          <w:rFonts w:asciiTheme="majorBidi" w:eastAsia="Times New Roman" w:hAnsiTheme="majorBidi" w:cstheme="majorBidi"/>
          <w:sz w:val="24"/>
          <w:szCs w:val="24"/>
          <w:lang w:eastAsia="fr-FR"/>
        </w:rPr>
        <w:t>La résistance aux antibiotiques constitue un phénomène naturel lié à l’évolution des microorganismes.</w:t>
      </w:r>
      <w:r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Cependant, </w:t>
      </w:r>
      <w:r w:rsidRPr="00D847FC">
        <w:rPr>
          <w:rFonts w:asciiTheme="majorBidi" w:eastAsia="Times New Roman" w:hAnsiTheme="majorBidi" w:cstheme="majorBidi"/>
          <w:sz w:val="24"/>
          <w:szCs w:val="24"/>
          <w:lang w:eastAsia="fr-FR"/>
        </w:rPr>
        <w:t>l’usage intensif ou inapproprié des antibiotiques</w:t>
      </w:r>
      <w:r w:rsidRPr="00031BB3">
        <w:rPr>
          <w:rFonts w:asciiTheme="majorBidi" w:eastAsia="Times New Roman" w:hAnsiTheme="majorBidi" w:cstheme="majorBidi"/>
          <w:sz w:val="24"/>
          <w:szCs w:val="24"/>
          <w:lang w:eastAsia="fr-FR"/>
        </w:rPr>
        <w:t xml:space="preserve"> accentue ce phénomène en exerçant une </w:t>
      </w:r>
      <w:r w:rsidRPr="00D847FC">
        <w:rPr>
          <w:rFonts w:asciiTheme="majorBidi" w:eastAsia="Times New Roman" w:hAnsiTheme="majorBidi" w:cstheme="majorBidi"/>
          <w:sz w:val="24"/>
          <w:szCs w:val="24"/>
          <w:lang w:eastAsia="fr-FR"/>
        </w:rPr>
        <w:t>pression de sélection</w:t>
      </w:r>
      <w:r w:rsidRPr="00031BB3">
        <w:rPr>
          <w:rFonts w:asciiTheme="majorBidi" w:eastAsia="Times New Roman" w:hAnsiTheme="majorBidi" w:cstheme="majorBidi"/>
          <w:sz w:val="24"/>
          <w:szCs w:val="24"/>
          <w:lang w:eastAsia="fr-FR"/>
        </w:rPr>
        <w:t>, favorisant :</w:t>
      </w:r>
      <w:r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la multiplication de </w:t>
      </w:r>
      <w:r w:rsidRPr="00D847FC">
        <w:rPr>
          <w:rFonts w:asciiTheme="majorBidi" w:eastAsia="Times New Roman" w:hAnsiTheme="majorBidi" w:cstheme="majorBidi"/>
          <w:sz w:val="24"/>
          <w:szCs w:val="24"/>
          <w:lang w:eastAsia="fr-FR"/>
        </w:rPr>
        <w:t>souches résistantes</w:t>
      </w:r>
      <w:r w:rsidRPr="00031BB3">
        <w:rPr>
          <w:rFonts w:asciiTheme="majorBidi" w:eastAsia="Times New Roman" w:hAnsiTheme="majorBidi" w:cstheme="majorBidi"/>
          <w:sz w:val="24"/>
          <w:szCs w:val="24"/>
          <w:lang w:eastAsia="fr-FR"/>
        </w:rPr>
        <w:t xml:space="preserve"> ;</w:t>
      </w:r>
      <w:r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ou </w:t>
      </w:r>
      <w:r w:rsidRPr="00D847FC">
        <w:rPr>
          <w:rFonts w:asciiTheme="majorBidi" w:eastAsia="Times New Roman" w:hAnsiTheme="majorBidi" w:cstheme="majorBidi"/>
          <w:sz w:val="24"/>
          <w:szCs w:val="24"/>
          <w:lang w:eastAsia="fr-FR"/>
        </w:rPr>
        <w:t>l’induction</w:t>
      </w:r>
      <w:r w:rsidRPr="00031BB3">
        <w:rPr>
          <w:rFonts w:asciiTheme="majorBidi" w:eastAsia="Times New Roman" w:hAnsiTheme="majorBidi" w:cstheme="majorBidi"/>
          <w:sz w:val="24"/>
          <w:szCs w:val="24"/>
          <w:lang w:eastAsia="fr-FR"/>
        </w:rPr>
        <w:t xml:space="preserve"> de phénotypes dont la résistance est normalement silencieuse (inductible).</w:t>
      </w:r>
    </w:p>
    <w:p w:rsidR="00031BB3" w:rsidRPr="00031BB3" w:rsidRDefault="00031BB3" w:rsidP="00D847FC">
      <w:pPr>
        <w:spacing w:before="100" w:beforeAutospacing="1" w:after="100" w:afterAutospacing="1" w:line="360" w:lineRule="auto"/>
        <w:outlineLvl w:val="2"/>
        <w:rPr>
          <w:rFonts w:asciiTheme="majorBidi" w:eastAsia="Times New Roman" w:hAnsiTheme="majorBidi" w:cstheme="majorBidi"/>
          <w:b/>
          <w:bCs/>
          <w:sz w:val="24"/>
          <w:szCs w:val="24"/>
          <w:lang w:eastAsia="fr-FR"/>
        </w:rPr>
      </w:pPr>
      <w:r w:rsidRPr="00031BB3">
        <w:rPr>
          <w:rFonts w:asciiTheme="majorBidi" w:eastAsia="Times New Roman" w:hAnsiTheme="majorBidi" w:cstheme="majorBidi"/>
          <w:b/>
          <w:bCs/>
          <w:sz w:val="24"/>
          <w:szCs w:val="24"/>
          <w:lang w:eastAsia="fr-FR"/>
        </w:rPr>
        <w:t xml:space="preserve"> 1. Aspects de génétique moléculaire</w:t>
      </w:r>
    </w:p>
    <w:p w:rsidR="00031BB3" w:rsidRPr="00031BB3" w:rsidRDefault="00031BB3" w:rsidP="00D847FC">
      <w:pPr>
        <w:spacing w:before="100" w:beforeAutospacing="1" w:after="100" w:afterAutospacing="1" w:line="360" w:lineRule="auto"/>
        <w:outlineLvl w:val="3"/>
        <w:rPr>
          <w:rFonts w:asciiTheme="majorBidi" w:eastAsia="Times New Roman" w:hAnsiTheme="majorBidi" w:cstheme="majorBidi"/>
          <w:b/>
          <w:bCs/>
          <w:sz w:val="24"/>
          <w:szCs w:val="24"/>
          <w:lang w:eastAsia="fr-FR"/>
        </w:rPr>
      </w:pPr>
      <w:r w:rsidRPr="00031BB3">
        <w:rPr>
          <w:rFonts w:asciiTheme="majorBidi" w:eastAsia="Times New Roman" w:hAnsiTheme="majorBidi" w:cstheme="majorBidi"/>
          <w:b/>
          <w:bCs/>
          <w:sz w:val="24"/>
          <w:szCs w:val="24"/>
          <w:lang w:eastAsia="fr-FR"/>
        </w:rPr>
        <w:t>a) Les mutations ponctuelles</w:t>
      </w:r>
    </w:p>
    <w:p w:rsidR="00031BB3" w:rsidRPr="00031BB3" w:rsidRDefault="00031BB3" w:rsidP="00D847FC">
      <w:pPr>
        <w:spacing w:before="100" w:beforeAutospacing="1" w:after="100" w:afterAutospacing="1" w:line="360" w:lineRule="auto"/>
        <w:rPr>
          <w:rFonts w:asciiTheme="majorBidi" w:eastAsia="Times New Roman" w:hAnsiTheme="majorBidi" w:cstheme="majorBidi"/>
          <w:sz w:val="24"/>
          <w:szCs w:val="24"/>
          <w:lang w:eastAsia="fr-FR"/>
        </w:rPr>
      </w:pPr>
      <w:r w:rsidRPr="00031BB3">
        <w:rPr>
          <w:rFonts w:asciiTheme="majorBidi" w:eastAsia="Times New Roman" w:hAnsiTheme="majorBidi" w:cstheme="majorBidi"/>
          <w:sz w:val="24"/>
          <w:szCs w:val="24"/>
          <w:lang w:eastAsia="fr-FR"/>
        </w:rPr>
        <w:t xml:space="preserve">Elles concernent un </w:t>
      </w:r>
      <w:r w:rsidRPr="00D847FC">
        <w:rPr>
          <w:rFonts w:asciiTheme="majorBidi" w:eastAsia="Times New Roman" w:hAnsiTheme="majorBidi" w:cstheme="majorBidi"/>
          <w:sz w:val="24"/>
          <w:szCs w:val="24"/>
          <w:lang w:eastAsia="fr-FR"/>
        </w:rPr>
        <w:t>changement au niveau d’un seul nucléotide</w:t>
      </w:r>
      <w:r w:rsidRPr="00031BB3">
        <w:rPr>
          <w:rFonts w:asciiTheme="majorBidi" w:eastAsia="Times New Roman" w:hAnsiTheme="majorBidi" w:cstheme="majorBidi"/>
          <w:sz w:val="24"/>
          <w:szCs w:val="24"/>
          <w:lang w:eastAsia="fr-FR"/>
        </w:rPr>
        <w:t xml:space="preserve"> (substitution, insertion, ou délétion).</w:t>
      </w:r>
      <w:r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Ce type de mutation peut conduire à la </w:t>
      </w:r>
      <w:r w:rsidRPr="00D847FC">
        <w:rPr>
          <w:rFonts w:asciiTheme="majorBidi" w:eastAsia="Times New Roman" w:hAnsiTheme="majorBidi" w:cstheme="majorBidi"/>
          <w:sz w:val="24"/>
          <w:szCs w:val="24"/>
          <w:lang w:eastAsia="fr-FR"/>
        </w:rPr>
        <w:t>modification de la cible</w:t>
      </w:r>
      <w:r w:rsidRPr="00031BB3">
        <w:rPr>
          <w:rFonts w:asciiTheme="majorBidi" w:eastAsia="Times New Roman" w:hAnsiTheme="majorBidi" w:cstheme="majorBidi"/>
          <w:sz w:val="24"/>
          <w:szCs w:val="24"/>
          <w:lang w:eastAsia="fr-FR"/>
        </w:rPr>
        <w:t xml:space="preserve"> de l’antibiotique.</w:t>
      </w:r>
      <w:r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La cible altérée </w:t>
      </w:r>
      <w:r w:rsidRPr="00D847FC">
        <w:rPr>
          <w:rFonts w:asciiTheme="majorBidi" w:eastAsia="Times New Roman" w:hAnsiTheme="majorBidi" w:cstheme="majorBidi"/>
          <w:sz w:val="24"/>
          <w:szCs w:val="24"/>
          <w:lang w:eastAsia="fr-FR"/>
        </w:rPr>
        <w:t>ne reconnaît plus</w:t>
      </w:r>
      <w:r w:rsidRPr="00031BB3">
        <w:rPr>
          <w:rFonts w:asciiTheme="majorBidi" w:eastAsia="Times New Roman" w:hAnsiTheme="majorBidi" w:cstheme="majorBidi"/>
          <w:sz w:val="24"/>
          <w:szCs w:val="24"/>
          <w:lang w:eastAsia="fr-FR"/>
        </w:rPr>
        <w:t xml:space="preserve"> ou </w:t>
      </w:r>
      <w:r w:rsidRPr="00D847FC">
        <w:rPr>
          <w:rFonts w:asciiTheme="majorBidi" w:eastAsia="Times New Roman" w:hAnsiTheme="majorBidi" w:cstheme="majorBidi"/>
          <w:sz w:val="24"/>
          <w:szCs w:val="24"/>
          <w:lang w:eastAsia="fr-FR"/>
        </w:rPr>
        <w:t>ne lie plus</w:t>
      </w:r>
      <w:r w:rsidRPr="00031BB3">
        <w:rPr>
          <w:rFonts w:asciiTheme="majorBidi" w:eastAsia="Times New Roman" w:hAnsiTheme="majorBidi" w:cstheme="majorBidi"/>
          <w:sz w:val="24"/>
          <w:szCs w:val="24"/>
          <w:lang w:eastAsia="fr-FR"/>
        </w:rPr>
        <w:t xml:space="preserve"> efficacement la molécule antibiotique, entraînant une résistance.</w:t>
      </w:r>
    </w:p>
    <w:p w:rsidR="00031BB3" w:rsidRPr="00031BB3" w:rsidRDefault="00031BB3" w:rsidP="00D847FC">
      <w:pPr>
        <w:spacing w:before="100" w:beforeAutospacing="1" w:after="100" w:afterAutospacing="1" w:line="360" w:lineRule="auto"/>
        <w:outlineLvl w:val="3"/>
        <w:rPr>
          <w:rFonts w:asciiTheme="majorBidi" w:eastAsia="Times New Roman" w:hAnsiTheme="majorBidi" w:cstheme="majorBidi"/>
          <w:b/>
          <w:bCs/>
          <w:sz w:val="24"/>
          <w:szCs w:val="24"/>
          <w:lang w:eastAsia="fr-FR"/>
        </w:rPr>
      </w:pPr>
      <w:r w:rsidRPr="00031BB3">
        <w:rPr>
          <w:rFonts w:asciiTheme="majorBidi" w:eastAsia="Times New Roman" w:hAnsiTheme="majorBidi" w:cstheme="majorBidi"/>
          <w:b/>
          <w:bCs/>
          <w:sz w:val="24"/>
          <w:szCs w:val="24"/>
          <w:lang w:eastAsia="fr-FR"/>
        </w:rPr>
        <w:t xml:space="preserve"> b) Les réarrangements de segments d’ADN</w:t>
      </w:r>
    </w:p>
    <w:p w:rsidR="00031BB3" w:rsidRPr="00031BB3" w:rsidRDefault="00031BB3" w:rsidP="00896841">
      <w:pPr>
        <w:spacing w:before="100" w:beforeAutospacing="1" w:after="100" w:afterAutospacing="1" w:line="360" w:lineRule="auto"/>
        <w:jc w:val="both"/>
        <w:rPr>
          <w:rFonts w:asciiTheme="majorBidi" w:eastAsia="Times New Roman" w:hAnsiTheme="majorBidi" w:cstheme="majorBidi"/>
          <w:sz w:val="24"/>
          <w:szCs w:val="24"/>
          <w:lang w:eastAsia="fr-FR"/>
        </w:rPr>
      </w:pPr>
      <w:r w:rsidRPr="00031BB3">
        <w:rPr>
          <w:rFonts w:asciiTheme="majorBidi" w:eastAsia="Times New Roman" w:hAnsiTheme="majorBidi" w:cstheme="majorBidi"/>
          <w:sz w:val="24"/>
          <w:szCs w:val="24"/>
          <w:lang w:eastAsia="fr-FR"/>
        </w:rPr>
        <w:t xml:space="preserve">Il s’agit de </w:t>
      </w:r>
      <w:r w:rsidRPr="00D847FC">
        <w:rPr>
          <w:rFonts w:asciiTheme="majorBidi" w:eastAsia="Times New Roman" w:hAnsiTheme="majorBidi" w:cstheme="majorBidi"/>
          <w:sz w:val="24"/>
          <w:szCs w:val="24"/>
          <w:lang w:eastAsia="fr-FR"/>
        </w:rPr>
        <w:t>modifications structurelles</w:t>
      </w:r>
      <w:r w:rsidRPr="00031BB3">
        <w:rPr>
          <w:rFonts w:asciiTheme="majorBidi" w:eastAsia="Times New Roman" w:hAnsiTheme="majorBidi" w:cstheme="majorBidi"/>
          <w:sz w:val="24"/>
          <w:szCs w:val="24"/>
          <w:lang w:eastAsia="fr-FR"/>
        </w:rPr>
        <w:t xml:space="preserve"> d’un fragment d’ADN : insertion, inversion, duplication, délétion ou transposition.</w:t>
      </w:r>
      <w:r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Ces réarrangements peuvent :</w:t>
      </w:r>
      <w:r w:rsidRPr="00D847FC">
        <w:rPr>
          <w:rFonts w:asciiTheme="majorBidi" w:eastAsia="Times New Roman" w:hAnsiTheme="majorBidi" w:cstheme="majorBidi"/>
          <w:sz w:val="24"/>
          <w:szCs w:val="24"/>
          <w:lang w:eastAsia="fr-FR"/>
        </w:rPr>
        <w:t xml:space="preserve"> Déréprimer</w:t>
      </w:r>
      <w:r w:rsidRPr="00031BB3">
        <w:rPr>
          <w:rFonts w:asciiTheme="majorBidi" w:eastAsia="Times New Roman" w:hAnsiTheme="majorBidi" w:cstheme="majorBidi"/>
          <w:sz w:val="24"/>
          <w:szCs w:val="24"/>
          <w:lang w:eastAsia="fr-FR"/>
        </w:rPr>
        <w:t xml:space="preserve"> l’expression d’un gène silencieux de résistance ;</w:t>
      </w:r>
      <w:r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Ou </w:t>
      </w:r>
      <w:r w:rsidRPr="00D847FC">
        <w:rPr>
          <w:rFonts w:asciiTheme="majorBidi" w:eastAsia="Times New Roman" w:hAnsiTheme="majorBidi" w:cstheme="majorBidi"/>
          <w:sz w:val="24"/>
          <w:szCs w:val="24"/>
          <w:lang w:eastAsia="fr-FR"/>
        </w:rPr>
        <w:t>créer</w:t>
      </w:r>
      <w:r w:rsidRPr="00031BB3">
        <w:rPr>
          <w:rFonts w:asciiTheme="majorBidi" w:eastAsia="Times New Roman" w:hAnsiTheme="majorBidi" w:cstheme="majorBidi"/>
          <w:sz w:val="24"/>
          <w:szCs w:val="24"/>
          <w:lang w:eastAsia="fr-FR"/>
        </w:rPr>
        <w:t xml:space="preserve"> un gène nouveau conférant la résistance.</w:t>
      </w:r>
      <w:r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Ces phénomènes sont souvent liés à la présence de </w:t>
      </w:r>
      <w:r w:rsidRPr="00D847FC">
        <w:rPr>
          <w:rFonts w:asciiTheme="majorBidi" w:eastAsia="Times New Roman" w:hAnsiTheme="majorBidi" w:cstheme="majorBidi"/>
          <w:sz w:val="24"/>
          <w:szCs w:val="24"/>
          <w:lang w:eastAsia="fr-FR"/>
        </w:rPr>
        <w:t>transposons</w:t>
      </w:r>
      <w:r w:rsidRPr="00031BB3">
        <w:rPr>
          <w:rFonts w:asciiTheme="majorBidi" w:eastAsia="Times New Roman" w:hAnsiTheme="majorBidi" w:cstheme="majorBidi"/>
          <w:sz w:val="24"/>
          <w:szCs w:val="24"/>
          <w:lang w:eastAsia="fr-FR"/>
        </w:rPr>
        <w:t xml:space="preserve">, c’est-à-dire des </w:t>
      </w:r>
      <w:r w:rsidRPr="00D847FC">
        <w:rPr>
          <w:rFonts w:asciiTheme="majorBidi" w:eastAsia="Times New Roman" w:hAnsiTheme="majorBidi" w:cstheme="majorBidi"/>
          <w:sz w:val="24"/>
          <w:szCs w:val="24"/>
          <w:lang w:eastAsia="fr-FR"/>
        </w:rPr>
        <w:t>séquences d’ADN mobiles</w:t>
      </w:r>
      <w:r w:rsidRPr="00031BB3">
        <w:rPr>
          <w:rFonts w:asciiTheme="majorBidi" w:eastAsia="Times New Roman" w:hAnsiTheme="majorBidi" w:cstheme="majorBidi"/>
          <w:sz w:val="24"/>
          <w:szCs w:val="24"/>
          <w:lang w:eastAsia="fr-FR"/>
        </w:rPr>
        <w:t xml:space="preserve"> capables de se déplacer indépendamment du reste du chromosome.</w:t>
      </w:r>
    </w:p>
    <w:p w:rsidR="00031BB3" w:rsidRPr="00031BB3" w:rsidRDefault="00031BB3" w:rsidP="00D847FC">
      <w:pPr>
        <w:spacing w:before="100" w:beforeAutospacing="1" w:after="100" w:afterAutospacing="1" w:line="360" w:lineRule="auto"/>
        <w:outlineLvl w:val="3"/>
        <w:rPr>
          <w:rFonts w:asciiTheme="majorBidi" w:eastAsia="Times New Roman" w:hAnsiTheme="majorBidi" w:cstheme="majorBidi"/>
          <w:b/>
          <w:bCs/>
          <w:sz w:val="24"/>
          <w:szCs w:val="24"/>
          <w:lang w:eastAsia="fr-FR"/>
        </w:rPr>
      </w:pPr>
      <w:r w:rsidRPr="00031BB3">
        <w:rPr>
          <w:rFonts w:asciiTheme="majorBidi" w:eastAsia="Times New Roman" w:hAnsiTheme="majorBidi" w:cstheme="majorBidi"/>
          <w:b/>
          <w:bCs/>
          <w:sz w:val="24"/>
          <w:szCs w:val="24"/>
          <w:lang w:eastAsia="fr-FR"/>
        </w:rPr>
        <w:t xml:space="preserve"> c) L’acquisition d’ADN étranger</w:t>
      </w:r>
    </w:p>
    <w:p w:rsidR="00031BB3" w:rsidRDefault="00031BB3" w:rsidP="00896841">
      <w:pPr>
        <w:spacing w:before="100" w:beforeAutospacing="1" w:after="100" w:afterAutospacing="1" w:line="360" w:lineRule="auto"/>
        <w:jc w:val="both"/>
        <w:rPr>
          <w:rFonts w:asciiTheme="majorBidi" w:eastAsia="Times New Roman" w:hAnsiTheme="majorBidi" w:cstheme="majorBidi"/>
          <w:sz w:val="24"/>
          <w:szCs w:val="24"/>
          <w:lang w:eastAsia="fr-FR"/>
        </w:rPr>
      </w:pPr>
      <w:r w:rsidRPr="00031BB3">
        <w:rPr>
          <w:rFonts w:asciiTheme="majorBidi" w:eastAsia="Times New Roman" w:hAnsiTheme="majorBidi" w:cstheme="majorBidi"/>
          <w:sz w:val="24"/>
          <w:szCs w:val="24"/>
          <w:lang w:eastAsia="fr-FR"/>
        </w:rPr>
        <w:t xml:space="preserve">Les bactéries peuvent acquérir de nouveaux gènes de résistance par </w:t>
      </w:r>
      <w:r w:rsidRPr="00D847FC">
        <w:rPr>
          <w:rFonts w:asciiTheme="majorBidi" w:eastAsia="Times New Roman" w:hAnsiTheme="majorBidi" w:cstheme="majorBidi"/>
          <w:sz w:val="24"/>
          <w:szCs w:val="24"/>
          <w:lang w:eastAsia="fr-FR"/>
        </w:rPr>
        <w:t>transfert horizontal</w:t>
      </w:r>
      <w:r w:rsidRPr="00031BB3">
        <w:rPr>
          <w:rFonts w:asciiTheme="majorBidi" w:eastAsia="Times New Roman" w:hAnsiTheme="majorBidi" w:cstheme="majorBidi"/>
          <w:sz w:val="24"/>
          <w:szCs w:val="24"/>
          <w:lang w:eastAsia="fr-FR"/>
        </w:rPr>
        <w:t>, via :</w:t>
      </w:r>
      <w:r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des </w:t>
      </w:r>
      <w:r w:rsidRPr="00D847FC">
        <w:rPr>
          <w:rFonts w:asciiTheme="majorBidi" w:eastAsia="Times New Roman" w:hAnsiTheme="majorBidi" w:cstheme="majorBidi"/>
          <w:sz w:val="24"/>
          <w:szCs w:val="24"/>
          <w:lang w:eastAsia="fr-FR"/>
        </w:rPr>
        <w:t>plasmides</w:t>
      </w:r>
      <w:r w:rsidRPr="00031BB3">
        <w:rPr>
          <w:rFonts w:asciiTheme="majorBidi" w:eastAsia="Times New Roman" w:hAnsiTheme="majorBidi" w:cstheme="majorBidi"/>
          <w:sz w:val="24"/>
          <w:szCs w:val="24"/>
          <w:lang w:eastAsia="fr-FR"/>
        </w:rPr>
        <w:t xml:space="preserve"> (éléments génétiques extrachromosomiques circulaires) ;</w:t>
      </w:r>
      <w:r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des </w:t>
      </w:r>
      <w:r w:rsidRPr="00D847FC">
        <w:rPr>
          <w:rFonts w:asciiTheme="majorBidi" w:eastAsia="Times New Roman" w:hAnsiTheme="majorBidi" w:cstheme="majorBidi"/>
          <w:sz w:val="24"/>
          <w:szCs w:val="24"/>
          <w:lang w:eastAsia="fr-FR"/>
        </w:rPr>
        <w:t>bactériophages</w:t>
      </w:r>
      <w:r w:rsidRPr="00031BB3">
        <w:rPr>
          <w:rFonts w:asciiTheme="majorBidi" w:eastAsia="Times New Roman" w:hAnsiTheme="majorBidi" w:cstheme="majorBidi"/>
          <w:sz w:val="24"/>
          <w:szCs w:val="24"/>
          <w:lang w:eastAsia="fr-FR"/>
        </w:rPr>
        <w:t xml:space="preserve"> (virus bactériens) ;</w:t>
      </w:r>
      <w:r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ou des </w:t>
      </w:r>
      <w:r w:rsidRPr="00D847FC">
        <w:rPr>
          <w:rFonts w:asciiTheme="majorBidi" w:eastAsia="Times New Roman" w:hAnsiTheme="majorBidi" w:cstheme="majorBidi"/>
          <w:sz w:val="24"/>
          <w:szCs w:val="24"/>
          <w:lang w:eastAsia="fr-FR"/>
        </w:rPr>
        <w:t>transposons</w:t>
      </w:r>
      <w:r w:rsidRPr="00031BB3">
        <w:rPr>
          <w:rFonts w:asciiTheme="majorBidi" w:eastAsia="Times New Roman" w:hAnsiTheme="majorBidi" w:cstheme="majorBidi"/>
          <w:sz w:val="24"/>
          <w:szCs w:val="24"/>
          <w:lang w:eastAsia="fr-FR"/>
        </w:rPr>
        <w:t>.</w:t>
      </w:r>
      <w:r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Ce type de résistance est particulièrement préoccupant, car il permet une </w:t>
      </w:r>
      <w:r w:rsidRPr="00D847FC">
        <w:rPr>
          <w:rFonts w:asciiTheme="majorBidi" w:eastAsia="Times New Roman" w:hAnsiTheme="majorBidi" w:cstheme="majorBidi"/>
          <w:sz w:val="24"/>
          <w:szCs w:val="24"/>
          <w:lang w:eastAsia="fr-FR"/>
        </w:rPr>
        <w:t>dissémination rapide</w:t>
      </w:r>
      <w:r w:rsidRPr="00031BB3">
        <w:rPr>
          <w:rFonts w:asciiTheme="majorBidi" w:eastAsia="Times New Roman" w:hAnsiTheme="majorBidi" w:cstheme="majorBidi"/>
          <w:sz w:val="24"/>
          <w:szCs w:val="24"/>
          <w:lang w:eastAsia="fr-FR"/>
        </w:rPr>
        <w:t xml:space="preserve"> des gènes de résistance :</w:t>
      </w:r>
      <w:r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entre bactéries de la </w:t>
      </w:r>
      <w:r w:rsidRPr="00D847FC">
        <w:rPr>
          <w:rFonts w:asciiTheme="majorBidi" w:eastAsia="Times New Roman" w:hAnsiTheme="majorBidi" w:cstheme="majorBidi"/>
          <w:sz w:val="24"/>
          <w:szCs w:val="24"/>
          <w:lang w:eastAsia="fr-FR"/>
        </w:rPr>
        <w:t>même espèce</w:t>
      </w:r>
      <w:r w:rsidRPr="00031BB3">
        <w:rPr>
          <w:rFonts w:asciiTheme="majorBidi" w:eastAsia="Times New Roman" w:hAnsiTheme="majorBidi" w:cstheme="majorBidi"/>
          <w:sz w:val="24"/>
          <w:szCs w:val="24"/>
          <w:lang w:eastAsia="fr-FR"/>
        </w:rPr>
        <w:t xml:space="preserve"> ;</w:t>
      </w:r>
      <w:r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mais aussi entre </w:t>
      </w:r>
      <w:r w:rsidRPr="00D847FC">
        <w:rPr>
          <w:rFonts w:asciiTheme="majorBidi" w:eastAsia="Times New Roman" w:hAnsiTheme="majorBidi" w:cstheme="majorBidi"/>
          <w:sz w:val="24"/>
          <w:szCs w:val="24"/>
          <w:lang w:eastAsia="fr-FR"/>
        </w:rPr>
        <w:t>espèces différentes</w:t>
      </w:r>
      <w:r w:rsidRPr="00031BB3">
        <w:rPr>
          <w:rFonts w:asciiTheme="majorBidi" w:eastAsia="Times New Roman" w:hAnsiTheme="majorBidi" w:cstheme="majorBidi"/>
          <w:sz w:val="24"/>
          <w:szCs w:val="24"/>
          <w:lang w:eastAsia="fr-FR"/>
        </w:rPr>
        <w:t xml:space="preserve">, voire entre </w:t>
      </w:r>
      <w:r w:rsidRPr="00D847FC">
        <w:rPr>
          <w:rFonts w:asciiTheme="majorBidi" w:eastAsia="Times New Roman" w:hAnsiTheme="majorBidi" w:cstheme="majorBidi"/>
          <w:sz w:val="24"/>
          <w:szCs w:val="24"/>
          <w:lang w:eastAsia="fr-FR"/>
        </w:rPr>
        <w:t>genres bactériens</w:t>
      </w:r>
      <w:r w:rsidRPr="00031BB3">
        <w:rPr>
          <w:rFonts w:asciiTheme="majorBidi" w:eastAsia="Times New Roman" w:hAnsiTheme="majorBidi" w:cstheme="majorBidi"/>
          <w:sz w:val="24"/>
          <w:szCs w:val="24"/>
          <w:lang w:eastAsia="fr-FR"/>
        </w:rPr>
        <w:t>.</w:t>
      </w:r>
      <w:r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Cette </w:t>
      </w:r>
      <w:r w:rsidRPr="00031BB3">
        <w:rPr>
          <w:rFonts w:asciiTheme="majorBidi" w:eastAsia="Times New Roman" w:hAnsiTheme="majorBidi" w:cstheme="majorBidi"/>
          <w:sz w:val="24"/>
          <w:szCs w:val="24"/>
          <w:lang w:eastAsia="fr-FR"/>
        </w:rPr>
        <w:lastRenderedPageBreak/>
        <w:t xml:space="preserve">propagation favorise l’émergence de </w:t>
      </w:r>
      <w:r w:rsidRPr="00D847FC">
        <w:rPr>
          <w:rFonts w:asciiTheme="majorBidi" w:eastAsia="Times New Roman" w:hAnsiTheme="majorBidi" w:cstheme="majorBidi"/>
          <w:sz w:val="24"/>
          <w:szCs w:val="24"/>
          <w:lang w:eastAsia="fr-FR"/>
        </w:rPr>
        <w:t>souches multirésistantes</w:t>
      </w:r>
      <w:r w:rsidRPr="00031BB3">
        <w:rPr>
          <w:rFonts w:asciiTheme="majorBidi" w:eastAsia="Times New Roman" w:hAnsiTheme="majorBidi" w:cstheme="majorBidi"/>
          <w:sz w:val="24"/>
          <w:szCs w:val="24"/>
          <w:lang w:eastAsia="fr-FR"/>
        </w:rPr>
        <w:t>, rendant certains traitements inefficaces et compromettant la prise en charge thérapeutique à long terme.</w:t>
      </w:r>
    </w:p>
    <w:p w:rsidR="00F222C8" w:rsidRDefault="00F222C8" w:rsidP="00D847FC">
      <w:pPr>
        <w:spacing w:before="100" w:beforeAutospacing="1" w:after="100" w:afterAutospacing="1" w:line="360" w:lineRule="auto"/>
        <w:rPr>
          <w:rFonts w:asciiTheme="majorBidi" w:eastAsia="Times New Roman" w:hAnsiTheme="majorBidi" w:cstheme="majorBidi"/>
          <w:sz w:val="24"/>
          <w:szCs w:val="24"/>
          <w:lang w:eastAsia="fr-FR"/>
        </w:rPr>
      </w:pPr>
    </w:p>
    <w:p w:rsidR="00F222C8" w:rsidRDefault="00F222C8" w:rsidP="00D847FC">
      <w:pPr>
        <w:spacing w:before="100" w:beforeAutospacing="1" w:after="100" w:afterAutospacing="1" w:line="360" w:lineRule="auto"/>
        <w:rPr>
          <w:rFonts w:asciiTheme="majorBidi" w:eastAsia="Times New Roman" w:hAnsiTheme="majorBidi" w:cstheme="majorBidi"/>
          <w:sz w:val="24"/>
          <w:szCs w:val="24"/>
          <w:lang w:eastAsia="fr-FR"/>
        </w:rPr>
      </w:pPr>
    </w:p>
    <w:p w:rsidR="00F222C8" w:rsidRDefault="00F222C8" w:rsidP="00D847FC">
      <w:pPr>
        <w:spacing w:before="100" w:beforeAutospacing="1" w:after="100" w:afterAutospacing="1" w:line="360" w:lineRule="auto"/>
        <w:rPr>
          <w:rFonts w:asciiTheme="majorBidi" w:eastAsia="Times New Roman" w:hAnsiTheme="majorBidi" w:cstheme="majorBidi"/>
          <w:sz w:val="24"/>
          <w:szCs w:val="24"/>
          <w:lang w:eastAsia="fr-FR"/>
        </w:rPr>
      </w:pPr>
      <w:r w:rsidRPr="00F222C8">
        <w:rPr>
          <w:rFonts w:asciiTheme="majorBidi" w:eastAsia="Times New Roman" w:hAnsiTheme="majorBidi" w:cstheme="majorBidi"/>
          <w:sz w:val="24"/>
          <w:szCs w:val="24"/>
          <w:lang w:eastAsia="fr-FR"/>
        </w:rPr>
        <w:drawing>
          <wp:inline distT="0" distB="0" distL="0" distR="0">
            <wp:extent cx="5760720" cy="5014660"/>
            <wp:effectExtent l="19050" t="0" r="0" b="0"/>
            <wp:docPr id="5" name="Image 1" descr="C:\Users\Tis Info\Desktop\Nouveau dossier (3)\Figures de résistance\Mechanism-of-antibiotic-resistance-The-initial-section-of-the-figure-depicts-the_W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s Info\Desktop\Nouveau dossier (3)\Figures de résistance\Mechanism-of-antibiotic-resistance-The-initial-section-of-the-figure-depicts-the_W640.jpg"/>
                    <pic:cNvPicPr>
                      <a:picLocks noChangeAspect="1" noChangeArrowheads="1"/>
                    </pic:cNvPicPr>
                  </pic:nvPicPr>
                  <pic:blipFill>
                    <a:blip r:embed="rId7"/>
                    <a:srcRect/>
                    <a:stretch>
                      <a:fillRect/>
                    </a:stretch>
                  </pic:blipFill>
                  <pic:spPr bwMode="auto">
                    <a:xfrm>
                      <a:off x="0" y="0"/>
                      <a:ext cx="5760720" cy="5014660"/>
                    </a:xfrm>
                    <a:prstGeom prst="rect">
                      <a:avLst/>
                    </a:prstGeom>
                    <a:noFill/>
                    <a:ln w="9525">
                      <a:noFill/>
                      <a:miter lim="800000"/>
                      <a:headEnd/>
                      <a:tailEnd/>
                    </a:ln>
                  </pic:spPr>
                </pic:pic>
              </a:graphicData>
            </a:graphic>
          </wp:inline>
        </w:drawing>
      </w:r>
    </w:p>
    <w:p w:rsidR="00F222C8" w:rsidRDefault="00F222C8" w:rsidP="00D847FC">
      <w:pPr>
        <w:spacing w:before="100" w:beforeAutospacing="1" w:after="100" w:afterAutospacing="1" w:line="360" w:lineRule="auto"/>
        <w:rPr>
          <w:rFonts w:asciiTheme="majorBidi" w:eastAsia="Times New Roman" w:hAnsiTheme="majorBidi" w:cstheme="majorBidi"/>
          <w:sz w:val="24"/>
          <w:szCs w:val="24"/>
          <w:lang w:eastAsia="fr-FR"/>
        </w:rPr>
      </w:pPr>
    </w:p>
    <w:p w:rsidR="00F222C8" w:rsidRDefault="00F222C8" w:rsidP="00F222C8">
      <w:pPr>
        <w:spacing w:before="100" w:beforeAutospacing="1" w:after="100" w:afterAutospacing="1" w:line="36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Figure : résistance naturelle et acquise</w:t>
      </w:r>
    </w:p>
    <w:p w:rsidR="00F222C8" w:rsidRDefault="00F222C8" w:rsidP="00F222C8">
      <w:pPr>
        <w:spacing w:before="100" w:beforeAutospacing="1" w:after="100" w:afterAutospacing="1" w:line="360" w:lineRule="auto"/>
        <w:jc w:val="center"/>
        <w:rPr>
          <w:rFonts w:asciiTheme="majorBidi" w:eastAsia="Times New Roman" w:hAnsiTheme="majorBidi" w:cstheme="majorBidi"/>
          <w:sz w:val="24"/>
          <w:szCs w:val="24"/>
          <w:lang w:eastAsia="fr-FR"/>
        </w:rPr>
      </w:pPr>
    </w:p>
    <w:p w:rsidR="00F222C8" w:rsidRDefault="00F222C8" w:rsidP="00D847FC">
      <w:pPr>
        <w:spacing w:before="100" w:beforeAutospacing="1" w:after="100" w:afterAutospacing="1" w:line="360" w:lineRule="auto"/>
        <w:rPr>
          <w:rFonts w:asciiTheme="majorBidi" w:eastAsia="Times New Roman" w:hAnsiTheme="majorBidi" w:cstheme="majorBidi"/>
          <w:sz w:val="24"/>
          <w:szCs w:val="24"/>
          <w:lang w:eastAsia="fr-FR"/>
        </w:rPr>
      </w:pPr>
    </w:p>
    <w:p w:rsidR="00F222C8" w:rsidRDefault="00F222C8" w:rsidP="00D847FC">
      <w:pPr>
        <w:spacing w:before="100" w:beforeAutospacing="1" w:after="100" w:afterAutospacing="1" w:line="360" w:lineRule="auto"/>
        <w:rPr>
          <w:rFonts w:asciiTheme="majorBidi" w:eastAsia="Times New Roman" w:hAnsiTheme="majorBidi" w:cstheme="majorBidi"/>
          <w:sz w:val="24"/>
          <w:szCs w:val="24"/>
          <w:lang w:eastAsia="fr-FR"/>
        </w:rPr>
      </w:pPr>
    </w:p>
    <w:p w:rsidR="00F222C8" w:rsidRPr="00D847FC" w:rsidRDefault="00F222C8" w:rsidP="00D847FC">
      <w:pPr>
        <w:spacing w:before="100" w:beforeAutospacing="1" w:after="100" w:afterAutospacing="1" w:line="360" w:lineRule="auto"/>
        <w:rPr>
          <w:rFonts w:asciiTheme="majorBidi" w:eastAsia="Times New Roman" w:hAnsiTheme="majorBidi" w:cstheme="majorBidi"/>
          <w:sz w:val="24"/>
          <w:szCs w:val="24"/>
          <w:lang w:eastAsia="fr-FR"/>
        </w:rPr>
      </w:pPr>
    </w:p>
    <w:p w:rsidR="00031BB3" w:rsidRPr="00031BB3" w:rsidRDefault="00031BB3" w:rsidP="00D847FC">
      <w:pPr>
        <w:spacing w:before="100" w:beforeAutospacing="1" w:after="100" w:afterAutospacing="1" w:line="360" w:lineRule="auto"/>
        <w:outlineLvl w:val="1"/>
        <w:rPr>
          <w:rFonts w:asciiTheme="majorBidi" w:eastAsia="Times New Roman" w:hAnsiTheme="majorBidi" w:cstheme="majorBidi"/>
          <w:b/>
          <w:bCs/>
          <w:sz w:val="24"/>
          <w:szCs w:val="24"/>
          <w:lang w:eastAsia="fr-FR"/>
        </w:rPr>
      </w:pPr>
      <w:r w:rsidRPr="00D847FC">
        <w:rPr>
          <w:rFonts w:asciiTheme="majorBidi" w:eastAsia="Times New Roman" w:hAnsiTheme="majorBidi" w:cstheme="majorBidi"/>
          <w:b/>
          <w:bCs/>
          <w:sz w:val="24"/>
          <w:szCs w:val="24"/>
          <w:lang w:eastAsia="fr-FR"/>
        </w:rPr>
        <w:t>2. Mécanismes De Résistance Aux Antibiotiques</w:t>
      </w:r>
    </w:p>
    <w:p w:rsidR="00031BB3" w:rsidRPr="00031BB3" w:rsidRDefault="00031BB3" w:rsidP="00D847FC">
      <w:pPr>
        <w:spacing w:before="100" w:beforeAutospacing="1" w:after="100" w:afterAutospacing="1" w:line="360" w:lineRule="auto"/>
        <w:rPr>
          <w:rFonts w:asciiTheme="majorBidi" w:eastAsia="Times New Roman" w:hAnsiTheme="majorBidi" w:cstheme="majorBidi"/>
          <w:sz w:val="24"/>
          <w:szCs w:val="24"/>
          <w:lang w:eastAsia="fr-FR"/>
        </w:rPr>
      </w:pPr>
      <w:r w:rsidRPr="00D847FC">
        <w:rPr>
          <w:rFonts w:asciiTheme="majorBidi" w:eastAsia="Times New Roman" w:hAnsiTheme="majorBidi" w:cstheme="majorBidi"/>
          <w:sz w:val="24"/>
          <w:szCs w:val="24"/>
          <w:lang w:eastAsia="fr-FR"/>
        </w:rPr>
        <w:t>I</w:t>
      </w:r>
      <w:r w:rsidRPr="00031BB3">
        <w:rPr>
          <w:rFonts w:asciiTheme="majorBidi" w:eastAsia="Times New Roman" w:hAnsiTheme="majorBidi" w:cstheme="majorBidi"/>
          <w:sz w:val="24"/>
          <w:szCs w:val="24"/>
          <w:lang w:eastAsia="fr-FR"/>
        </w:rPr>
        <w:t>l est important de souligner que la</w:t>
      </w:r>
      <w:r w:rsidRPr="00D847FC">
        <w:rPr>
          <w:rFonts w:asciiTheme="majorBidi" w:eastAsia="Times New Roman" w:hAnsiTheme="majorBidi" w:cstheme="majorBidi"/>
          <w:sz w:val="24"/>
          <w:szCs w:val="24"/>
          <w:lang w:eastAsia="fr-FR"/>
        </w:rPr>
        <w:t xml:space="preserve"> résistance aux antibiotiques</w:t>
      </w:r>
      <w:r w:rsidRPr="00031BB3">
        <w:rPr>
          <w:rFonts w:asciiTheme="majorBidi" w:eastAsia="Times New Roman" w:hAnsiTheme="majorBidi" w:cstheme="majorBidi"/>
          <w:sz w:val="24"/>
          <w:szCs w:val="24"/>
          <w:lang w:eastAsia="fr-FR"/>
        </w:rPr>
        <w:t xml:space="preserve"> évolue </w:t>
      </w:r>
      <w:r w:rsidRPr="00D847FC">
        <w:rPr>
          <w:rFonts w:asciiTheme="majorBidi" w:eastAsia="Times New Roman" w:hAnsiTheme="majorBidi" w:cstheme="majorBidi"/>
          <w:sz w:val="24"/>
          <w:szCs w:val="24"/>
          <w:lang w:eastAsia="fr-FR"/>
        </w:rPr>
        <w:t>constamment</w:t>
      </w:r>
      <w:r w:rsidRPr="00031BB3">
        <w:rPr>
          <w:rFonts w:asciiTheme="majorBidi" w:eastAsia="Times New Roman" w:hAnsiTheme="majorBidi" w:cstheme="majorBidi"/>
          <w:sz w:val="24"/>
          <w:szCs w:val="24"/>
          <w:lang w:eastAsia="fr-FR"/>
        </w:rPr>
        <w:t xml:space="preserve"> en raison de la pression de sélection exercée par l’usage des antibiotiques et des capacités adaptatives des bactéries.</w:t>
      </w:r>
    </w:p>
    <w:p w:rsidR="00031BB3" w:rsidRPr="00031BB3" w:rsidRDefault="00031BB3" w:rsidP="00D847FC">
      <w:pPr>
        <w:spacing w:before="100" w:beforeAutospacing="1" w:after="100" w:afterAutospacing="1" w:line="360" w:lineRule="auto"/>
        <w:rPr>
          <w:rFonts w:asciiTheme="majorBidi" w:eastAsia="Times New Roman" w:hAnsiTheme="majorBidi" w:cstheme="majorBidi"/>
          <w:sz w:val="24"/>
          <w:szCs w:val="24"/>
          <w:lang w:eastAsia="fr-FR"/>
        </w:rPr>
      </w:pPr>
      <w:r w:rsidRPr="00031BB3">
        <w:rPr>
          <w:rFonts w:asciiTheme="majorBidi" w:eastAsia="Times New Roman" w:hAnsiTheme="majorBidi" w:cstheme="majorBidi"/>
          <w:sz w:val="24"/>
          <w:szCs w:val="24"/>
          <w:lang w:eastAsia="fr-FR"/>
        </w:rPr>
        <w:t xml:space="preserve">Les mécanismes de résistance peuvent être regroupés en </w:t>
      </w:r>
      <w:r w:rsidRPr="00D847FC">
        <w:rPr>
          <w:rFonts w:asciiTheme="majorBidi" w:eastAsia="Times New Roman" w:hAnsiTheme="majorBidi" w:cstheme="majorBidi"/>
          <w:sz w:val="24"/>
          <w:szCs w:val="24"/>
          <w:lang w:eastAsia="fr-FR"/>
        </w:rPr>
        <w:t>quatre grandes catégories</w:t>
      </w:r>
      <w:r w:rsidRPr="00031BB3">
        <w:rPr>
          <w:rFonts w:asciiTheme="majorBidi" w:eastAsia="Times New Roman" w:hAnsiTheme="majorBidi" w:cstheme="majorBidi"/>
          <w:sz w:val="24"/>
          <w:szCs w:val="24"/>
          <w:lang w:eastAsia="fr-FR"/>
        </w:rPr>
        <w:t xml:space="preserve"> :</w:t>
      </w:r>
    </w:p>
    <w:p w:rsidR="00031BB3" w:rsidRPr="00031BB3" w:rsidRDefault="00031BB3" w:rsidP="00D847FC">
      <w:pPr>
        <w:numPr>
          <w:ilvl w:val="0"/>
          <w:numId w:val="6"/>
        </w:numPr>
        <w:spacing w:before="100" w:beforeAutospacing="1" w:after="100" w:afterAutospacing="1" w:line="360" w:lineRule="auto"/>
        <w:rPr>
          <w:rFonts w:asciiTheme="majorBidi" w:eastAsia="Times New Roman" w:hAnsiTheme="majorBidi" w:cstheme="majorBidi"/>
          <w:sz w:val="24"/>
          <w:szCs w:val="24"/>
          <w:lang w:eastAsia="fr-FR"/>
        </w:rPr>
      </w:pPr>
      <w:r w:rsidRPr="00D847FC">
        <w:rPr>
          <w:rFonts w:asciiTheme="majorBidi" w:eastAsia="Times New Roman" w:hAnsiTheme="majorBidi" w:cstheme="majorBidi"/>
          <w:sz w:val="24"/>
          <w:szCs w:val="24"/>
          <w:lang w:eastAsia="fr-FR"/>
        </w:rPr>
        <w:t>Inactivation enzymatique de l’antibiotique</w:t>
      </w:r>
    </w:p>
    <w:p w:rsidR="00031BB3" w:rsidRPr="00031BB3" w:rsidRDefault="00031BB3" w:rsidP="00D847FC">
      <w:pPr>
        <w:numPr>
          <w:ilvl w:val="0"/>
          <w:numId w:val="6"/>
        </w:numPr>
        <w:spacing w:before="100" w:beforeAutospacing="1" w:after="100" w:afterAutospacing="1" w:line="360" w:lineRule="auto"/>
        <w:rPr>
          <w:rFonts w:asciiTheme="majorBidi" w:eastAsia="Times New Roman" w:hAnsiTheme="majorBidi" w:cstheme="majorBidi"/>
          <w:sz w:val="24"/>
          <w:szCs w:val="24"/>
          <w:lang w:eastAsia="fr-FR"/>
        </w:rPr>
      </w:pPr>
      <w:r w:rsidRPr="00D847FC">
        <w:rPr>
          <w:rFonts w:asciiTheme="majorBidi" w:eastAsia="Times New Roman" w:hAnsiTheme="majorBidi" w:cstheme="majorBidi"/>
          <w:sz w:val="24"/>
          <w:szCs w:val="24"/>
          <w:lang w:eastAsia="fr-FR"/>
        </w:rPr>
        <w:t>Modification de la cible de l’antibiotique</w:t>
      </w:r>
    </w:p>
    <w:p w:rsidR="00031BB3" w:rsidRPr="00031BB3" w:rsidRDefault="00031BB3" w:rsidP="00D847FC">
      <w:pPr>
        <w:numPr>
          <w:ilvl w:val="0"/>
          <w:numId w:val="6"/>
        </w:numPr>
        <w:spacing w:before="100" w:beforeAutospacing="1" w:after="100" w:afterAutospacing="1" w:line="360" w:lineRule="auto"/>
        <w:rPr>
          <w:rFonts w:asciiTheme="majorBidi" w:eastAsia="Times New Roman" w:hAnsiTheme="majorBidi" w:cstheme="majorBidi"/>
          <w:sz w:val="24"/>
          <w:szCs w:val="24"/>
          <w:lang w:eastAsia="fr-FR"/>
        </w:rPr>
      </w:pPr>
      <w:r w:rsidRPr="00D847FC">
        <w:rPr>
          <w:rFonts w:asciiTheme="majorBidi" w:eastAsia="Times New Roman" w:hAnsiTheme="majorBidi" w:cstheme="majorBidi"/>
          <w:sz w:val="24"/>
          <w:szCs w:val="24"/>
          <w:lang w:eastAsia="fr-FR"/>
        </w:rPr>
        <w:t>Diminution de la perméabilité membranaire</w:t>
      </w:r>
    </w:p>
    <w:p w:rsidR="00031BB3" w:rsidRPr="00031BB3" w:rsidRDefault="00031BB3" w:rsidP="00D847FC">
      <w:pPr>
        <w:numPr>
          <w:ilvl w:val="0"/>
          <w:numId w:val="6"/>
        </w:numPr>
        <w:spacing w:before="100" w:beforeAutospacing="1" w:after="100" w:afterAutospacing="1" w:line="360" w:lineRule="auto"/>
        <w:rPr>
          <w:rFonts w:asciiTheme="majorBidi" w:eastAsia="Times New Roman" w:hAnsiTheme="majorBidi" w:cstheme="majorBidi"/>
          <w:sz w:val="24"/>
          <w:szCs w:val="24"/>
          <w:lang w:eastAsia="fr-FR"/>
        </w:rPr>
      </w:pPr>
      <w:r w:rsidRPr="00D847FC">
        <w:rPr>
          <w:rFonts w:asciiTheme="majorBidi" w:eastAsia="Times New Roman" w:hAnsiTheme="majorBidi" w:cstheme="majorBidi"/>
          <w:sz w:val="24"/>
          <w:szCs w:val="24"/>
          <w:lang w:eastAsia="fr-FR"/>
        </w:rPr>
        <w:t>Efflux actif de l’antibiotique</w:t>
      </w:r>
    </w:p>
    <w:p w:rsidR="00031BB3" w:rsidRPr="00031BB3" w:rsidRDefault="00031BB3" w:rsidP="00D847FC">
      <w:pPr>
        <w:spacing w:before="100" w:beforeAutospacing="1" w:after="100" w:afterAutospacing="1" w:line="360" w:lineRule="auto"/>
        <w:outlineLvl w:val="2"/>
        <w:rPr>
          <w:rFonts w:asciiTheme="majorBidi" w:eastAsia="Times New Roman" w:hAnsiTheme="majorBidi" w:cstheme="majorBidi"/>
          <w:b/>
          <w:bCs/>
          <w:sz w:val="24"/>
          <w:szCs w:val="24"/>
          <w:lang w:eastAsia="fr-FR"/>
        </w:rPr>
      </w:pPr>
      <w:r w:rsidRPr="00D847FC">
        <w:rPr>
          <w:rFonts w:asciiTheme="majorBidi" w:eastAsia="Times New Roman" w:hAnsiTheme="majorBidi" w:cstheme="majorBidi"/>
          <w:b/>
          <w:bCs/>
          <w:sz w:val="24"/>
          <w:szCs w:val="24"/>
          <w:lang w:eastAsia="fr-FR"/>
        </w:rPr>
        <w:t>2.1. Inactivation enzymatique de l’antibiotique</w:t>
      </w:r>
    </w:p>
    <w:p w:rsidR="00031BB3" w:rsidRPr="00031BB3" w:rsidRDefault="00031BB3" w:rsidP="00F222C8">
      <w:pPr>
        <w:spacing w:before="100" w:beforeAutospacing="1" w:after="100" w:afterAutospacing="1" w:line="360" w:lineRule="auto"/>
        <w:rPr>
          <w:rFonts w:asciiTheme="majorBidi" w:eastAsia="Times New Roman" w:hAnsiTheme="majorBidi" w:cstheme="majorBidi"/>
          <w:sz w:val="24"/>
          <w:szCs w:val="24"/>
          <w:lang w:eastAsia="fr-FR"/>
        </w:rPr>
      </w:pPr>
      <w:r w:rsidRPr="00031BB3">
        <w:rPr>
          <w:rFonts w:asciiTheme="majorBidi" w:eastAsia="Times New Roman" w:hAnsiTheme="majorBidi" w:cstheme="majorBidi"/>
          <w:sz w:val="24"/>
          <w:szCs w:val="24"/>
          <w:lang w:eastAsia="fr-FR"/>
        </w:rPr>
        <w:t xml:space="preserve">Ce mécanisme repose sur la </w:t>
      </w:r>
      <w:r w:rsidRPr="00D847FC">
        <w:rPr>
          <w:rFonts w:asciiTheme="majorBidi" w:eastAsia="Times New Roman" w:hAnsiTheme="majorBidi" w:cstheme="majorBidi"/>
          <w:sz w:val="24"/>
          <w:szCs w:val="24"/>
          <w:lang w:eastAsia="fr-FR"/>
        </w:rPr>
        <w:t>production d’enzymes bactériennes</w:t>
      </w:r>
      <w:r w:rsidRPr="00031BB3">
        <w:rPr>
          <w:rFonts w:asciiTheme="majorBidi" w:eastAsia="Times New Roman" w:hAnsiTheme="majorBidi" w:cstheme="majorBidi"/>
          <w:sz w:val="24"/>
          <w:szCs w:val="24"/>
          <w:lang w:eastAsia="fr-FR"/>
        </w:rPr>
        <w:t xml:space="preserve"> capables d’</w:t>
      </w:r>
      <w:r w:rsidRPr="00D847FC">
        <w:rPr>
          <w:rFonts w:asciiTheme="majorBidi" w:eastAsia="Times New Roman" w:hAnsiTheme="majorBidi" w:cstheme="majorBidi"/>
          <w:sz w:val="24"/>
          <w:szCs w:val="24"/>
          <w:lang w:eastAsia="fr-FR"/>
        </w:rPr>
        <w:t>inactiver directement la molécule antibiotique</w:t>
      </w:r>
      <w:r w:rsidRPr="00031BB3">
        <w:rPr>
          <w:rFonts w:asciiTheme="majorBidi" w:eastAsia="Times New Roman" w:hAnsiTheme="majorBidi" w:cstheme="majorBidi"/>
          <w:sz w:val="24"/>
          <w:szCs w:val="24"/>
          <w:lang w:eastAsia="fr-FR"/>
        </w:rPr>
        <w:t>.</w:t>
      </w:r>
      <w:r w:rsidR="00F222C8">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Ces enzymes catalysent la destruction ou la modification chimique de l’antibiotique, le rendant </w:t>
      </w:r>
      <w:r w:rsidRPr="00D847FC">
        <w:rPr>
          <w:rFonts w:asciiTheme="majorBidi" w:eastAsia="Times New Roman" w:hAnsiTheme="majorBidi" w:cstheme="majorBidi"/>
          <w:sz w:val="24"/>
          <w:szCs w:val="24"/>
          <w:lang w:eastAsia="fr-FR"/>
        </w:rPr>
        <w:t>inefficace</w:t>
      </w:r>
      <w:r w:rsidRPr="00031BB3">
        <w:rPr>
          <w:rFonts w:asciiTheme="majorBidi" w:eastAsia="Times New Roman" w:hAnsiTheme="majorBidi" w:cstheme="majorBidi"/>
          <w:sz w:val="24"/>
          <w:szCs w:val="24"/>
          <w:lang w:eastAsia="fr-FR"/>
        </w:rPr>
        <w:t>.</w:t>
      </w:r>
    </w:p>
    <w:p w:rsidR="00031BB3" w:rsidRPr="00031BB3" w:rsidRDefault="00031BB3" w:rsidP="00D847FC">
      <w:pPr>
        <w:spacing w:before="100" w:beforeAutospacing="1" w:after="100" w:afterAutospacing="1" w:line="360" w:lineRule="auto"/>
        <w:outlineLvl w:val="3"/>
        <w:rPr>
          <w:rFonts w:asciiTheme="majorBidi" w:eastAsia="Times New Roman" w:hAnsiTheme="majorBidi" w:cstheme="majorBidi"/>
          <w:b/>
          <w:bCs/>
          <w:sz w:val="24"/>
          <w:szCs w:val="24"/>
          <w:lang w:eastAsia="fr-FR"/>
        </w:rPr>
      </w:pPr>
      <w:r w:rsidRPr="00031BB3">
        <w:rPr>
          <w:rFonts w:asciiTheme="majorBidi" w:eastAsia="Times New Roman" w:hAnsiTheme="majorBidi" w:cstheme="majorBidi"/>
          <w:b/>
          <w:bCs/>
          <w:sz w:val="24"/>
          <w:szCs w:val="24"/>
          <w:lang w:eastAsia="fr-FR"/>
        </w:rPr>
        <w:t>a) Les β-lactamases</w:t>
      </w:r>
    </w:p>
    <w:p w:rsidR="00031BB3" w:rsidRPr="00031BB3" w:rsidRDefault="00031BB3" w:rsidP="00D847FC">
      <w:pPr>
        <w:spacing w:before="100" w:beforeAutospacing="1" w:after="100" w:afterAutospacing="1" w:line="360" w:lineRule="auto"/>
        <w:rPr>
          <w:rFonts w:asciiTheme="majorBidi" w:eastAsia="Times New Roman" w:hAnsiTheme="majorBidi" w:cstheme="majorBidi"/>
          <w:sz w:val="24"/>
          <w:szCs w:val="24"/>
          <w:lang w:eastAsia="fr-FR"/>
        </w:rPr>
      </w:pPr>
      <w:r w:rsidRPr="00031BB3">
        <w:rPr>
          <w:rFonts w:asciiTheme="majorBidi" w:eastAsia="Times New Roman" w:hAnsiTheme="majorBidi" w:cstheme="majorBidi"/>
          <w:sz w:val="24"/>
          <w:szCs w:val="24"/>
          <w:lang w:eastAsia="fr-FR"/>
        </w:rPr>
        <w:t xml:space="preserve">Les </w:t>
      </w:r>
      <w:r w:rsidRPr="00D847FC">
        <w:rPr>
          <w:rFonts w:asciiTheme="majorBidi" w:eastAsia="Times New Roman" w:hAnsiTheme="majorBidi" w:cstheme="majorBidi"/>
          <w:sz w:val="24"/>
          <w:szCs w:val="24"/>
          <w:lang w:eastAsia="fr-FR"/>
        </w:rPr>
        <w:t>β-lactamases</w:t>
      </w:r>
      <w:r w:rsidRPr="00031BB3">
        <w:rPr>
          <w:rFonts w:asciiTheme="majorBidi" w:eastAsia="Times New Roman" w:hAnsiTheme="majorBidi" w:cstheme="majorBidi"/>
          <w:sz w:val="24"/>
          <w:szCs w:val="24"/>
          <w:lang w:eastAsia="fr-FR"/>
        </w:rPr>
        <w:t xml:space="preserve"> hydrolysent le </w:t>
      </w:r>
      <w:r w:rsidRPr="00D847FC">
        <w:rPr>
          <w:rFonts w:asciiTheme="majorBidi" w:eastAsia="Times New Roman" w:hAnsiTheme="majorBidi" w:cstheme="majorBidi"/>
          <w:sz w:val="24"/>
          <w:szCs w:val="24"/>
          <w:lang w:eastAsia="fr-FR"/>
        </w:rPr>
        <w:t>cycle β-lactame</w:t>
      </w:r>
      <w:r w:rsidRPr="00031BB3">
        <w:rPr>
          <w:rFonts w:asciiTheme="majorBidi" w:eastAsia="Times New Roman" w:hAnsiTheme="majorBidi" w:cstheme="majorBidi"/>
          <w:sz w:val="24"/>
          <w:szCs w:val="24"/>
          <w:lang w:eastAsia="fr-FR"/>
        </w:rPr>
        <w:t xml:space="preserve"> présent dans les pénicillines,</w:t>
      </w:r>
      <w:r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céphalosporines, carbapénèmes et monobactames.</w:t>
      </w:r>
      <w:r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Elles constituent le </w:t>
      </w:r>
      <w:r w:rsidRPr="00D847FC">
        <w:rPr>
          <w:rFonts w:asciiTheme="majorBidi" w:eastAsia="Times New Roman" w:hAnsiTheme="majorBidi" w:cstheme="majorBidi"/>
          <w:sz w:val="24"/>
          <w:szCs w:val="24"/>
          <w:lang w:eastAsia="fr-FR"/>
        </w:rPr>
        <w:t>mécanisme le plus fréquent</w:t>
      </w:r>
      <w:r w:rsidRPr="00031BB3">
        <w:rPr>
          <w:rFonts w:asciiTheme="majorBidi" w:eastAsia="Times New Roman" w:hAnsiTheme="majorBidi" w:cstheme="majorBidi"/>
          <w:sz w:val="24"/>
          <w:szCs w:val="24"/>
          <w:lang w:eastAsia="fr-FR"/>
        </w:rPr>
        <w:t xml:space="preserve"> de résistance aux β-lactamines.</w:t>
      </w:r>
      <w:r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On distingue plusieurs </w:t>
      </w:r>
      <w:r w:rsidRPr="00D847FC">
        <w:rPr>
          <w:rFonts w:asciiTheme="majorBidi" w:eastAsia="Times New Roman" w:hAnsiTheme="majorBidi" w:cstheme="majorBidi"/>
          <w:sz w:val="24"/>
          <w:szCs w:val="24"/>
          <w:lang w:eastAsia="fr-FR"/>
        </w:rPr>
        <w:t>classes</w:t>
      </w:r>
      <w:r w:rsidRPr="00031BB3">
        <w:rPr>
          <w:rFonts w:asciiTheme="majorBidi" w:eastAsia="Times New Roman" w:hAnsiTheme="majorBidi" w:cstheme="majorBidi"/>
          <w:sz w:val="24"/>
          <w:szCs w:val="24"/>
          <w:lang w:eastAsia="fr-FR"/>
        </w:rPr>
        <w:t xml:space="preserve"> selon leur structure et leur mécanisme catalytique :</w:t>
      </w:r>
    </w:p>
    <w:p w:rsidR="00031BB3" w:rsidRPr="00D847FC" w:rsidRDefault="00031BB3" w:rsidP="00D847FC">
      <w:pPr>
        <w:spacing w:before="100" w:beforeAutospacing="1" w:after="100" w:afterAutospacing="1" w:line="360" w:lineRule="auto"/>
        <w:rPr>
          <w:rFonts w:asciiTheme="majorBidi" w:eastAsia="Times New Roman" w:hAnsiTheme="majorBidi" w:cstheme="majorBidi"/>
          <w:sz w:val="24"/>
          <w:szCs w:val="24"/>
          <w:lang w:eastAsia="fr-FR"/>
        </w:rPr>
      </w:pPr>
      <w:r w:rsidRPr="00D847FC">
        <w:rPr>
          <w:rFonts w:asciiTheme="majorBidi" w:eastAsia="Times New Roman" w:hAnsiTheme="majorBidi" w:cstheme="majorBidi"/>
          <w:noProof/>
          <w:sz w:val="24"/>
          <w:szCs w:val="24"/>
          <w:lang w:eastAsia="fr-FR"/>
        </w:rPr>
        <w:lastRenderedPageBreak/>
        <w:drawing>
          <wp:inline distT="0" distB="0" distL="0" distR="0">
            <wp:extent cx="5760720" cy="1717997"/>
            <wp:effectExtent l="1905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srcRect/>
                    <a:stretch>
                      <a:fillRect/>
                    </a:stretch>
                  </pic:blipFill>
                  <pic:spPr bwMode="auto">
                    <a:xfrm>
                      <a:off x="0" y="0"/>
                      <a:ext cx="5760720" cy="1717997"/>
                    </a:xfrm>
                    <a:prstGeom prst="rect">
                      <a:avLst/>
                    </a:prstGeom>
                    <a:noFill/>
                    <a:ln w="9525">
                      <a:noFill/>
                      <a:miter lim="800000"/>
                      <a:headEnd/>
                      <a:tailEnd/>
                    </a:ln>
                  </pic:spPr>
                </pic:pic>
              </a:graphicData>
            </a:graphic>
          </wp:inline>
        </w:drawing>
      </w:r>
    </w:p>
    <w:p w:rsidR="00031BB3" w:rsidRPr="00D847FC" w:rsidRDefault="00031BB3" w:rsidP="00D847FC">
      <w:pPr>
        <w:spacing w:before="100" w:beforeAutospacing="1" w:after="100" w:afterAutospacing="1" w:line="360" w:lineRule="auto"/>
        <w:rPr>
          <w:rFonts w:asciiTheme="majorBidi" w:eastAsia="Times New Roman" w:hAnsiTheme="majorBidi" w:cstheme="majorBidi"/>
          <w:sz w:val="24"/>
          <w:szCs w:val="24"/>
          <w:lang w:eastAsia="fr-FR"/>
        </w:rPr>
      </w:pPr>
    </w:p>
    <w:p w:rsidR="00031BB3" w:rsidRPr="00031BB3" w:rsidRDefault="00031BB3" w:rsidP="00D847FC">
      <w:pPr>
        <w:spacing w:before="100" w:beforeAutospacing="1" w:after="100" w:afterAutospacing="1" w:line="360" w:lineRule="auto"/>
        <w:rPr>
          <w:rFonts w:asciiTheme="majorBidi" w:eastAsia="Times New Roman" w:hAnsiTheme="majorBidi" w:cstheme="majorBidi"/>
          <w:sz w:val="24"/>
          <w:szCs w:val="24"/>
          <w:lang w:eastAsia="fr-FR"/>
        </w:rPr>
      </w:pPr>
      <w:r w:rsidRPr="00031BB3">
        <w:rPr>
          <w:rFonts w:asciiTheme="majorBidi" w:eastAsia="Times New Roman" w:hAnsiTheme="majorBidi" w:cstheme="majorBidi"/>
          <w:sz w:val="24"/>
          <w:szCs w:val="24"/>
          <w:lang w:eastAsia="fr-FR"/>
        </w:rPr>
        <w:t xml:space="preserve">Les </w:t>
      </w:r>
      <w:r w:rsidRPr="00D847FC">
        <w:rPr>
          <w:rFonts w:asciiTheme="majorBidi" w:eastAsia="Times New Roman" w:hAnsiTheme="majorBidi" w:cstheme="majorBidi"/>
          <w:sz w:val="24"/>
          <w:szCs w:val="24"/>
          <w:lang w:eastAsia="fr-FR"/>
        </w:rPr>
        <w:t>gènes codant les β-lactamases</w:t>
      </w:r>
      <w:r w:rsidRPr="00031BB3">
        <w:rPr>
          <w:rFonts w:asciiTheme="majorBidi" w:eastAsia="Times New Roman" w:hAnsiTheme="majorBidi" w:cstheme="majorBidi"/>
          <w:sz w:val="24"/>
          <w:szCs w:val="24"/>
          <w:lang w:eastAsia="fr-FR"/>
        </w:rPr>
        <w:t xml:space="preserve"> sont </w:t>
      </w:r>
      <w:r w:rsidRPr="00D847FC">
        <w:rPr>
          <w:rFonts w:asciiTheme="majorBidi" w:eastAsia="Times New Roman" w:hAnsiTheme="majorBidi" w:cstheme="majorBidi"/>
          <w:sz w:val="24"/>
          <w:szCs w:val="24"/>
          <w:lang w:eastAsia="fr-FR"/>
        </w:rPr>
        <w:t>souvent plasmidiques</w:t>
      </w:r>
      <w:r w:rsidRPr="00031BB3">
        <w:rPr>
          <w:rFonts w:asciiTheme="majorBidi" w:eastAsia="Times New Roman" w:hAnsiTheme="majorBidi" w:cstheme="majorBidi"/>
          <w:sz w:val="24"/>
          <w:szCs w:val="24"/>
          <w:lang w:eastAsia="fr-FR"/>
        </w:rPr>
        <w:t>, facilitant leur transfert entre bactéries.</w:t>
      </w:r>
      <w:r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Les </w:t>
      </w:r>
      <w:r w:rsidRPr="00D847FC">
        <w:rPr>
          <w:rFonts w:asciiTheme="majorBidi" w:eastAsia="Times New Roman" w:hAnsiTheme="majorBidi" w:cstheme="majorBidi"/>
          <w:sz w:val="24"/>
          <w:szCs w:val="24"/>
          <w:lang w:eastAsia="fr-FR"/>
        </w:rPr>
        <w:t>Staphylococcus</w:t>
      </w:r>
      <w:r w:rsidRPr="00031BB3">
        <w:rPr>
          <w:rFonts w:asciiTheme="majorBidi" w:eastAsia="Times New Roman" w:hAnsiTheme="majorBidi" w:cstheme="majorBidi"/>
          <w:sz w:val="24"/>
          <w:szCs w:val="24"/>
          <w:lang w:eastAsia="fr-FR"/>
        </w:rPr>
        <w:t xml:space="preserve"> et surtout les </w:t>
      </w:r>
      <w:r w:rsidRPr="00D847FC">
        <w:rPr>
          <w:rFonts w:asciiTheme="majorBidi" w:eastAsia="Times New Roman" w:hAnsiTheme="majorBidi" w:cstheme="majorBidi"/>
          <w:sz w:val="24"/>
          <w:szCs w:val="24"/>
          <w:lang w:eastAsia="fr-FR"/>
        </w:rPr>
        <w:t>bactéries à Gram négatif</w:t>
      </w:r>
      <w:r w:rsidRPr="00031BB3">
        <w:rPr>
          <w:rFonts w:asciiTheme="majorBidi" w:eastAsia="Times New Roman" w:hAnsiTheme="majorBidi" w:cstheme="majorBidi"/>
          <w:sz w:val="24"/>
          <w:szCs w:val="24"/>
          <w:lang w:eastAsia="fr-FR"/>
        </w:rPr>
        <w:t xml:space="preserve"> (Enterobacteriaceae, Pseudomonas, etc.) sont les plus grands producteurs.</w:t>
      </w:r>
      <w:r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Les </w:t>
      </w:r>
      <w:r w:rsidRPr="00D847FC">
        <w:rPr>
          <w:rFonts w:asciiTheme="majorBidi" w:eastAsia="Times New Roman" w:hAnsiTheme="majorBidi" w:cstheme="majorBidi"/>
          <w:sz w:val="24"/>
          <w:szCs w:val="24"/>
          <w:lang w:eastAsia="fr-FR"/>
        </w:rPr>
        <w:t>anaérobies</w:t>
      </w:r>
      <w:r w:rsidRPr="00031BB3">
        <w:rPr>
          <w:rFonts w:asciiTheme="majorBidi" w:eastAsia="Times New Roman" w:hAnsiTheme="majorBidi" w:cstheme="majorBidi"/>
          <w:sz w:val="24"/>
          <w:szCs w:val="24"/>
          <w:lang w:eastAsia="fr-FR"/>
        </w:rPr>
        <w:t xml:space="preserve"> produisent principalement des </w:t>
      </w:r>
      <w:r w:rsidRPr="00D847FC">
        <w:rPr>
          <w:rFonts w:asciiTheme="majorBidi" w:eastAsia="Times New Roman" w:hAnsiTheme="majorBidi" w:cstheme="majorBidi"/>
          <w:sz w:val="24"/>
          <w:szCs w:val="24"/>
          <w:lang w:eastAsia="fr-FR"/>
        </w:rPr>
        <w:t>céphalosporinases</w:t>
      </w:r>
      <w:r w:rsidRPr="00031BB3">
        <w:rPr>
          <w:rFonts w:asciiTheme="majorBidi" w:eastAsia="Times New Roman" w:hAnsiTheme="majorBidi" w:cstheme="majorBidi"/>
          <w:sz w:val="24"/>
          <w:szCs w:val="24"/>
          <w:lang w:eastAsia="fr-FR"/>
        </w:rPr>
        <w:t>.</w:t>
      </w:r>
    </w:p>
    <w:p w:rsidR="00031BB3" w:rsidRPr="00031BB3" w:rsidRDefault="00031BB3" w:rsidP="00D847FC">
      <w:pPr>
        <w:spacing w:before="100" w:beforeAutospacing="1" w:after="100" w:afterAutospacing="1" w:line="360" w:lineRule="auto"/>
        <w:outlineLvl w:val="3"/>
        <w:rPr>
          <w:rFonts w:asciiTheme="majorBidi" w:eastAsia="Times New Roman" w:hAnsiTheme="majorBidi" w:cstheme="majorBidi"/>
          <w:b/>
          <w:bCs/>
          <w:sz w:val="24"/>
          <w:szCs w:val="24"/>
          <w:lang w:eastAsia="fr-FR"/>
        </w:rPr>
      </w:pPr>
      <w:r w:rsidRPr="00031BB3">
        <w:rPr>
          <w:rFonts w:asciiTheme="majorBidi" w:eastAsia="Times New Roman" w:hAnsiTheme="majorBidi" w:cstheme="majorBidi"/>
          <w:b/>
          <w:bCs/>
          <w:sz w:val="24"/>
          <w:szCs w:val="24"/>
          <w:lang w:eastAsia="fr-FR"/>
        </w:rPr>
        <w:t>b) Les enzymes modifiant les aminoglycosides</w:t>
      </w:r>
    </w:p>
    <w:p w:rsidR="00031BB3" w:rsidRPr="00031BB3" w:rsidRDefault="00031BB3" w:rsidP="00D847FC">
      <w:pPr>
        <w:spacing w:before="100" w:beforeAutospacing="1" w:after="100" w:afterAutospacing="1" w:line="360" w:lineRule="auto"/>
        <w:rPr>
          <w:rFonts w:asciiTheme="majorBidi" w:eastAsia="Times New Roman" w:hAnsiTheme="majorBidi" w:cstheme="majorBidi"/>
          <w:sz w:val="24"/>
          <w:szCs w:val="24"/>
          <w:lang w:eastAsia="fr-FR"/>
        </w:rPr>
      </w:pPr>
      <w:r w:rsidRPr="00031BB3">
        <w:rPr>
          <w:rFonts w:asciiTheme="majorBidi" w:eastAsia="Times New Roman" w:hAnsiTheme="majorBidi" w:cstheme="majorBidi"/>
          <w:sz w:val="24"/>
          <w:szCs w:val="24"/>
          <w:lang w:eastAsia="fr-FR"/>
        </w:rPr>
        <w:t xml:space="preserve">Les aminoglycosides (streptomycine, gentamicine, amikacine, etc.) peuvent être inactivés par des enzymes bactériennes qui </w:t>
      </w:r>
      <w:r w:rsidRPr="00D847FC">
        <w:rPr>
          <w:rFonts w:asciiTheme="majorBidi" w:eastAsia="Times New Roman" w:hAnsiTheme="majorBidi" w:cstheme="majorBidi"/>
          <w:sz w:val="24"/>
          <w:szCs w:val="24"/>
          <w:lang w:eastAsia="fr-FR"/>
        </w:rPr>
        <w:t>modifient chimiquement</w:t>
      </w:r>
      <w:r w:rsidRPr="00031BB3">
        <w:rPr>
          <w:rFonts w:asciiTheme="majorBidi" w:eastAsia="Times New Roman" w:hAnsiTheme="majorBidi" w:cstheme="majorBidi"/>
          <w:sz w:val="24"/>
          <w:szCs w:val="24"/>
          <w:lang w:eastAsia="fr-FR"/>
        </w:rPr>
        <w:t xml:space="preserve"> leur structure.</w:t>
      </w:r>
      <w:r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Trois </w:t>
      </w:r>
      <w:r w:rsidRPr="00D847FC">
        <w:rPr>
          <w:rFonts w:asciiTheme="majorBidi" w:eastAsia="Times New Roman" w:hAnsiTheme="majorBidi" w:cstheme="majorBidi"/>
          <w:sz w:val="24"/>
          <w:szCs w:val="24"/>
          <w:lang w:eastAsia="fr-FR"/>
        </w:rPr>
        <w:t>types d’enzymes</w:t>
      </w:r>
      <w:r w:rsidRPr="00031BB3">
        <w:rPr>
          <w:rFonts w:asciiTheme="majorBidi" w:eastAsia="Times New Roman" w:hAnsiTheme="majorBidi" w:cstheme="majorBidi"/>
          <w:sz w:val="24"/>
          <w:szCs w:val="24"/>
          <w:lang w:eastAsia="fr-FR"/>
        </w:rPr>
        <w:t xml:space="preserve"> sont impliqués :</w:t>
      </w:r>
    </w:p>
    <w:p w:rsidR="00031BB3" w:rsidRPr="00031BB3" w:rsidRDefault="00031BB3" w:rsidP="00D847FC">
      <w:pPr>
        <w:numPr>
          <w:ilvl w:val="0"/>
          <w:numId w:val="8"/>
        </w:numPr>
        <w:spacing w:before="100" w:beforeAutospacing="1" w:after="100" w:afterAutospacing="1" w:line="360" w:lineRule="auto"/>
        <w:rPr>
          <w:rFonts w:asciiTheme="majorBidi" w:eastAsia="Times New Roman" w:hAnsiTheme="majorBidi" w:cstheme="majorBidi"/>
          <w:sz w:val="24"/>
          <w:szCs w:val="24"/>
          <w:lang w:eastAsia="fr-FR"/>
        </w:rPr>
      </w:pPr>
      <w:r w:rsidRPr="00D847FC">
        <w:rPr>
          <w:rFonts w:asciiTheme="majorBidi" w:eastAsia="Times New Roman" w:hAnsiTheme="majorBidi" w:cstheme="majorBidi"/>
          <w:sz w:val="24"/>
          <w:szCs w:val="24"/>
          <w:lang w:eastAsia="fr-FR"/>
        </w:rPr>
        <w:t>N-acétyltransférases (AAC)</w:t>
      </w:r>
      <w:r w:rsidRPr="00031BB3">
        <w:rPr>
          <w:rFonts w:asciiTheme="majorBidi" w:eastAsia="Times New Roman" w:hAnsiTheme="majorBidi" w:cstheme="majorBidi"/>
          <w:sz w:val="24"/>
          <w:szCs w:val="24"/>
          <w:lang w:eastAsia="fr-FR"/>
        </w:rPr>
        <w:t xml:space="preserve"> – ajout d’un groupement acétyle ;</w:t>
      </w:r>
    </w:p>
    <w:p w:rsidR="00031BB3" w:rsidRPr="00031BB3" w:rsidRDefault="00031BB3" w:rsidP="00D847FC">
      <w:pPr>
        <w:numPr>
          <w:ilvl w:val="0"/>
          <w:numId w:val="8"/>
        </w:numPr>
        <w:spacing w:before="100" w:beforeAutospacing="1" w:after="100" w:afterAutospacing="1" w:line="360" w:lineRule="auto"/>
        <w:rPr>
          <w:rFonts w:asciiTheme="majorBidi" w:eastAsia="Times New Roman" w:hAnsiTheme="majorBidi" w:cstheme="majorBidi"/>
          <w:sz w:val="24"/>
          <w:szCs w:val="24"/>
          <w:lang w:eastAsia="fr-FR"/>
        </w:rPr>
      </w:pPr>
      <w:r w:rsidRPr="00D847FC">
        <w:rPr>
          <w:rFonts w:asciiTheme="majorBidi" w:eastAsia="Times New Roman" w:hAnsiTheme="majorBidi" w:cstheme="majorBidi"/>
          <w:sz w:val="24"/>
          <w:szCs w:val="24"/>
          <w:lang w:eastAsia="fr-FR"/>
        </w:rPr>
        <w:t>O-nucléotidyltransférases (ANT)</w:t>
      </w:r>
      <w:r w:rsidRPr="00031BB3">
        <w:rPr>
          <w:rFonts w:asciiTheme="majorBidi" w:eastAsia="Times New Roman" w:hAnsiTheme="majorBidi" w:cstheme="majorBidi"/>
          <w:sz w:val="24"/>
          <w:szCs w:val="24"/>
          <w:lang w:eastAsia="fr-FR"/>
        </w:rPr>
        <w:t xml:space="preserve"> – ajout d’un groupement adénylyle ;</w:t>
      </w:r>
    </w:p>
    <w:p w:rsidR="00031BB3" w:rsidRPr="00031BB3" w:rsidRDefault="00031BB3" w:rsidP="00D847FC">
      <w:pPr>
        <w:numPr>
          <w:ilvl w:val="0"/>
          <w:numId w:val="8"/>
        </w:numPr>
        <w:spacing w:before="100" w:beforeAutospacing="1" w:after="100" w:afterAutospacing="1" w:line="360" w:lineRule="auto"/>
        <w:rPr>
          <w:rFonts w:asciiTheme="majorBidi" w:eastAsia="Times New Roman" w:hAnsiTheme="majorBidi" w:cstheme="majorBidi"/>
          <w:sz w:val="24"/>
          <w:szCs w:val="24"/>
          <w:lang w:eastAsia="fr-FR"/>
        </w:rPr>
      </w:pPr>
      <w:r w:rsidRPr="00D847FC">
        <w:rPr>
          <w:rFonts w:asciiTheme="majorBidi" w:eastAsia="Times New Roman" w:hAnsiTheme="majorBidi" w:cstheme="majorBidi"/>
          <w:sz w:val="24"/>
          <w:szCs w:val="24"/>
          <w:lang w:eastAsia="fr-FR"/>
        </w:rPr>
        <w:t>O-phosphotransférases (APH)</w:t>
      </w:r>
      <w:r w:rsidRPr="00031BB3">
        <w:rPr>
          <w:rFonts w:asciiTheme="majorBidi" w:eastAsia="Times New Roman" w:hAnsiTheme="majorBidi" w:cstheme="majorBidi"/>
          <w:sz w:val="24"/>
          <w:szCs w:val="24"/>
          <w:lang w:eastAsia="fr-FR"/>
        </w:rPr>
        <w:t xml:space="preserve"> – ajout d’un groupement phosphate.</w:t>
      </w:r>
    </w:p>
    <w:p w:rsidR="00031BB3" w:rsidRPr="00031BB3" w:rsidRDefault="00031BB3" w:rsidP="00F222C8">
      <w:pPr>
        <w:spacing w:before="100" w:beforeAutospacing="1" w:after="100" w:afterAutospacing="1" w:line="360" w:lineRule="auto"/>
        <w:jc w:val="both"/>
        <w:rPr>
          <w:rFonts w:asciiTheme="majorBidi" w:eastAsia="Times New Roman" w:hAnsiTheme="majorBidi" w:cstheme="majorBidi"/>
          <w:sz w:val="24"/>
          <w:szCs w:val="24"/>
          <w:lang w:eastAsia="fr-FR"/>
        </w:rPr>
      </w:pPr>
      <w:r w:rsidRPr="00031BB3">
        <w:rPr>
          <w:rFonts w:asciiTheme="majorBidi" w:eastAsia="Times New Roman" w:hAnsiTheme="majorBidi" w:cstheme="majorBidi"/>
          <w:sz w:val="24"/>
          <w:szCs w:val="24"/>
          <w:lang w:eastAsia="fr-FR"/>
        </w:rPr>
        <w:t>Ces modifications empêchent la liaison de l’antibiotique à la sous-unité ribosomique 30S.</w:t>
      </w:r>
      <w:r w:rsidR="00D51709"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Une même </w:t>
      </w:r>
      <w:r w:rsidRPr="00D847FC">
        <w:rPr>
          <w:rFonts w:asciiTheme="majorBidi" w:eastAsia="Times New Roman" w:hAnsiTheme="majorBidi" w:cstheme="majorBidi"/>
          <w:sz w:val="24"/>
          <w:szCs w:val="24"/>
          <w:lang w:eastAsia="fr-FR"/>
        </w:rPr>
        <w:t>position sur la molécule</w:t>
      </w:r>
      <w:r w:rsidRPr="00031BB3">
        <w:rPr>
          <w:rFonts w:asciiTheme="majorBidi" w:eastAsia="Times New Roman" w:hAnsiTheme="majorBidi" w:cstheme="majorBidi"/>
          <w:sz w:val="24"/>
          <w:szCs w:val="24"/>
          <w:lang w:eastAsia="fr-FR"/>
        </w:rPr>
        <w:t xml:space="preserve"> d’aminoglycoside peut être modifiée par </w:t>
      </w:r>
      <w:r w:rsidRPr="00D847FC">
        <w:rPr>
          <w:rFonts w:asciiTheme="majorBidi" w:eastAsia="Times New Roman" w:hAnsiTheme="majorBidi" w:cstheme="majorBidi"/>
          <w:sz w:val="24"/>
          <w:szCs w:val="24"/>
          <w:lang w:eastAsia="fr-FR"/>
        </w:rPr>
        <w:t>plusieurs enzymes distinctes</w:t>
      </w:r>
      <w:r w:rsidRPr="00031BB3">
        <w:rPr>
          <w:rFonts w:asciiTheme="majorBidi" w:eastAsia="Times New Roman" w:hAnsiTheme="majorBidi" w:cstheme="majorBidi"/>
          <w:sz w:val="24"/>
          <w:szCs w:val="24"/>
          <w:lang w:eastAsia="fr-FR"/>
        </w:rPr>
        <w:t>.</w:t>
      </w:r>
      <w:r w:rsidR="00D51709"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Une </w:t>
      </w:r>
      <w:r w:rsidRPr="00D847FC">
        <w:rPr>
          <w:rFonts w:asciiTheme="majorBidi" w:eastAsia="Times New Roman" w:hAnsiTheme="majorBidi" w:cstheme="majorBidi"/>
          <w:sz w:val="24"/>
          <w:szCs w:val="24"/>
          <w:lang w:eastAsia="fr-FR"/>
        </w:rPr>
        <w:t>même bactérie</w:t>
      </w:r>
      <w:r w:rsidRPr="00031BB3">
        <w:rPr>
          <w:rFonts w:asciiTheme="majorBidi" w:eastAsia="Times New Roman" w:hAnsiTheme="majorBidi" w:cstheme="majorBidi"/>
          <w:sz w:val="24"/>
          <w:szCs w:val="24"/>
          <w:lang w:eastAsia="fr-FR"/>
        </w:rPr>
        <w:t xml:space="preserve"> peut posséder </w:t>
      </w:r>
      <w:r w:rsidRPr="00D847FC">
        <w:rPr>
          <w:rFonts w:asciiTheme="majorBidi" w:eastAsia="Times New Roman" w:hAnsiTheme="majorBidi" w:cstheme="majorBidi"/>
          <w:sz w:val="24"/>
          <w:szCs w:val="24"/>
          <w:lang w:eastAsia="fr-FR"/>
        </w:rPr>
        <w:t>plusieurs gènes</w:t>
      </w:r>
      <w:r w:rsidRPr="00031BB3">
        <w:rPr>
          <w:rFonts w:asciiTheme="majorBidi" w:eastAsia="Times New Roman" w:hAnsiTheme="majorBidi" w:cstheme="majorBidi"/>
          <w:sz w:val="24"/>
          <w:szCs w:val="24"/>
          <w:lang w:eastAsia="fr-FR"/>
        </w:rPr>
        <w:t xml:space="preserve"> de modification enzymatique, conférant une </w:t>
      </w:r>
      <w:r w:rsidRPr="00D847FC">
        <w:rPr>
          <w:rFonts w:asciiTheme="majorBidi" w:eastAsia="Times New Roman" w:hAnsiTheme="majorBidi" w:cstheme="majorBidi"/>
          <w:sz w:val="24"/>
          <w:szCs w:val="24"/>
          <w:lang w:eastAsia="fr-FR"/>
        </w:rPr>
        <w:t>multirésistance croisée</w:t>
      </w:r>
      <w:r w:rsidRPr="00031BB3">
        <w:rPr>
          <w:rFonts w:asciiTheme="majorBidi" w:eastAsia="Times New Roman" w:hAnsiTheme="majorBidi" w:cstheme="majorBidi"/>
          <w:sz w:val="24"/>
          <w:szCs w:val="24"/>
          <w:lang w:eastAsia="fr-FR"/>
        </w:rPr>
        <w:t>.</w:t>
      </w:r>
      <w:r w:rsidR="00D51709"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Ces gènes sont :</w:t>
      </w:r>
      <w:r w:rsidR="00D51709"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parfois </w:t>
      </w:r>
      <w:r w:rsidRPr="00D847FC">
        <w:rPr>
          <w:rFonts w:asciiTheme="majorBidi" w:eastAsia="Times New Roman" w:hAnsiTheme="majorBidi" w:cstheme="majorBidi"/>
          <w:sz w:val="24"/>
          <w:szCs w:val="24"/>
          <w:lang w:eastAsia="fr-FR"/>
        </w:rPr>
        <w:t>chromosomiques</w:t>
      </w:r>
      <w:r w:rsidRPr="00031BB3">
        <w:rPr>
          <w:rFonts w:asciiTheme="majorBidi" w:eastAsia="Times New Roman" w:hAnsiTheme="majorBidi" w:cstheme="majorBidi"/>
          <w:sz w:val="24"/>
          <w:szCs w:val="24"/>
          <w:lang w:eastAsia="fr-FR"/>
        </w:rPr>
        <w:t xml:space="preserve"> (ou portés par des </w:t>
      </w:r>
      <w:r w:rsidRPr="00D847FC">
        <w:rPr>
          <w:rFonts w:asciiTheme="majorBidi" w:eastAsia="Times New Roman" w:hAnsiTheme="majorBidi" w:cstheme="majorBidi"/>
          <w:sz w:val="24"/>
          <w:szCs w:val="24"/>
          <w:lang w:eastAsia="fr-FR"/>
        </w:rPr>
        <w:t>transposons</w:t>
      </w:r>
      <w:r w:rsidRPr="00031BB3">
        <w:rPr>
          <w:rFonts w:asciiTheme="majorBidi" w:eastAsia="Times New Roman" w:hAnsiTheme="majorBidi" w:cstheme="majorBidi"/>
          <w:sz w:val="24"/>
          <w:szCs w:val="24"/>
          <w:lang w:eastAsia="fr-FR"/>
        </w:rPr>
        <w:t>) ;</w:t>
      </w:r>
      <w:r w:rsidR="00D51709"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mais le plus souvent </w:t>
      </w:r>
      <w:r w:rsidRPr="00D847FC">
        <w:rPr>
          <w:rFonts w:asciiTheme="majorBidi" w:eastAsia="Times New Roman" w:hAnsiTheme="majorBidi" w:cstheme="majorBidi"/>
          <w:sz w:val="24"/>
          <w:szCs w:val="24"/>
          <w:lang w:eastAsia="fr-FR"/>
        </w:rPr>
        <w:t>plasmidiques et transférables</w:t>
      </w:r>
      <w:r w:rsidRPr="00031BB3">
        <w:rPr>
          <w:rFonts w:asciiTheme="majorBidi" w:eastAsia="Times New Roman" w:hAnsiTheme="majorBidi" w:cstheme="majorBidi"/>
          <w:sz w:val="24"/>
          <w:szCs w:val="24"/>
          <w:lang w:eastAsia="fr-FR"/>
        </w:rPr>
        <w:t>.</w:t>
      </w:r>
      <w:r w:rsidR="00D51709"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 On retrouve ce mécanisme surtout chez </w:t>
      </w:r>
      <w:r w:rsidRPr="00D847FC">
        <w:rPr>
          <w:rFonts w:asciiTheme="majorBidi" w:eastAsia="Times New Roman" w:hAnsiTheme="majorBidi" w:cstheme="majorBidi"/>
          <w:sz w:val="24"/>
          <w:szCs w:val="24"/>
          <w:lang w:eastAsia="fr-FR"/>
        </w:rPr>
        <w:t>Pseudomonas aeruginosa</w:t>
      </w:r>
      <w:r w:rsidRPr="00031BB3">
        <w:rPr>
          <w:rFonts w:asciiTheme="majorBidi" w:eastAsia="Times New Roman" w:hAnsiTheme="majorBidi" w:cstheme="majorBidi"/>
          <w:sz w:val="24"/>
          <w:szCs w:val="24"/>
          <w:lang w:eastAsia="fr-FR"/>
        </w:rPr>
        <w:t xml:space="preserve">, les </w:t>
      </w:r>
      <w:r w:rsidRPr="00D847FC">
        <w:rPr>
          <w:rFonts w:asciiTheme="majorBidi" w:eastAsia="Times New Roman" w:hAnsiTheme="majorBidi" w:cstheme="majorBidi"/>
          <w:sz w:val="24"/>
          <w:szCs w:val="24"/>
          <w:lang w:eastAsia="fr-FR"/>
        </w:rPr>
        <w:t>entérobactéries</w:t>
      </w:r>
      <w:r w:rsidRPr="00031BB3">
        <w:rPr>
          <w:rFonts w:asciiTheme="majorBidi" w:eastAsia="Times New Roman" w:hAnsiTheme="majorBidi" w:cstheme="majorBidi"/>
          <w:sz w:val="24"/>
          <w:szCs w:val="24"/>
          <w:lang w:eastAsia="fr-FR"/>
        </w:rPr>
        <w:t xml:space="preserve"> et les </w:t>
      </w:r>
      <w:r w:rsidRPr="00D847FC">
        <w:rPr>
          <w:rFonts w:asciiTheme="majorBidi" w:eastAsia="Times New Roman" w:hAnsiTheme="majorBidi" w:cstheme="majorBidi"/>
          <w:sz w:val="24"/>
          <w:szCs w:val="24"/>
          <w:lang w:eastAsia="fr-FR"/>
        </w:rPr>
        <w:t>coques Gram positifs</w:t>
      </w:r>
      <w:r w:rsidRPr="00031BB3">
        <w:rPr>
          <w:rFonts w:asciiTheme="majorBidi" w:eastAsia="Times New Roman" w:hAnsiTheme="majorBidi" w:cstheme="majorBidi"/>
          <w:sz w:val="24"/>
          <w:szCs w:val="24"/>
          <w:lang w:eastAsia="fr-FR"/>
        </w:rPr>
        <w:t>.</w:t>
      </w:r>
      <w:r w:rsidR="00D51709" w:rsidRPr="00D847FC">
        <w:rPr>
          <w:rFonts w:asciiTheme="majorBidi" w:eastAsia="Times New Roman" w:hAnsiTheme="majorBidi" w:cstheme="majorBidi"/>
          <w:sz w:val="24"/>
          <w:szCs w:val="24"/>
          <w:lang w:eastAsia="fr-FR"/>
        </w:rPr>
        <w:t xml:space="preserve"> </w:t>
      </w:r>
      <w:r w:rsidRPr="00031BB3">
        <w:rPr>
          <w:rFonts w:asciiTheme="majorBidi" w:eastAsia="Times New Roman" w:hAnsiTheme="majorBidi" w:cstheme="majorBidi"/>
          <w:sz w:val="24"/>
          <w:szCs w:val="24"/>
          <w:lang w:eastAsia="fr-FR"/>
        </w:rPr>
        <w:t xml:space="preserve">Son impact clinique est amplifié par la </w:t>
      </w:r>
      <w:r w:rsidRPr="00D847FC">
        <w:rPr>
          <w:rFonts w:asciiTheme="majorBidi" w:eastAsia="Times New Roman" w:hAnsiTheme="majorBidi" w:cstheme="majorBidi"/>
          <w:sz w:val="24"/>
          <w:szCs w:val="24"/>
          <w:lang w:eastAsia="fr-FR"/>
        </w:rPr>
        <w:t>cotransmission fréquente de gènes de β-lactamases</w:t>
      </w:r>
      <w:r w:rsidRPr="00031BB3">
        <w:rPr>
          <w:rFonts w:asciiTheme="majorBidi" w:eastAsia="Times New Roman" w:hAnsiTheme="majorBidi" w:cstheme="majorBidi"/>
          <w:sz w:val="24"/>
          <w:szCs w:val="24"/>
          <w:lang w:eastAsia="fr-FR"/>
        </w:rPr>
        <w:t xml:space="preserve"> sur le même plasmide.</w:t>
      </w:r>
    </w:p>
    <w:p w:rsidR="00031BB3" w:rsidRPr="00031BB3" w:rsidRDefault="00031BB3" w:rsidP="00D847FC">
      <w:pPr>
        <w:spacing w:before="100" w:beforeAutospacing="1" w:after="100" w:afterAutospacing="1" w:line="360" w:lineRule="auto"/>
        <w:outlineLvl w:val="3"/>
        <w:rPr>
          <w:rFonts w:asciiTheme="majorBidi" w:eastAsia="Times New Roman" w:hAnsiTheme="majorBidi" w:cstheme="majorBidi"/>
          <w:b/>
          <w:bCs/>
          <w:sz w:val="24"/>
          <w:szCs w:val="24"/>
          <w:lang w:eastAsia="fr-FR"/>
        </w:rPr>
      </w:pPr>
      <w:r w:rsidRPr="00031BB3">
        <w:rPr>
          <w:rFonts w:asciiTheme="majorBidi" w:eastAsia="Times New Roman" w:hAnsiTheme="majorBidi" w:cstheme="majorBidi"/>
          <w:b/>
          <w:bCs/>
          <w:sz w:val="24"/>
          <w:szCs w:val="24"/>
          <w:lang w:eastAsia="fr-FR"/>
        </w:rPr>
        <w:t>c) Autres enzymes d’inactivation</w:t>
      </w:r>
    </w:p>
    <w:p w:rsidR="002F546A" w:rsidRDefault="002F546A" w:rsidP="002F546A">
      <w:pPr>
        <w:spacing w:before="100" w:beforeAutospacing="1" w:after="100" w:afterAutospacing="1" w:line="360" w:lineRule="auto"/>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lastRenderedPageBreak/>
        <w:t xml:space="preserve">- </w:t>
      </w:r>
      <w:r w:rsidR="00031BB3" w:rsidRPr="00D847FC">
        <w:rPr>
          <w:rFonts w:asciiTheme="majorBidi" w:eastAsia="Times New Roman" w:hAnsiTheme="majorBidi" w:cstheme="majorBidi"/>
          <w:b/>
          <w:bCs/>
          <w:sz w:val="24"/>
          <w:szCs w:val="24"/>
          <w:lang w:eastAsia="fr-FR"/>
        </w:rPr>
        <w:t>Chloramphénicol-acétyltransférase (CAT</w:t>
      </w:r>
      <w:r w:rsidR="00031BB3" w:rsidRPr="00D847FC">
        <w:rPr>
          <w:rFonts w:asciiTheme="majorBidi" w:eastAsia="Times New Roman" w:hAnsiTheme="majorBidi" w:cstheme="majorBidi"/>
          <w:sz w:val="24"/>
          <w:szCs w:val="24"/>
          <w:lang w:eastAsia="fr-FR"/>
        </w:rPr>
        <w:t>)</w:t>
      </w:r>
      <w:r w:rsidR="00D51709" w:rsidRPr="00D847FC">
        <w:rPr>
          <w:rFonts w:asciiTheme="majorBidi" w:eastAsia="Times New Roman" w:hAnsiTheme="majorBidi" w:cstheme="majorBidi"/>
          <w:sz w:val="24"/>
          <w:szCs w:val="24"/>
          <w:lang w:eastAsia="fr-FR"/>
        </w:rPr>
        <w:t xml:space="preserve"> : </w:t>
      </w:r>
      <w:r w:rsidR="00031BB3" w:rsidRPr="00031BB3">
        <w:rPr>
          <w:rFonts w:asciiTheme="majorBidi" w:eastAsia="Times New Roman" w:hAnsiTheme="majorBidi" w:cstheme="majorBidi"/>
          <w:sz w:val="24"/>
          <w:szCs w:val="24"/>
          <w:lang w:eastAsia="fr-FR"/>
        </w:rPr>
        <w:t xml:space="preserve">Présente chez certaines bactéries </w:t>
      </w:r>
      <w:r w:rsidR="00031BB3" w:rsidRPr="00D847FC">
        <w:rPr>
          <w:rFonts w:asciiTheme="majorBidi" w:eastAsia="Times New Roman" w:hAnsiTheme="majorBidi" w:cstheme="majorBidi"/>
          <w:sz w:val="24"/>
          <w:szCs w:val="24"/>
          <w:lang w:eastAsia="fr-FR"/>
        </w:rPr>
        <w:t>Gram positif</w:t>
      </w:r>
      <w:r w:rsidR="00031BB3" w:rsidRPr="00031BB3">
        <w:rPr>
          <w:rFonts w:asciiTheme="majorBidi" w:eastAsia="Times New Roman" w:hAnsiTheme="majorBidi" w:cstheme="majorBidi"/>
          <w:sz w:val="24"/>
          <w:szCs w:val="24"/>
          <w:lang w:eastAsia="fr-FR"/>
        </w:rPr>
        <w:t xml:space="preserve"> et </w:t>
      </w:r>
      <w:r w:rsidR="00031BB3" w:rsidRPr="00D847FC">
        <w:rPr>
          <w:rFonts w:asciiTheme="majorBidi" w:eastAsia="Times New Roman" w:hAnsiTheme="majorBidi" w:cstheme="majorBidi"/>
          <w:sz w:val="24"/>
          <w:szCs w:val="24"/>
          <w:lang w:eastAsia="fr-FR"/>
        </w:rPr>
        <w:t>Gram négatif</w:t>
      </w:r>
      <w:r w:rsidR="00031BB3" w:rsidRPr="00031BB3">
        <w:rPr>
          <w:rFonts w:asciiTheme="majorBidi" w:eastAsia="Times New Roman" w:hAnsiTheme="majorBidi" w:cstheme="majorBidi"/>
          <w:sz w:val="24"/>
          <w:szCs w:val="24"/>
          <w:lang w:eastAsia="fr-FR"/>
        </w:rPr>
        <w:t>.</w:t>
      </w:r>
      <w:r w:rsidR="00D51709" w:rsidRPr="00D847FC">
        <w:rPr>
          <w:rFonts w:asciiTheme="majorBidi" w:eastAsia="Times New Roman" w:hAnsiTheme="majorBidi" w:cstheme="majorBidi"/>
          <w:sz w:val="24"/>
          <w:szCs w:val="24"/>
          <w:lang w:eastAsia="fr-FR"/>
        </w:rPr>
        <w:t xml:space="preserve">  </w:t>
      </w:r>
      <w:r w:rsidR="00031BB3" w:rsidRPr="00031BB3">
        <w:rPr>
          <w:rFonts w:asciiTheme="majorBidi" w:eastAsia="Times New Roman" w:hAnsiTheme="majorBidi" w:cstheme="majorBidi"/>
          <w:sz w:val="24"/>
          <w:szCs w:val="24"/>
          <w:lang w:eastAsia="fr-FR"/>
        </w:rPr>
        <w:t xml:space="preserve">Inactive le </w:t>
      </w:r>
      <w:r w:rsidR="00031BB3" w:rsidRPr="00D847FC">
        <w:rPr>
          <w:rFonts w:asciiTheme="majorBidi" w:eastAsia="Times New Roman" w:hAnsiTheme="majorBidi" w:cstheme="majorBidi"/>
          <w:sz w:val="24"/>
          <w:szCs w:val="24"/>
          <w:lang w:eastAsia="fr-FR"/>
        </w:rPr>
        <w:t>chloramphénicol</w:t>
      </w:r>
      <w:r w:rsidR="00031BB3" w:rsidRPr="00031BB3">
        <w:rPr>
          <w:rFonts w:asciiTheme="majorBidi" w:eastAsia="Times New Roman" w:hAnsiTheme="majorBidi" w:cstheme="majorBidi"/>
          <w:sz w:val="24"/>
          <w:szCs w:val="24"/>
          <w:lang w:eastAsia="fr-FR"/>
        </w:rPr>
        <w:t xml:space="preserve"> par </w:t>
      </w:r>
      <w:r w:rsidR="00031BB3" w:rsidRPr="00D847FC">
        <w:rPr>
          <w:rFonts w:asciiTheme="majorBidi" w:eastAsia="Times New Roman" w:hAnsiTheme="majorBidi" w:cstheme="majorBidi"/>
          <w:sz w:val="24"/>
          <w:szCs w:val="24"/>
          <w:lang w:eastAsia="fr-FR"/>
        </w:rPr>
        <w:t>acétylation</w:t>
      </w:r>
      <w:r w:rsidR="00031BB3" w:rsidRPr="00031BB3">
        <w:rPr>
          <w:rFonts w:asciiTheme="majorBidi" w:eastAsia="Times New Roman" w:hAnsiTheme="majorBidi" w:cstheme="majorBidi"/>
          <w:sz w:val="24"/>
          <w:szCs w:val="24"/>
          <w:lang w:eastAsia="fr-FR"/>
        </w:rPr>
        <w:t>.</w:t>
      </w:r>
      <w:r w:rsidR="00D51709" w:rsidRPr="00D847FC">
        <w:rPr>
          <w:rFonts w:asciiTheme="majorBidi" w:eastAsia="Times New Roman" w:hAnsiTheme="majorBidi" w:cstheme="majorBidi"/>
          <w:sz w:val="24"/>
          <w:szCs w:val="24"/>
          <w:lang w:eastAsia="fr-FR"/>
        </w:rPr>
        <w:t xml:space="preserve"> </w:t>
      </w:r>
    </w:p>
    <w:p w:rsidR="00031BB3" w:rsidRPr="00031BB3" w:rsidRDefault="002F546A" w:rsidP="002F546A">
      <w:pPr>
        <w:spacing w:before="100" w:beforeAutospacing="1" w:after="100" w:afterAutospacing="1" w:line="360" w:lineRule="auto"/>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 xml:space="preserve">- </w:t>
      </w:r>
      <w:r w:rsidR="00031BB3" w:rsidRPr="00D847FC">
        <w:rPr>
          <w:rFonts w:asciiTheme="majorBidi" w:eastAsia="Times New Roman" w:hAnsiTheme="majorBidi" w:cstheme="majorBidi"/>
          <w:b/>
          <w:bCs/>
          <w:sz w:val="24"/>
          <w:szCs w:val="24"/>
          <w:lang w:eastAsia="fr-FR"/>
        </w:rPr>
        <w:t>Érythromycine estérase</w:t>
      </w:r>
      <w:r w:rsidR="00D51709" w:rsidRPr="00D847FC">
        <w:rPr>
          <w:rFonts w:asciiTheme="majorBidi" w:eastAsia="Times New Roman" w:hAnsiTheme="majorBidi" w:cstheme="majorBidi"/>
          <w:b/>
          <w:bCs/>
          <w:sz w:val="24"/>
          <w:szCs w:val="24"/>
          <w:lang w:eastAsia="fr-FR"/>
        </w:rPr>
        <w:t> </w:t>
      </w:r>
      <w:r w:rsidR="00D51709" w:rsidRPr="00D847FC">
        <w:rPr>
          <w:rFonts w:asciiTheme="majorBidi" w:eastAsia="Times New Roman" w:hAnsiTheme="majorBidi" w:cstheme="majorBidi"/>
          <w:sz w:val="24"/>
          <w:szCs w:val="24"/>
          <w:lang w:eastAsia="fr-FR"/>
        </w:rPr>
        <w:t xml:space="preserve">: </w:t>
      </w:r>
      <w:r w:rsidR="00031BB3" w:rsidRPr="00031BB3">
        <w:rPr>
          <w:rFonts w:asciiTheme="majorBidi" w:eastAsia="Times New Roman" w:hAnsiTheme="majorBidi" w:cstheme="majorBidi"/>
          <w:sz w:val="24"/>
          <w:szCs w:val="24"/>
          <w:lang w:eastAsia="fr-FR"/>
        </w:rPr>
        <w:t xml:space="preserve">Enzyme rare, rencontrée chez </w:t>
      </w:r>
      <w:r w:rsidR="00031BB3" w:rsidRPr="00D847FC">
        <w:rPr>
          <w:rFonts w:asciiTheme="majorBidi" w:eastAsia="Times New Roman" w:hAnsiTheme="majorBidi" w:cstheme="majorBidi"/>
          <w:sz w:val="24"/>
          <w:szCs w:val="24"/>
          <w:lang w:eastAsia="fr-FR"/>
        </w:rPr>
        <w:t>E. coli</w:t>
      </w:r>
      <w:r w:rsidR="00031BB3" w:rsidRPr="00031BB3">
        <w:rPr>
          <w:rFonts w:asciiTheme="majorBidi" w:eastAsia="Times New Roman" w:hAnsiTheme="majorBidi" w:cstheme="majorBidi"/>
          <w:sz w:val="24"/>
          <w:szCs w:val="24"/>
          <w:lang w:eastAsia="fr-FR"/>
        </w:rPr>
        <w:t xml:space="preserve">, qui inactive le </w:t>
      </w:r>
      <w:r w:rsidR="00031BB3" w:rsidRPr="00D847FC">
        <w:rPr>
          <w:rFonts w:asciiTheme="majorBidi" w:eastAsia="Times New Roman" w:hAnsiTheme="majorBidi" w:cstheme="majorBidi"/>
          <w:sz w:val="24"/>
          <w:szCs w:val="24"/>
          <w:lang w:eastAsia="fr-FR"/>
        </w:rPr>
        <w:t>cycle lactone</w:t>
      </w:r>
      <w:r w:rsidR="00031BB3" w:rsidRPr="00031BB3">
        <w:rPr>
          <w:rFonts w:asciiTheme="majorBidi" w:eastAsia="Times New Roman" w:hAnsiTheme="majorBidi" w:cstheme="majorBidi"/>
          <w:sz w:val="24"/>
          <w:szCs w:val="24"/>
          <w:lang w:eastAsia="fr-FR"/>
        </w:rPr>
        <w:t xml:space="preserve"> de l’érythromycine.</w:t>
      </w:r>
      <w:r w:rsidR="00D51709" w:rsidRPr="00D847FC">
        <w:rPr>
          <w:rFonts w:asciiTheme="majorBidi" w:eastAsia="Times New Roman" w:hAnsiTheme="majorBidi" w:cstheme="majorBidi"/>
          <w:sz w:val="24"/>
          <w:szCs w:val="24"/>
          <w:lang w:eastAsia="fr-FR"/>
        </w:rPr>
        <w:t xml:space="preserve"> </w:t>
      </w:r>
      <w:r w:rsidR="00031BB3" w:rsidRPr="00031BB3">
        <w:rPr>
          <w:rFonts w:asciiTheme="majorBidi" w:eastAsia="Times New Roman" w:hAnsiTheme="majorBidi" w:cstheme="majorBidi"/>
          <w:sz w:val="24"/>
          <w:szCs w:val="24"/>
          <w:lang w:eastAsia="fr-FR"/>
        </w:rPr>
        <w:t xml:space="preserve">Mécanisme </w:t>
      </w:r>
      <w:r w:rsidR="00031BB3" w:rsidRPr="00D847FC">
        <w:rPr>
          <w:rFonts w:asciiTheme="majorBidi" w:eastAsia="Times New Roman" w:hAnsiTheme="majorBidi" w:cstheme="majorBidi"/>
          <w:sz w:val="24"/>
          <w:szCs w:val="24"/>
          <w:lang w:eastAsia="fr-FR"/>
        </w:rPr>
        <w:t>plasmidique</w:t>
      </w:r>
      <w:r w:rsidR="00031BB3" w:rsidRPr="00031BB3">
        <w:rPr>
          <w:rFonts w:asciiTheme="majorBidi" w:eastAsia="Times New Roman" w:hAnsiTheme="majorBidi" w:cstheme="majorBidi"/>
          <w:sz w:val="24"/>
          <w:szCs w:val="24"/>
          <w:lang w:eastAsia="fr-FR"/>
        </w:rPr>
        <w:t>, mais peu répandu.</w:t>
      </w:r>
    </w:p>
    <w:p w:rsidR="00031BB3" w:rsidRDefault="002F546A" w:rsidP="00D847FC">
      <w:pPr>
        <w:spacing w:before="100" w:beforeAutospacing="1" w:after="100" w:afterAutospacing="1" w:line="360" w:lineRule="auto"/>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 xml:space="preserve">- </w:t>
      </w:r>
      <w:r w:rsidR="00031BB3" w:rsidRPr="00D847FC">
        <w:rPr>
          <w:rFonts w:asciiTheme="majorBidi" w:eastAsia="Times New Roman" w:hAnsiTheme="majorBidi" w:cstheme="majorBidi"/>
          <w:b/>
          <w:bCs/>
          <w:sz w:val="24"/>
          <w:szCs w:val="24"/>
          <w:lang w:eastAsia="fr-FR"/>
        </w:rPr>
        <w:t>Fluoroquinolone-acétylase</w:t>
      </w:r>
      <w:r w:rsidR="00D51709" w:rsidRPr="00D847FC">
        <w:rPr>
          <w:rFonts w:asciiTheme="majorBidi" w:eastAsia="Times New Roman" w:hAnsiTheme="majorBidi" w:cstheme="majorBidi"/>
          <w:b/>
          <w:bCs/>
          <w:sz w:val="24"/>
          <w:szCs w:val="24"/>
          <w:lang w:eastAsia="fr-FR"/>
        </w:rPr>
        <w:t xml:space="preserve"> : </w:t>
      </w:r>
      <w:r w:rsidR="00031BB3" w:rsidRPr="00031BB3">
        <w:rPr>
          <w:rFonts w:asciiTheme="majorBidi" w:eastAsia="Times New Roman" w:hAnsiTheme="majorBidi" w:cstheme="majorBidi"/>
          <w:sz w:val="24"/>
          <w:szCs w:val="24"/>
          <w:lang w:eastAsia="fr-FR"/>
        </w:rPr>
        <w:t>Récemment décrite.</w:t>
      </w:r>
      <w:r w:rsidR="00D51709" w:rsidRPr="00D847FC">
        <w:rPr>
          <w:rFonts w:asciiTheme="majorBidi" w:eastAsia="Times New Roman" w:hAnsiTheme="majorBidi" w:cstheme="majorBidi"/>
          <w:sz w:val="24"/>
          <w:szCs w:val="24"/>
          <w:lang w:eastAsia="fr-FR"/>
        </w:rPr>
        <w:t xml:space="preserve"> </w:t>
      </w:r>
      <w:r w:rsidR="00031BB3" w:rsidRPr="00031BB3">
        <w:rPr>
          <w:rFonts w:asciiTheme="majorBidi" w:eastAsia="Times New Roman" w:hAnsiTheme="majorBidi" w:cstheme="majorBidi"/>
          <w:sz w:val="24"/>
          <w:szCs w:val="24"/>
          <w:lang w:eastAsia="fr-FR"/>
        </w:rPr>
        <w:t xml:space="preserve">Agit sur certaines </w:t>
      </w:r>
      <w:r w:rsidR="00031BB3" w:rsidRPr="00D847FC">
        <w:rPr>
          <w:rFonts w:asciiTheme="majorBidi" w:eastAsia="Times New Roman" w:hAnsiTheme="majorBidi" w:cstheme="majorBidi"/>
          <w:sz w:val="24"/>
          <w:szCs w:val="24"/>
          <w:lang w:eastAsia="fr-FR"/>
        </w:rPr>
        <w:t>fluoroquinolones</w:t>
      </w:r>
      <w:r w:rsidR="00031BB3" w:rsidRPr="00031BB3">
        <w:rPr>
          <w:rFonts w:asciiTheme="majorBidi" w:eastAsia="Times New Roman" w:hAnsiTheme="majorBidi" w:cstheme="majorBidi"/>
          <w:sz w:val="24"/>
          <w:szCs w:val="24"/>
          <w:lang w:eastAsia="fr-FR"/>
        </w:rPr>
        <w:t xml:space="preserve"> portant un </w:t>
      </w:r>
      <w:r w:rsidR="00031BB3" w:rsidRPr="00D847FC">
        <w:rPr>
          <w:rFonts w:asciiTheme="majorBidi" w:eastAsia="Times New Roman" w:hAnsiTheme="majorBidi" w:cstheme="majorBidi"/>
          <w:sz w:val="24"/>
          <w:szCs w:val="24"/>
          <w:lang w:eastAsia="fr-FR"/>
        </w:rPr>
        <w:t>substituant pipérazine</w:t>
      </w:r>
      <w:r w:rsidR="00031BB3" w:rsidRPr="00031BB3">
        <w:rPr>
          <w:rFonts w:asciiTheme="majorBidi" w:eastAsia="Times New Roman" w:hAnsiTheme="majorBidi" w:cstheme="majorBidi"/>
          <w:sz w:val="24"/>
          <w:szCs w:val="24"/>
          <w:lang w:eastAsia="fr-FR"/>
        </w:rPr>
        <w:t>, entraînant leur inactivation.</w:t>
      </w:r>
    </w:p>
    <w:p w:rsidR="002F546A" w:rsidRDefault="002F546A" w:rsidP="00D847FC">
      <w:pPr>
        <w:spacing w:before="100" w:beforeAutospacing="1" w:after="100" w:afterAutospacing="1" w:line="360" w:lineRule="auto"/>
        <w:rPr>
          <w:rFonts w:asciiTheme="majorBidi" w:eastAsia="Times New Roman" w:hAnsiTheme="majorBidi" w:cstheme="majorBidi"/>
          <w:sz w:val="24"/>
          <w:szCs w:val="24"/>
          <w:lang w:eastAsia="fr-FR"/>
        </w:rPr>
      </w:pPr>
    </w:p>
    <w:p w:rsidR="002F546A" w:rsidRPr="00D847FC" w:rsidRDefault="002F546A" w:rsidP="00D847FC">
      <w:pPr>
        <w:spacing w:before="100" w:beforeAutospacing="1" w:after="100" w:afterAutospacing="1" w:line="360" w:lineRule="auto"/>
        <w:rPr>
          <w:rFonts w:asciiTheme="majorBidi" w:eastAsia="Times New Roman" w:hAnsiTheme="majorBidi" w:cstheme="majorBidi"/>
          <w:sz w:val="24"/>
          <w:szCs w:val="24"/>
          <w:lang w:eastAsia="fr-FR"/>
        </w:rPr>
      </w:pPr>
    </w:p>
    <w:p w:rsidR="00D51709" w:rsidRPr="00D51709" w:rsidRDefault="00D51709" w:rsidP="00D847FC">
      <w:pPr>
        <w:spacing w:before="100" w:beforeAutospacing="1" w:after="100" w:afterAutospacing="1" w:line="360" w:lineRule="auto"/>
        <w:outlineLvl w:val="2"/>
        <w:rPr>
          <w:rFonts w:asciiTheme="majorBidi" w:eastAsia="Times New Roman" w:hAnsiTheme="majorBidi" w:cstheme="majorBidi"/>
          <w:b/>
          <w:bCs/>
          <w:sz w:val="24"/>
          <w:szCs w:val="24"/>
          <w:lang w:eastAsia="fr-FR"/>
        </w:rPr>
      </w:pPr>
      <w:r w:rsidRPr="00D51709">
        <w:rPr>
          <w:rFonts w:asciiTheme="majorBidi" w:eastAsia="Times New Roman" w:hAnsiTheme="majorBidi" w:cstheme="majorBidi"/>
          <w:b/>
          <w:bCs/>
          <w:sz w:val="24"/>
          <w:szCs w:val="24"/>
          <w:lang w:eastAsia="fr-FR"/>
        </w:rPr>
        <w:t>2.2. Altération de la cible bactérienne</w:t>
      </w:r>
    </w:p>
    <w:p w:rsidR="00D51709" w:rsidRPr="00D51709" w:rsidRDefault="00D51709" w:rsidP="00D847FC">
      <w:pPr>
        <w:spacing w:before="100" w:beforeAutospacing="1" w:after="100" w:afterAutospacing="1" w:line="360" w:lineRule="auto"/>
        <w:rPr>
          <w:rFonts w:asciiTheme="majorBidi" w:eastAsia="Times New Roman" w:hAnsiTheme="majorBidi" w:cstheme="majorBidi"/>
          <w:sz w:val="24"/>
          <w:szCs w:val="24"/>
          <w:lang w:eastAsia="fr-FR"/>
        </w:rPr>
      </w:pPr>
      <w:r w:rsidRPr="00D51709">
        <w:rPr>
          <w:rFonts w:asciiTheme="majorBidi" w:eastAsia="Times New Roman" w:hAnsiTheme="majorBidi" w:cstheme="majorBidi"/>
          <w:sz w:val="24"/>
          <w:szCs w:val="24"/>
          <w:lang w:eastAsia="fr-FR"/>
        </w:rPr>
        <w:t>Ce mécanisme repose sur des modifications de la structure ou de la composition de la cible de l’antibiotique, empêchant sa fixation ou son action.</w:t>
      </w:r>
    </w:p>
    <w:p w:rsidR="00D51709" w:rsidRPr="00D51709" w:rsidRDefault="00D51709" w:rsidP="00D847FC">
      <w:pPr>
        <w:spacing w:before="100" w:beforeAutospacing="1" w:after="100" w:afterAutospacing="1" w:line="360" w:lineRule="auto"/>
        <w:outlineLvl w:val="3"/>
        <w:rPr>
          <w:rFonts w:asciiTheme="majorBidi" w:eastAsia="Times New Roman" w:hAnsiTheme="majorBidi" w:cstheme="majorBidi"/>
          <w:b/>
          <w:bCs/>
          <w:sz w:val="24"/>
          <w:szCs w:val="24"/>
          <w:lang w:eastAsia="fr-FR"/>
        </w:rPr>
      </w:pPr>
      <w:r w:rsidRPr="00D51709">
        <w:rPr>
          <w:rFonts w:asciiTheme="majorBidi" w:eastAsia="Times New Roman" w:hAnsiTheme="majorBidi" w:cstheme="majorBidi"/>
          <w:b/>
          <w:bCs/>
          <w:sz w:val="24"/>
          <w:szCs w:val="24"/>
          <w:lang w:eastAsia="fr-FR"/>
        </w:rPr>
        <w:t>2.2.1. Altération de la cible ribosomiale</w:t>
      </w:r>
    </w:p>
    <w:p w:rsidR="00D51709" w:rsidRPr="00D51709" w:rsidRDefault="00D51709" w:rsidP="002F546A">
      <w:pPr>
        <w:spacing w:before="100" w:beforeAutospacing="1" w:after="100" w:afterAutospacing="1" w:line="360" w:lineRule="auto"/>
        <w:jc w:val="both"/>
        <w:rPr>
          <w:rFonts w:asciiTheme="majorBidi" w:eastAsia="Times New Roman" w:hAnsiTheme="majorBidi" w:cstheme="majorBidi"/>
          <w:sz w:val="24"/>
          <w:szCs w:val="24"/>
          <w:lang w:eastAsia="fr-FR"/>
        </w:rPr>
      </w:pPr>
      <w:r w:rsidRPr="00D51709">
        <w:rPr>
          <w:rFonts w:asciiTheme="majorBidi" w:eastAsia="Times New Roman" w:hAnsiTheme="majorBidi" w:cstheme="majorBidi"/>
          <w:sz w:val="24"/>
          <w:szCs w:val="24"/>
          <w:lang w:eastAsia="fr-FR"/>
        </w:rPr>
        <w:t>Les antibiotiques qui agissent sur la synthèse protéique peuvent perdre leur efficacité à la suite d’une mutation du site de fixation sur le ribosome.</w:t>
      </w:r>
      <w:r w:rsidRPr="00D847FC">
        <w:rPr>
          <w:rFonts w:asciiTheme="majorBidi" w:eastAsia="Times New Roman" w:hAnsiTheme="majorBidi" w:cstheme="majorBidi"/>
          <w:sz w:val="24"/>
          <w:szCs w:val="24"/>
          <w:lang w:eastAsia="fr-FR"/>
        </w:rPr>
        <w:t xml:space="preserve"> </w:t>
      </w:r>
      <w:r w:rsidRPr="00D51709">
        <w:rPr>
          <w:rFonts w:asciiTheme="majorBidi" w:eastAsia="Times New Roman" w:hAnsiTheme="majorBidi" w:cstheme="majorBidi"/>
          <w:sz w:val="24"/>
          <w:szCs w:val="24"/>
          <w:lang w:eastAsia="fr-FR"/>
        </w:rPr>
        <w:t>Au niveau de la sous-unité 50S, une méthylation confère une résistance aux macrolides, chez Staphylococcus aureus, Streptococcus sanguis, Bacteroides fragilis ou Clostridium perfringens. Cette méthylation peut être constitutive ou inductible, et d’origine plasmidique ou chromosomique.</w:t>
      </w:r>
      <w:r w:rsidR="002F546A">
        <w:rPr>
          <w:rFonts w:asciiTheme="majorBidi" w:eastAsia="Times New Roman" w:hAnsiTheme="majorBidi" w:cstheme="majorBidi"/>
          <w:sz w:val="24"/>
          <w:szCs w:val="24"/>
          <w:lang w:eastAsia="fr-FR"/>
        </w:rPr>
        <w:t xml:space="preserve"> </w:t>
      </w:r>
      <w:r w:rsidRPr="00D51709">
        <w:rPr>
          <w:rFonts w:asciiTheme="majorBidi" w:eastAsia="Times New Roman" w:hAnsiTheme="majorBidi" w:cstheme="majorBidi"/>
          <w:sz w:val="24"/>
          <w:szCs w:val="24"/>
          <w:lang w:eastAsia="fr-FR"/>
        </w:rPr>
        <w:t>Une altération de la liaison des tétracyclines, d’origine encore mal connue, est également responsable de la résistance observée chez les bactéries Gram positif, Neisseria et Campylobacter.</w:t>
      </w:r>
      <w:r w:rsidR="002F546A">
        <w:rPr>
          <w:rFonts w:asciiTheme="majorBidi" w:eastAsia="Times New Roman" w:hAnsiTheme="majorBidi" w:cstheme="majorBidi"/>
          <w:sz w:val="24"/>
          <w:szCs w:val="24"/>
          <w:lang w:eastAsia="fr-FR"/>
        </w:rPr>
        <w:t xml:space="preserve"> </w:t>
      </w:r>
      <w:r w:rsidRPr="00D51709">
        <w:rPr>
          <w:rFonts w:asciiTheme="majorBidi" w:eastAsia="Times New Roman" w:hAnsiTheme="majorBidi" w:cstheme="majorBidi"/>
          <w:sz w:val="24"/>
          <w:szCs w:val="24"/>
          <w:lang w:eastAsia="fr-FR"/>
        </w:rPr>
        <w:t xml:space="preserve">Au niveau de la sous-unité 30S, une mutation confère la résistance à la streptomycine. </w:t>
      </w:r>
    </w:p>
    <w:p w:rsidR="00D51709" w:rsidRPr="00D51709" w:rsidRDefault="00D51709" w:rsidP="00D847FC">
      <w:pPr>
        <w:spacing w:before="100" w:beforeAutospacing="1" w:after="100" w:afterAutospacing="1" w:line="360" w:lineRule="auto"/>
        <w:outlineLvl w:val="3"/>
        <w:rPr>
          <w:rFonts w:asciiTheme="majorBidi" w:eastAsia="Times New Roman" w:hAnsiTheme="majorBidi" w:cstheme="majorBidi"/>
          <w:b/>
          <w:bCs/>
          <w:sz w:val="24"/>
          <w:szCs w:val="24"/>
          <w:lang w:eastAsia="fr-FR"/>
        </w:rPr>
      </w:pPr>
      <w:r w:rsidRPr="00D51709">
        <w:rPr>
          <w:rFonts w:asciiTheme="majorBidi" w:eastAsia="Times New Roman" w:hAnsiTheme="majorBidi" w:cstheme="majorBidi"/>
          <w:b/>
          <w:bCs/>
          <w:sz w:val="24"/>
          <w:szCs w:val="24"/>
          <w:lang w:eastAsia="fr-FR"/>
        </w:rPr>
        <w:t>2.2.2. Altération des précurseurs de la paroi</w:t>
      </w:r>
    </w:p>
    <w:p w:rsidR="00D51709" w:rsidRPr="00D51709" w:rsidRDefault="00D51709" w:rsidP="00F46636">
      <w:pPr>
        <w:spacing w:before="100" w:beforeAutospacing="1" w:after="100" w:afterAutospacing="1" w:line="360" w:lineRule="auto"/>
        <w:jc w:val="both"/>
        <w:rPr>
          <w:rFonts w:asciiTheme="majorBidi" w:eastAsia="Times New Roman" w:hAnsiTheme="majorBidi" w:cstheme="majorBidi"/>
          <w:sz w:val="24"/>
          <w:szCs w:val="24"/>
          <w:lang w:eastAsia="fr-FR"/>
        </w:rPr>
      </w:pPr>
      <w:r w:rsidRPr="00D51709">
        <w:rPr>
          <w:rFonts w:asciiTheme="majorBidi" w:eastAsia="Times New Roman" w:hAnsiTheme="majorBidi" w:cstheme="majorBidi"/>
          <w:sz w:val="24"/>
          <w:szCs w:val="24"/>
          <w:lang w:eastAsia="fr-FR"/>
        </w:rPr>
        <w:t>Les glycopeptides (comme la vancomycine et la teicoplanine) agissent en se liant aux extrémités D-Ala-D-Ala des chaînes pentapeptidiques des précurseurs du peptidoglycane.</w:t>
      </w:r>
      <w:r w:rsidRPr="00D847FC">
        <w:rPr>
          <w:rFonts w:asciiTheme="majorBidi" w:eastAsia="Times New Roman" w:hAnsiTheme="majorBidi" w:cstheme="majorBidi"/>
          <w:sz w:val="24"/>
          <w:szCs w:val="24"/>
          <w:lang w:eastAsia="fr-FR"/>
        </w:rPr>
        <w:t xml:space="preserve"> </w:t>
      </w:r>
      <w:r w:rsidRPr="00D51709">
        <w:rPr>
          <w:rFonts w:asciiTheme="majorBidi" w:eastAsia="Times New Roman" w:hAnsiTheme="majorBidi" w:cstheme="majorBidi"/>
          <w:sz w:val="24"/>
          <w:szCs w:val="24"/>
          <w:lang w:eastAsia="fr-FR"/>
        </w:rPr>
        <w:t xml:space="preserve">Certaines souches d’entérocoques ont acquis un ensemble de gènes (vanA, vanB, vanC) </w:t>
      </w:r>
      <w:r w:rsidRPr="00D51709">
        <w:rPr>
          <w:rFonts w:asciiTheme="majorBidi" w:eastAsia="Times New Roman" w:hAnsiTheme="majorBidi" w:cstheme="majorBidi"/>
          <w:sz w:val="24"/>
          <w:szCs w:val="24"/>
          <w:lang w:eastAsia="fr-FR"/>
        </w:rPr>
        <w:lastRenderedPageBreak/>
        <w:t>codant pour des enzymes capables de synthétiser un peptidoglycane à extrémité D-Ala-D-Lac, auquel les glycopeptides ne peuvent plus se lier.</w:t>
      </w:r>
    </w:p>
    <w:p w:rsidR="00D51709" w:rsidRPr="00D51709" w:rsidRDefault="00D51709" w:rsidP="00D847FC">
      <w:pPr>
        <w:spacing w:before="100" w:beforeAutospacing="1" w:after="100" w:afterAutospacing="1" w:line="360" w:lineRule="auto"/>
        <w:rPr>
          <w:rFonts w:asciiTheme="majorBidi" w:eastAsia="Times New Roman" w:hAnsiTheme="majorBidi" w:cstheme="majorBidi"/>
          <w:sz w:val="24"/>
          <w:szCs w:val="24"/>
          <w:lang w:eastAsia="fr-FR"/>
        </w:rPr>
      </w:pPr>
      <w:r w:rsidRPr="00D51709">
        <w:rPr>
          <w:rFonts w:asciiTheme="majorBidi" w:eastAsia="Times New Roman" w:hAnsiTheme="majorBidi" w:cstheme="majorBidi"/>
          <w:sz w:val="24"/>
          <w:szCs w:val="24"/>
          <w:lang w:eastAsia="fr-FR"/>
        </w:rPr>
        <w:t>Selon le phénotype :</w:t>
      </w:r>
    </w:p>
    <w:p w:rsidR="00D51709" w:rsidRPr="00D51709" w:rsidRDefault="00D51709" w:rsidP="00D847FC">
      <w:pPr>
        <w:numPr>
          <w:ilvl w:val="0"/>
          <w:numId w:val="11"/>
        </w:numPr>
        <w:spacing w:before="100" w:beforeAutospacing="1" w:after="100" w:afterAutospacing="1" w:line="360" w:lineRule="auto"/>
        <w:rPr>
          <w:rFonts w:asciiTheme="majorBidi" w:eastAsia="Times New Roman" w:hAnsiTheme="majorBidi" w:cstheme="majorBidi"/>
          <w:sz w:val="24"/>
          <w:szCs w:val="24"/>
          <w:lang w:eastAsia="fr-FR"/>
        </w:rPr>
      </w:pPr>
      <w:r w:rsidRPr="00D51709">
        <w:rPr>
          <w:rFonts w:asciiTheme="majorBidi" w:eastAsia="Times New Roman" w:hAnsiTheme="majorBidi" w:cstheme="majorBidi"/>
          <w:sz w:val="24"/>
          <w:szCs w:val="24"/>
          <w:lang w:eastAsia="fr-FR"/>
        </w:rPr>
        <w:t>VanA confère une résistance à la vancomycine et à la teicoplanine.</w:t>
      </w:r>
    </w:p>
    <w:p w:rsidR="00D51709" w:rsidRPr="00D51709" w:rsidRDefault="00D51709" w:rsidP="00D847FC">
      <w:pPr>
        <w:numPr>
          <w:ilvl w:val="0"/>
          <w:numId w:val="11"/>
        </w:numPr>
        <w:spacing w:before="100" w:beforeAutospacing="1" w:after="100" w:afterAutospacing="1" w:line="360" w:lineRule="auto"/>
        <w:rPr>
          <w:rFonts w:asciiTheme="majorBidi" w:eastAsia="Times New Roman" w:hAnsiTheme="majorBidi" w:cstheme="majorBidi"/>
          <w:sz w:val="24"/>
          <w:szCs w:val="24"/>
          <w:lang w:eastAsia="fr-FR"/>
        </w:rPr>
      </w:pPr>
      <w:r w:rsidRPr="00D51709">
        <w:rPr>
          <w:rFonts w:asciiTheme="majorBidi" w:eastAsia="Times New Roman" w:hAnsiTheme="majorBidi" w:cstheme="majorBidi"/>
          <w:sz w:val="24"/>
          <w:szCs w:val="24"/>
          <w:lang w:eastAsia="fr-FR"/>
        </w:rPr>
        <w:t>VanB confère une résistance à la vancomycine mais pas à la teicoplanine.</w:t>
      </w:r>
    </w:p>
    <w:p w:rsidR="00D51709" w:rsidRDefault="00D51709" w:rsidP="00D847FC">
      <w:pPr>
        <w:numPr>
          <w:ilvl w:val="0"/>
          <w:numId w:val="11"/>
        </w:numPr>
        <w:spacing w:before="100" w:beforeAutospacing="1" w:after="100" w:afterAutospacing="1" w:line="360" w:lineRule="auto"/>
        <w:rPr>
          <w:rFonts w:asciiTheme="majorBidi" w:eastAsia="Times New Roman" w:hAnsiTheme="majorBidi" w:cstheme="majorBidi"/>
          <w:sz w:val="24"/>
          <w:szCs w:val="24"/>
          <w:lang w:eastAsia="fr-FR"/>
        </w:rPr>
      </w:pPr>
      <w:r w:rsidRPr="00D51709">
        <w:rPr>
          <w:rFonts w:asciiTheme="majorBidi" w:eastAsia="Times New Roman" w:hAnsiTheme="majorBidi" w:cstheme="majorBidi"/>
          <w:sz w:val="24"/>
          <w:szCs w:val="24"/>
          <w:lang w:eastAsia="fr-FR"/>
        </w:rPr>
        <w:t>VanC confère une résistance uniquement à la vancomycine.</w:t>
      </w:r>
    </w:p>
    <w:p w:rsidR="00F46636" w:rsidRDefault="00F46636" w:rsidP="00F46636">
      <w:pPr>
        <w:spacing w:before="100" w:beforeAutospacing="1" w:after="100" w:afterAutospacing="1" w:line="360" w:lineRule="auto"/>
        <w:rPr>
          <w:rFonts w:asciiTheme="majorBidi" w:eastAsia="Times New Roman" w:hAnsiTheme="majorBidi" w:cstheme="majorBidi"/>
          <w:sz w:val="24"/>
          <w:szCs w:val="24"/>
          <w:lang w:eastAsia="fr-FR"/>
        </w:rPr>
      </w:pPr>
    </w:p>
    <w:p w:rsidR="00F46636" w:rsidRPr="00D51709" w:rsidRDefault="00F46636" w:rsidP="00F46636">
      <w:pPr>
        <w:spacing w:before="100" w:beforeAutospacing="1" w:after="100" w:afterAutospacing="1" w:line="360" w:lineRule="auto"/>
        <w:rPr>
          <w:rFonts w:asciiTheme="majorBidi" w:eastAsia="Times New Roman" w:hAnsiTheme="majorBidi" w:cstheme="majorBidi"/>
          <w:sz w:val="24"/>
          <w:szCs w:val="24"/>
          <w:lang w:eastAsia="fr-FR"/>
        </w:rPr>
      </w:pPr>
    </w:p>
    <w:p w:rsidR="00D51709" w:rsidRPr="00D51709" w:rsidRDefault="00D51709" w:rsidP="00D847FC">
      <w:pPr>
        <w:spacing w:before="100" w:beforeAutospacing="1" w:after="100" w:afterAutospacing="1" w:line="360" w:lineRule="auto"/>
        <w:outlineLvl w:val="3"/>
        <w:rPr>
          <w:rFonts w:asciiTheme="majorBidi" w:eastAsia="Times New Roman" w:hAnsiTheme="majorBidi" w:cstheme="majorBidi"/>
          <w:b/>
          <w:bCs/>
          <w:sz w:val="24"/>
          <w:szCs w:val="24"/>
          <w:lang w:eastAsia="fr-FR"/>
        </w:rPr>
      </w:pPr>
      <w:r w:rsidRPr="00D51709">
        <w:rPr>
          <w:rFonts w:asciiTheme="majorBidi" w:eastAsia="Times New Roman" w:hAnsiTheme="majorBidi" w:cstheme="majorBidi"/>
          <w:b/>
          <w:bCs/>
          <w:sz w:val="24"/>
          <w:szCs w:val="24"/>
          <w:lang w:eastAsia="fr-FR"/>
        </w:rPr>
        <w:t>2.2.3. Altération des enzymes-cible</w:t>
      </w:r>
    </w:p>
    <w:p w:rsidR="00D51709" w:rsidRPr="00D51709" w:rsidRDefault="00D51709" w:rsidP="00F46636">
      <w:pPr>
        <w:spacing w:before="100" w:beforeAutospacing="1" w:after="100" w:afterAutospacing="1" w:line="360" w:lineRule="auto"/>
        <w:jc w:val="both"/>
        <w:rPr>
          <w:rFonts w:asciiTheme="majorBidi" w:eastAsia="Times New Roman" w:hAnsiTheme="majorBidi" w:cstheme="majorBidi"/>
          <w:sz w:val="24"/>
          <w:szCs w:val="24"/>
          <w:lang w:eastAsia="fr-FR"/>
        </w:rPr>
      </w:pPr>
      <w:r w:rsidRPr="00D51709">
        <w:rPr>
          <w:rFonts w:asciiTheme="majorBidi" w:eastAsia="Times New Roman" w:hAnsiTheme="majorBidi" w:cstheme="majorBidi"/>
          <w:sz w:val="24"/>
          <w:szCs w:val="24"/>
          <w:lang w:eastAsia="fr-FR"/>
        </w:rPr>
        <w:t>Les antibiotiques qui inhibent une enzyme spécifique deviennent inefficaces lorsqu’une mutation empêche leur liaison à cette enzyme.</w:t>
      </w:r>
      <w:r w:rsidR="00D847FC" w:rsidRPr="00D847FC">
        <w:rPr>
          <w:rFonts w:asciiTheme="majorBidi" w:eastAsia="Times New Roman" w:hAnsiTheme="majorBidi" w:cstheme="majorBidi"/>
          <w:sz w:val="24"/>
          <w:szCs w:val="24"/>
          <w:lang w:eastAsia="fr-FR"/>
        </w:rPr>
        <w:t xml:space="preserve"> </w:t>
      </w:r>
      <w:r w:rsidRPr="00D51709">
        <w:rPr>
          <w:rFonts w:asciiTheme="majorBidi" w:eastAsia="Times New Roman" w:hAnsiTheme="majorBidi" w:cstheme="majorBidi"/>
          <w:sz w:val="24"/>
          <w:szCs w:val="24"/>
          <w:lang w:eastAsia="fr-FR"/>
        </w:rPr>
        <w:t>La résistance aux β-lactamines peut résulter d’une diminution de l’affinité des pénicillin-binding proteins (PBP) pour l’antibiotique, ou d’une diminution du nombre de PBP produites. Ce mécanisme est observé chez les Gram positifs et les Gram négatifs. L’exemple le plus connu est celui de Staphylococcus aureus résistant à la méthicilline (MRSA).</w:t>
      </w:r>
      <w:r w:rsidR="00D847FC" w:rsidRPr="00D847FC">
        <w:rPr>
          <w:rFonts w:asciiTheme="majorBidi" w:eastAsia="Times New Roman" w:hAnsiTheme="majorBidi" w:cstheme="majorBidi"/>
          <w:sz w:val="24"/>
          <w:szCs w:val="24"/>
          <w:lang w:eastAsia="fr-FR"/>
        </w:rPr>
        <w:t xml:space="preserve"> </w:t>
      </w:r>
      <w:r w:rsidRPr="00D51709">
        <w:rPr>
          <w:rFonts w:asciiTheme="majorBidi" w:eastAsia="Times New Roman" w:hAnsiTheme="majorBidi" w:cstheme="majorBidi"/>
          <w:sz w:val="24"/>
          <w:szCs w:val="24"/>
          <w:lang w:eastAsia="fr-FR"/>
        </w:rPr>
        <w:t>La résistance aux sulfamides et au triméthoprim est liée à la production de versions modifiées de la dihydropteroate synthase (plasmidique) ou de la dihydrofolate réductase (chromosomique ou plasmidique), qui ne lient plus l’antibiotique.</w:t>
      </w:r>
      <w:r w:rsidR="00D847FC" w:rsidRPr="00D847FC">
        <w:rPr>
          <w:rFonts w:asciiTheme="majorBidi" w:eastAsia="Times New Roman" w:hAnsiTheme="majorBidi" w:cstheme="majorBidi"/>
          <w:sz w:val="24"/>
          <w:szCs w:val="24"/>
          <w:lang w:eastAsia="fr-FR"/>
        </w:rPr>
        <w:t xml:space="preserve"> </w:t>
      </w:r>
      <w:r w:rsidRPr="00D51709">
        <w:rPr>
          <w:rFonts w:asciiTheme="majorBidi" w:eastAsia="Times New Roman" w:hAnsiTheme="majorBidi" w:cstheme="majorBidi"/>
          <w:sz w:val="24"/>
          <w:szCs w:val="24"/>
          <w:lang w:eastAsia="fr-FR"/>
        </w:rPr>
        <w:t>La résistance aux fluoroquinolones peut résulter d’une mutation de l’ADN gyrase, empêchant la formation du complexe fluoroquinolone–gyrase–ADN. Ce mécanisme est observé chez Pseudomonas aeruginosa, les entérobactéries, Escherichia coli et les bactéries Gram positif.</w:t>
      </w:r>
    </w:p>
    <w:p w:rsidR="00D51709" w:rsidRPr="00D51709" w:rsidRDefault="00D51709" w:rsidP="00D847FC">
      <w:pPr>
        <w:spacing w:before="100" w:beforeAutospacing="1" w:after="100" w:afterAutospacing="1" w:line="360" w:lineRule="auto"/>
        <w:outlineLvl w:val="2"/>
        <w:rPr>
          <w:rFonts w:asciiTheme="majorBidi" w:eastAsia="Times New Roman" w:hAnsiTheme="majorBidi" w:cstheme="majorBidi"/>
          <w:b/>
          <w:bCs/>
          <w:sz w:val="24"/>
          <w:szCs w:val="24"/>
          <w:lang w:eastAsia="fr-FR"/>
        </w:rPr>
      </w:pPr>
      <w:r w:rsidRPr="00D51709">
        <w:rPr>
          <w:rFonts w:asciiTheme="majorBidi" w:eastAsia="Times New Roman" w:hAnsiTheme="majorBidi" w:cstheme="majorBidi"/>
          <w:b/>
          <w:bCs/>
          <w:sz w:val="24"/>
          <w:szCs w:val="24"/>
          <w:lang w:eastAsia="fr-FR"/>
        </w:rPr>
        <w:t>2.3. Altération de la concentration de l’antibiotique dans la bactérie</w:t>
      </w:r>
    </w:p>
    <w:p w:rsidR="00D51709" w:rsidRPr="00D51709" w:rsidRDefault="00D51709" w:rsidP="00D847FC">
      <w:pPr>
        <w:spacing w:before="100" w:beforeAutospacing="1" w:after="100" w:afterAutospacing="1" w:line="360" w:lineRule="auto"/>
        <w:rPr>
          <w:rFonts w:asciiTheme="majorBidi" w:eastAsia="Times New Roman" w:hAnsiTheme="majorBidi" w:cstheme="majorBidi"/>
          <w:sz w:val="24"/>
          <w:szCs w:val="24"/>
          <w:lang w:eastAsia="fr-FR"/>
        </w:rPr>
      </w:pPr>
      <w:r w:rsidRPr="00D51709">
        <w:rPr>
          <w:rFonts w:asciiTheme="majorBidi" w:eastAsia="Times New Roman" w:hAnsiTheme="majorBidi" w:cstheme="majorBidi"/>
          <w:sz w:val="24"/>
          <w:szCs w:val="24"/>
          <w:lang w:eastAsia="fr-FR"/>
        </w:rPr>
        <w:t>Ce groupe de mécanismes regroupe ceux qui limitent la pénétration de l’antibiotique ou favorisent son expulsion hors de la cellule.</w:t>
      </w:r>
    </w:p>
    <w:p w:rsidR="00D51709" w:rsidRPr="00D51709" w:rsidRDefault="00D51709" w:rsidP="00D847FC">
      <w:pPr>
        <w:spacing w:before="100" w:beforeAutospacing="1" w:after="100" w:afterAutospacing="1" w:line="360" w:lineRule="auto"/>
        <w:outlineLvl w:val="3"/>
        <w:rPr>
          <w:rFonts w:asciiTheme="majorBidi" w:eastAsia="Times New Roman" w:hAnsiTheme="majorBidi" w:cstheme="majorBidi"/>
          <w:b/>
          <w:bCs/>
          <w:sz w:val="24"/>
          <w:szCs w:val="24"/>
          <w:lang w:eastAsia="fr-FR"/>
        </w:rPr>
      </w:pPr>
      <w:r w:rsidRPr="00D51709">
        <w:rPr>
          <w:rFonts w:asciiTheme="majorBidi" w:eastAsia="Times New Roman" w:hAnsiTheme="majorBidi" w:cstheme="majorBidi"/>
          <w:b/>
          <w:bCs/>
          <w:sz w:val="24"/>
          <w:szCs w:val="24"/>
          <w:lang w:eastAsia="fr-FR"/>
        </w:rPr>
        <w:t>2.3.1. Altération des membranes bactériennes</w:t>
      </w:r>
    </w:p>
    <w:p w:rsidR="00D51709" w:rsidRDefault="00D51709" w:rsidP="00F46636">
      <w:pPr>
        <w:spacing w:before="100" w:beforeAutospacing="1" w:after="100" w:afterAutospacing="1" w:line="360" w:lineRule="auto"/>
        <w:jc w:val="both"/>
        <w:rPr>
          <w:rFonts w:asciiTheme="majorBidi" w:eastAsia="Times New Roman" w:hAnsiTheme="majorBidi" w:cstheme="majorBidi"/>
          <w:sz w:val="24"/>
          <w:szCs w:val="24"/>
          <w:lang w:eastAsia="fr-FR"/>
        </w:rPr>
      </w:pPr>
      <w:r w:rsidRPr="00D51709">
        <w:rPr>
          <w:rFonts w:asciiTheme="majorBidi" w:eastAsia="Times New Roman" w:hAnsiTheme="majorBidi" w:cstheme="majorBidi"/>
          <w:sz w:val="24"/>
          <w:szCs w:val="24"/>
          <w:lang w:eastAsia="fr-FR"/>
        </w:rPr>
        <w:t xml:space="preserve">Chez les bactéries à Gram négatif, la membrane externe constitue une barrière à la pénétration des antibiotiques. Le passage des petites molécules hydrophiles se fait par des porines formant </w:t>
      </w:r>
      <w:r w:rsidRPr="00D51709">
        <w:rPr>
          <w:rFonts w:asciiTheme="majorBidi" w:eastAsia="Times New Roman" w:hAnsiTheme="majorBidi" w:cstheme="majorBidi"/>
          <w:sz w:val="24"/>
          <w:szCs w:val="24"/>
          <w:lang w:eastAsia="fr-FR"/>
        </w:rPr>
        <w:lastRenderedPageBreak/>
        <w:t>des canaux aqueux.</w:t>
      </w:r>
      <w:r w:rsidR="00D847FC" w:rsidRPr="00D847FC">
        <w:rPr>
          <w:rFonts w:asciiTheme="majorBidi" w:eastAsia="Times New Roman" w:hAnsiTheme="majorBidi" w:cstheme="majorBidi"/>
          <w:sz w:val="24"/>
          <w:szCs w:val="24"/>
          <w:lang w:eastAsia="fr-FR"/>
        </w:rPr>
        <w:t xml:space="preserve">  </w:t>
      </w:r>
      <w:r w:rsidRPr="00D51709">
        <w:rPr>
          <w:rFonts w:asciiTheme="majorBidi" w:eastAsia="Times New Roman" w:hAnsiTheme="majorBidi" w:cstheme="majorBidi"/>
          <w:sz w:val="24"/>
          <w:szCs w:val="24"/>
          <w:lang w:eastAsia="fr-FR"/>
        </w:rPr>
        <w:t>Les molécules trop volumineuses ou insuffisamment hydrophiles ne peuvent pas passer efficacement. Une mutation affectant une porine peut perturber l’entrée de l’antibiotique. Ce phénomène concerne principalement les β-lactamines, mais aussi les aminoglycosides, le chloramphénicol et les quinolones.</w:t>
      </w:r>
      <w:r w:rsidR="00D847FC" w:rsidRPr="00D847FC">
        <w:rPr>
          <w:rFonts w:asciiTheme="majorBidi" w:eastAsia="Times New Roman" w:hAnsiTheme="majorBidi" w:cstheme="majorBidi"/>
          <w:sz w:val="24"/>
          <w:szCs w:val="24"/>
          <w:lang w:eastAsia="fr-FR"/>
        </w:rPr>
        <w:t xml:space="preserve"> </w:t>
      </w:r>
      <w:r w:rsidRPr="00D51709">
        <w:rPr>
          <w:rFonts w:asciiTheme="majorBidi" w:eastAsia="Times New Roman" w:hAnsiTheme="majorBidi" w:cstheme="majorBidi"/>
          <w:sz w:val="24"/>
          <w:szCs w:val="24"/>
          <w:lang w:eastAsia="fr-FR"/>
        </w:rPr>
        <w:t>La membrane interne contient également des transporteurs qui facilitent l’entrée des antibiotiques. Les aminoglycosides, très hydrophiles, nécessitent un transporteur anionique actif pour atteindre leur cible. Un traitement prolongé par un aminoglycoside peut induire une résistance réversible due à une altération de ce système de transport.</w:t>
      </w:r>
    </w:p>
    <w:p w:rsidR="00F46636" w:rsidRDefault="00F46636" w:rsidP="00F46636">
      <w:pPr>
        <w:spacing w:before="100" w:beforeAutospacing="1" w:after="100" w:afterAutospacing="1" w:line="360" w:lineRule="auto"/>
        <w:jc w:val="both"/>
        <w:rPr>
          <w:rFonts w:asciiTheme="majorBidi" w:eastAsia="Times New Roman" w:hAnsiTheme="majorBidi" w:cstheme="majorBidi"/>
          <w:sz w:val="24"/>
          <w:szCs w:val="24"/>
          <w:lang w:eastAsia="fr-FR"/>
        </w:rPr>
      </w:pPr>
    </w:p>
    <w:p w:rsidR="00F46636" w:rsidRPr="00D51709" w:rsidRDefault="00F46636" w:rsidP="00F46636">
      <w:pPr>
        <w:spacing w:before="100" w:beforeAutospacing="1" w:after="100" w:afterAutospacing="1" w:line="360" w:lineRule="auto"/>
        <w:jc w:val="both"/>
        <w:rPr>
          <w:rFonts w:asciiTheme="majorBidi" w:eastAsia="Times New Roman" w:hAnsiTheme="majorBidi" w:cstheme="majorBidi"/>
          <w:sz w:val="24"/>
          <w:szCs w:val="24"/>
          <w:lang w:eastAsia="fr-FR"/>
        </w:rPr>
      </w:pPr>
    </w:p>
    <w:p w:rsidR="00D51709" w:rsidRPr="00D51709" w:rsidRDefault="00D51709" w:rsidP="00D847FC">
      <w:pPr>
        <w:spacing w:before="100" w:beforeAutospacing="1" w:after="100" w:afterAutospacing="1" w:line="360" w:lineRule="auto"/>
        <w:outlineLvl w:val="3"/>
        <w:rPr>
          <w:rFonts w:asciiTheme="majorBidi" w:eastAsia="Times New Roman" w:hAnsiTheme="majorBidi" w:cstheme="majorBidi"/>
          <w:b/>
          <w:bCs/>
          <w:sz w:val="24"/>
          <w:szCs w:val="24"/>
          <w:lang w:eastAsia="fr-FR"/>
        </w:rPr>
      </w:pPr>
      <w:r w:rsidRPr="00D51709">
        <w:rPr>
          <w:rFonts w:asciiTheme="majorBidi" w:eastAsia="Times New Roman" w:hAnsiTheme="majorBidi" w:cstheme="majorBidi"/>
          <w:b/>
          <w:bCs/>
          <w:sz w:val="24"/>
          <w:szCs w:val="24"/>
          <w:lang w:eastAsia="fr-FR"/>
        </w:rPr>
        <w:t>2.3.2. Efflux de l’antibiotique</w:t>
      </w:r>
    </w:p>
    <w:p w:rsidR="00D51709" w:rsidRPr="00D51709" w:rsidRDefault="00D51709" w:rsidP="00F46636">
      <w:pPr>
        <w:spacing w:before="100" w:beforeAutospacing="1" w:after="100" w:afterAutospacing="1" w:line="360" w:lineRule="auto"/>
        <w:jc w:val="both"/>
        <w:rPr>
          <w:rFonts w:asciiTheme="majorBidi" w:eastAsia="Times New Roman" w:hAnsiTheme="majorBidi" w:cstheme="majorBidi"/>
          <w:sz w:val="24"/>
          <w:szCs w:val="24"/>
          <w:lang w:eastAsia="fr-FR"/>
        </w:rPr>
      </w:pPr>
      <w:r w:rsidRPr="00D51709">
        <w:rPr>
          <w:rFonts w:asciiTheme="majorBidi" w:eastAsia="Times New Roman" w:hAnsiTheme="majorBidi" w:cstheme="majorBidi"/>
          <w:sz w:val="24"/>
          <w:szCs w:val="24"/>
          <w:lang w:eastAsia="fr-FR"/>
        </w:rPr>
        <w:t>Ce mécanisme repose sur l’expression de transporteurs actifs qui expulsent l’antibiotique hors de la cellule, réduisant sa concentration intracellulaire.</w:t>
      </w:r>
      <w:r w:rsidR="00D847FC" w:rsidRPr="00D847FC">
        <w:rPr>
          <w:rFonts w:asciiTheme="majorBidi" w:eastAsia="Times New Roman" w:hAnsiTheme="majorBidi" w:cstheme="majorBidi"/>
          <w:sz w:val="24"/>
          <w:szCs w:val="24"/>
          <w:lang w:eastAsia="fr-FR"/>
        </w:rPr>
        <w:t xml:space="preserve"> </w:t>
      </w:r>
      <w:r w:rsidRPr="00D51709">
        <w:rPr>
          <w:rFonts w:asciiTheme="majorBidi" w:eastAsia="Times New Roman" w:hAnsiTheme="majorBidi" w:cstheme="majorBidi"/>
          <w:sz w:val="24"/>
          <w:szCs w:val="24"/>
          <w:lang w:eastAsia="fr-FR"/>
        </w:rPr>
        <w:t>Initialement décrit pour les tétracyclines, ce mécanisme est aujourd’hui reconnu comme l’un des plus répandus. Il concerne de nombreuses classes d’antibiotiques : β-lactamines, macrolides, fluoroquinolones, sulfamides, aminoglycosides, etc.</w:t>
      </w:r>
      <w:r w:rsidR="00D847FC" w:rsidRPr="00D847FC">
        <w:rPr>
          <w:rFonts w:asciiTheme="majorBidi" w:eastAsia="Times New Roman" w:hAnsiTheme="majorBidi" w:cstheme="majorBidi"/>
          <w:sz w:val="24"/>
          <w:szCs w:val="24"/>
          <w:lang w:eastAsia="fr-FR"/>
        </w:rPr>
        <w:t xml:space="preserve"> </w:t>
      </w:r>
      <w:r w:rsidRPr="00D51709">
        <w:rPr>
          <w:rFonts w:asciiTheme="majorBidi" w:eastAsia="Times New Roman" w:hAnsiTheme="majorBidi" w:cstheme="majorBidi"/>
          <w:sz w:val="24"/>
          <w:szCs w:val="24"/>
          <w:lang w:eastAsia="fr-FR"/>
        </w:rPr>
        <w:t>Certaines pompes sont capables de reconnaître plusieurs classes d’antibiotiques, entraînant une résistance croisée. Elles sont particulièrement présentes chez les bactéries Gram négatif, comme Pseudomonas aeruginosa.</w:t>
      </w:r>
      <w:r w:rsidR="00D847FC" w:rsidRPr="00D847FC">
        <w:rPr>
          <w:rFonts w:asciiTheme="majorBidi" w:eastAsia="Times New Roman" w:hAnsiTheme="majorBidi" w:cstheme="majorBidi"/>
          <w:sz w:val="24"/>
          <w:szCs w:val="24"/>
          <w:lang w:eastAsia="fr-FR"/>
        </w:rPr>
        <w:t xml:space="preserve"> </w:t>
      </w:r>
      <w:r w:rsidRPr="00D51709">
        <w:rPr>
          <w:rFonts w:asciiTheme="majorBidi" w:eastAsia="Times New Roman" w:hAnsiTheme="majorBidi" w:cstheme="majorBidi"/>
          <w:sz w:val="24"/>
          <w:szCs w:val="24"/>
          <w:lang w:eastAsia="fr-FR"/>
        </w:rPr>
        <w:t>Par exemple, la pompe MexAB-OprM expulse de nombreuses molécules : β-lactamines, acide fusidique, tétracyclines, macrolides, lincosamides, chloramphénicol, rifampicine, fluoroquinolones et sulfamides.</w:t>
      </w:r>
      <w:r w:rsidR="00D847FC" w:rsidRPr="00D847FC">
        <w:rPr>
          <w:rFonts w:asciiTheme="majorBidi" w:eastAsia="Times New Roman" w:hAnsiTheme="majorBidi" w:cstheme="majorBidi"/>
          <w:sz w:val="24"/>
          <w:szCs w:val="24"/>
          <w:lang w:eastAsia="fr-FR"/>
        </w:rPr>
        <w:t xml:space="preserve"> </w:t>
      </w:r>
      <w:r w:rsidRPr="00D51709">
        <w:rPr>
          <w:rFonts w:asciiTheme="majorBidi" w:eastAsia="Times New Roman" w:hAnsiTheme="majorBidi" w:cstheme="majorBidi"/>
          <w:sz w:val="24"/>
          <w:szCs w:val="24"/>
          <w:lang w:eastAsia="fr-FR"/>
        </w:rPr>
        <w:t>Une même bactérie peut exprimer plusieurs pompes, conduisant à une multirésistance.</w:t>
      </w:r>
    </w:p>
    <w:p w:rsidR="00D51709" w:rsidRPr="00D51709" w:rsidRDefault="00D51709" w:rsidP="00D847FC">
      <w:pPr>
        <w:spacing w:before="100" w:beforeAutospacing="1" w:after="100" w:afterAutospacing="1" w:line="360" w:lineRule="auto"/>
        <w:outlineLvl w:val="2"/>
        <w:rPr>
          <w:rFonts w:asciiTheme="majorBidi" w:eastAsia="Times New Roman" w:hAnsiTheme="majorBidi" w:cstheme="majorBidi"/>
          <w:b/>
          <w:bCs/>
          <w:sz w:val="24"/>
          <w:szCs w:val="24"/>
          <w:lang w:eastAsia="fr-FR"/>
        </w:rPr>
      </w:pPr>
      <w:r w:rsidRPr="00D51709">
        <w:rPr>
          <w:rFonts w:asciiTheme="majorBidi" w:eastAsia="Times New Roman" w:hAnsiTheme="majorBidi" w:cstheme="majorBidi"/>
          <w:b/>
          <w:bCs/>
          <w:sz w:val="24"/>
          <w:szCs w:val="24"/>
          <w:lang w:eastAsia="fr-FR"/>
        </w:rPr>
        <w:t>2.4. Multiplication ou protection de la cible</w:t>
      </w:r>
    </w:p>
    <w:p w:rsidR="00D51709" w:rsidRPr="00D51709" w:rsidRDefault="00D51709" w:rsidP="00F46636">
      <w:pPr>
        <w:spacing w:before="100" w:beforeAutospacing="1" w:after="100" w:afterAutospacing="1" w:line="360" w:lineRule="auto"/>
        <w:jc w:val="both"/>
        <w:rPr>
          <w:rFonts w:asciiTheme="majorBidi" w:eastAsia="Times New Roman" w:hAnsiTheme="majorBidi" w:cstheme="majorBidi"/>
          <w:sz w:val="24"/>
          <w:szCs w:val="24"/>
          <w:lang w:eastAsia="fr-FR"/>
        </w:rPr>
      </w:pPr>
      <w:r w:rsidRPr="00D51709">
        <w:rPr>
          <w:rFonts w:asciiTheme="majorBidi" w:eastAsia="Times New Roman" w:hAnsiTheme="majorBidi" w:cstheme="majorBidi"/>
          <w:sz w:val="24"/>
          <w:szCs w:val="24"/>
          <w:lang w:eastAsia="fr-FR"/>
        </w:rPr>
        <w:t>Un autre mode de résistance consiste à augmenter la quantité de la cible bactérienne, de manière à ce que l’antibiotique ne puisse pas toutes les saturer.</w:t>
      </w:r>
      <w:r w:rsidR="00D847FC" w:rsidRPr="00D847FC">
        <w:rPr>
          <w:rFonts w:asciiTheme="majorBidi" w:eastAsia="Times New Roman" w:hAnsiTheme="majorBidi" w:cstheme="majorBidi"/>
          <w:sz w:val="24"/>
          <w:szCs w:val="24"/>
          <w:lang w:eastAsia="fr-FR"/>
        </w:rPr>
        <w:t xml:space="preserve"> </w:t>
      </w:r>
      <w:r w:rsidRPr="00D51709">
        <w:rPr>
          <w:rFonts w:asciiTheme="majorBidi" w:eastAsia="Times New Roman" w:hAnsiTheme="majorBidi" w:cstheme="majorBidi"/>
          <w:sz w:val="24"/>
          <w:szCs w:val="24"/>
          <w:lang w:eastAsia="fr-FR"/>
        </w:rPr>
        <w:t>Chez Staphylococcus aureus, certaines souches présentent une résistance intermédiaire aux glycopeptides  due à la production d’une paroi épaisse contenant de nombreuses terminaisons D-Ala-D-Ala.</w:t>
      </w:r>
      <w:r w:rsidR="00D847FC" w:rsidRPr="00D847FC">
        <w:rPr>
          <w:rFonts w:asciiTheme="majorBidi" w:eastAsia="Times New Roman" w:hAnsiTheme="majorBidi" w:cstheme="majorBidi"/>
          <w:sz w:val="24"/>
          <w:szCs w:val="24"/>
          <w:lang w:eastAsia="fr-FR"/>
        </w:rPr>
        <w:t xml:space="preserve"> </w:t>
      </w:r>
      <w:r w:rsidRPr="00D51709">
        <w:rPr>
          <w:rFonts w:asciiTheme="majorBidi" w:eastAsia="Times New Roman" w:hAnsiTheme="majorBidi" w:cstheme="majorBidi"/>
          <w:sz w:val="24"/>
          <w:szCs w:val="24"/>
          <w:lang w:eastAsia="fr-FR"/>
        </w:rPr>
        <w:t xml:space="preserve">La protection de la cible constitue un autre mécanisme. Dans le cas des tétracyclines, certaines </w:t>
      </w:r>
      <w:r w:rsidRPr="00D51709">
        <w:rPr>
          <w:rFonts w:asciiTheme="majorBidi" w:eastAsia="Times New Roman" w:hAnsiTheme="majorBidi" w:cstheme="majorBidi"/>
          <w:sz w:val="24"/>
          <w:szCs w:val="24"/>
          <w:lang w:eastAsia="fr-FR"/>
        </w:rPr>
        <w:lastRenderedPageBreak/>
        <w:t>protéines cytoplasmiques se lient aux ribosomes et empêchent l’antibiotique de se fixer.</w:t>
      </w:r>
      <w:r w:rsidR="00D847FC" w:rsidRPr="00D847FC">
        <w:rPr>
          <w:rFonts w:asciiTheme="majorBidi" w:eastAsia="Times New Roman" w:hAnsiTheme="majorBidi" w:cstheme="majorBidi"/>
          <w:sz w:val="24"/>
          <w:szCs w:val="24"/>
          <w:lang w:eastAsia="fr-FR"/>
        </w:rPr>
        <w:t xml:space="preserve"> </w:t>
      </w:r>
      <w:r w:rsidRPr="00D51709">
        <w:rPr>
          <w:rFonts w:asciiTheme="majorBidi" w:eastAsia="Times New Roman" w:hAnsiTheme="majorBidi" w:cstheme="majorBidi"/>
          <w:sz w:val="24"/>
          <w:szCs w:val="24"/>
          <w:lang w:eastAsia="fr-FR"/>
        </w:rPr>
        <w:t>Un mécanisme similaire a été décrit pour les fluoroquinolones : des protéines mimant la structure de l’ADN déplacent les fluoroquinolones de leur site de liaison.</w:t>
      </w:r>
    </w:p>
    <w:p w:rsidR="00D51709" w:rsidRPr="00031BB3" w:rsidRDefault="00D51709" w:rsidP="00D847FC">
      <w:pPr>
        <w:spacing w:before="100" w:beforeAutospacing="1" w:after="100" w:afterAutospacing="1" w:line="360" w:lineRule="auto"/>
        <w:rPr>
          <w:rFonts w:asciiTheme="majorBidi" w:eastAsia="Times New Roman" w:hAnsiTheme="majorBidi" w:cstheme="majorBidi"/>
          <w:sz w:val="24"/>
          <w:szCs w:val="24"/>
          <w:lang w:eastAsia="fr-FR"/>
        </w:rPr>
      </w:pPr>
    </w:p>
    <w:p w:rsidR="00031BB3" w:rsidRPr="00031BB3" w:rsidRDefault="00031BB3" w:rsidP="00D847FC">
      <w:pPr>
        <w:spacing w:before="100" w:beforeAutospacing="1" w:after="100" w:afterAutospacing="1" w:line="360" w:lineRule="auto"/>
        <w:rPr>
          <w:rFonts w:asciiTheme="majorBidi" w:eastAsia="Times New Roman" w:hAnsiTheme="majorBidi" w:cstheme="majorBidi"/>
          <w:sz w:val="24"/>
          <w:szCs w:val="24"/>
          <w:lang w:eastAsia="fr-FR"/>
        </w:rPr>
      </w:pPr>
    </w:p>
    <w:p w:rsidR="001C23FE" w:rsidRDefault="00D847FC" w:rsidP="00D847FC">
      <w:pPr>
        <w:spacing w:line="360" w:lineRule="auto"/>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760720" cy="5760720"/>
            <wp:effectExtent l="19050" t="0" r="0"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a:srcRect/>
                    <a:stretch>
                      <a:fillRect/>
                    </a:stretch>
                  </pic:blipFill>
                  <pic:spPr bwMode="auto">
                    <a:xfrm>
                      <a:off x="0" y="0"/>
                      <a:ext cx="5760720" cy="5760720"/>
                    </a:xfrm>
                    <a:prstGeom prst="rect">
                      <a:avLst/>
                    </a:prstGeom>
                    <a:noFill/>
                    <a:ln w="9525">
                      <a:noFill/>
                      <a:miter lim="800000"/>
                      <a:headEnd/>
                      <a:tailEnd/>
                    </a:ln>
                  </pic:spPr>
                </pic:pic>
              </a:graphicData>
            </a:graphic>
          </wp:inline>
        </w:drawing>
      </w:r>
    </w:p>
    <w:p w:rsidR="00D847FC" w:rsidRDefault="00D847FC" w:rsidP="00D847FC">
      <w:pPr>
        <w:spacing w:line="360" w:lineRule="auto"/>
        <w:rPr>
          <w:rFonts w:asciiTheme="majorBidi" w:hAnsiTheme="majorBidi" w:cstheme="majorBidi"/>
          <w:sz w:val="24"/>
          <w:szCs w:val="24"/>
        </w:rPr>
      </w:pPr>
    </w:p>
    <w:p w:rsidR="00D847FC" w:rsidRDefault="00F222C8" w:rsidP="00F46636">
      <w:pPr>
        <w:spacing w:line="360" w:lineRule="auto"/>
        <w:jc w:val="center"/>
        <w:rPr>
          <w:rFonts w:asciiTheme="majorBidi" w:hAnsiTheme="majorBidi" w:cstheme="majorBidi"/>
          <w:sz w:val="24"/>
          <w:szCs w:val="24"/>
        </w:rPr>
      </w:pPr>
      <w:r w:rsidRPr="00F222C8">
        <w:rPr>
          <w:rFonts w:asciiTheme="majorBidi" w:hAnsiTheme="majorBidi" w:cstheme="majorBidi"/>
          <w:sz w:val="24"/>
          <w:szCs w:val="24"/>
        </w:rPr>
        <w:lastRenderedPageBreak/>
        <w:drawing>
          <wp:inline distT="0" distB="0" distL="0" distR="0">
            <wp:extent cx="6397011" cy="4114703"/>
            <wp:effectExtent l="19050" t="0" r="3789" b="0"/>
            <wp:docPr id="6" name="Image 2" descr="C:\Users\Tis Info\Desktop\Nouveau dossier (3)\Figures de résistance\A-Typical-antibiotic-target-sites-present-in-bacterial-cells-and-B-mechanisms-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s Info\Desktop\Nouveau dossier (3)\Figures de résistance\A-Typical-antibiotic-target-sites-present-in-bacterial-cells-and-B-mechanisms-of.png"/>
                    <pic:cNvPicPr>
                      <a:picLocks noChangeAspect="1" noChangeArrowheads="1"/>
                    </pic:cNvPicPr>
                  </pic:nvPicPr>
                  <pic:blipFill>
                    <a:blip r:embed="rId10"/>
                    <a:srcRect/>
                    <a:stretch>
                      <a:fillRect/>
                    </a:stretch>
                  </pic:blipFill>
                  <pic:spPr bwMode="auto">
                    <a:xfrm>
                      <a:off x="0" y="0"/>
                      <a:ext cx="6405654" cy="4120262"/>
                    </a:xfrm>
                    <a:prstGeom prst="rect">
                      <a:avLst/>
                    </a:prstGeom>
                    <a:noFill/>
                    <a:ln w="9525">
                      <a:noFill/>
                      <a:miter lim="800000"/>
                      <a:headEnd/>
                      <a:tailEnd/>
                    </a:ln>
                  </pic:spPr>
                </pic:pic>
              </a:graphicData>
            </a:graphic>
          </wp:inline>
        </w:drawing>
      </w:r>
    </w:p>
    <w:p w:rsidR="00D847FC" w:rsidRPr="00D847FC" w:rsidRDefault="00D847FC" w:rsidP="00D847FC">
      <w:pPr>
        <w:spacing w:line="360" w:lineRule="auto"/>
        <w:rPr>
          <w:rFonts w:asciiTheme="majorBidi" w:hAnsiTheme="majorBidi" w:cstheme="majorBidi"/>
          <w:sz w:val="24"/>
          <w:szCs w:val="24"/>
        </w:rPr>
      </w:pPr>
    </w:p>
    <w:sectPr w:rsidR="00D847FC" w:rsidRPr="00D847FC" w:rsidSect="001C23F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2076" w:rsidRDefault="00A72076" w:rsidP="00D847FC">
      <w:pPr>
        <w:spacing w:after="0" w:line="240" w:lineRule="auto"/>
      </w:pPr>
      <w:r>
        <w:separator/>
      </w:r>
    </w:p>
  </w:endnote>
  <w:endnote w:type="continuationSeparator" w:id="1">
    <w:p w:rsidR="00A72076" w:rsidRDefault="00A72076" w:rsidP="00D847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75760"/>
      <w:docPartObj>
        <w:docPartGallery w:val="Page Numbers (Bottom of Page)"/>
        <w:docPartUnique/>
      </w:docPartObj>
    </w:sdtPr>
    <w:sdtContent>
      <w:p w:rsidR="00D847FC" w:rsidRDefault="00D847FC">
        <w:pPr>
          <w:pStyle w:val="Pieddepage"/>
          <w:jc w:val="center"/>
        </w:pPr>
        <w:fldSimple w:instr=" PAGE   \* MERGEFORMAT ">
          <w:r w:rsidR="001B0EC2">
            <w:rPr>
              <w:noProof/>
            </w:rPr>
            <w:t>1</w:t>
          </w:r>
        </w:fldSimple>
      </w:p>
    </w:sdtContent>
  </w:sdt>
  <w:p w:rsidR="00D847FC" w:rsidRDefault="00D847F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2076" w:rsidRDefault="00A72076" w:rsidP="00D847FC">
      <w:pPr>
        <w:spacing w:after="0" w:line="240" w:lineRule="auto"/>
      </w:pPr>
      <w:r>
        <w:separator/>
      </w:r>
    </w:p>
  </w:footnote>
  <w:footnote w:type="continuationSeparator" w:id="1">
    <w:p w:rsidR="00A72076" w:rsidRDefault="00A72076" w:rsidP="00D847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EC2" w:rsidRPr="00BF51C0" w:rsidRDefault="001B0EC2" w:rsidP="001B0EC2">
    <w:pPr>
      <w:pStyle w:val="En-tte"/>
      <w:rPr>
        <w:rFonts w:asciiTheme="majorBidi" w:hAnsiTheme="majorBidi" w:cstheme="majorBidi"/>
        <w:i/>
        <w:iCs/>
        <w:sz w:val="20"/>
        <w:szCs w:val="20"/>
      </w:rPr>
    </w:pPr>
    <w:r w:rsidRPr="00BF51C0">
      <w:rPr>
        <w:rFonts w:asciiTheme="majorBidi" w:hAnsiTheme="majorBidi" w:cstheme="majorBidi"/>
        <w:i/>
        <w:iCs/>
        <w:sz w:val="20"/>
        <w:szCs w:val="20"/>
      </w:rPr>
      <w:t>Centre universitaire Mila</w:t>
    </w:r>
  </w:p>
  <w:p w:rsidR="001B0EC2" w:rsidRPr="00BF51C0" w:rsidRDefault="001B0EC2" w:rsidP="001B0EC2">
    <w:pPr>
      <w:pStyle w:val="En-tte"/>
      <w:rPr>
        <w:rFonts w:asciiTheme="majorBidi" w:hAnsiTheme="majorBidi" w:cstheme="majorBidi"/>
        <w:i/>
        <w:iCs/>
        <w:sz w:val="20"/>
        <w:szCs w:val="20"/>
      </w:rPr>
    </w:pPr>
    <w:r w:rsidRPr="00BF51C0">
      <w:rPr>
        <w:rFonts w:asciiTheme="majorBidi" w:hAnsiTheme="majorBidi" w:cstheme="majorBidi"/>
        <w:i/>
        <w:iCs/>
        <w:sz w:val="20"/>
        <w:szCs w:val="20"/>
      </w:rPr>
      <w:t xml:space="preserve">Module : Biotechnologie microbienne                                                           </w:t>
    </w:r>
    <w:r>
      <w:rPr>
        <w:rFonts w:asciiTheme="majorBidi" w:hAnsiTheme="majorBidi" w:cstheme="majorBidi"/>
        <w:i/>
        <w:iCs/>
        <w:sz w:val="20"/>
        <w:szCs w:val="20"/>
      </w:rPr>
      <w:t xml:space="preserve">       </w:t>
    </w:r>
    <w:r w:rsidRPr="00BF51C0">
      <w:rPr>
        <w:rFonts w:asciiTheme="majorBidi" w:hAnsiTheme="majorBidi" w:cstheme="majorBidi"/>
        <w:i/>
        <w:iCs/>
        <w:sz w:val="20"/>
        <w:szCs w:val="20"/>
      </w:rPr>
      <w:t>Dr. RABHI Nour El Houda</w:t>
    </w:r>
  </w:p>
  <w:p w:rsidR="001B0EC2" w:rsidRPr="00BF51C0" w:rsidRDefault="001B0EC2" w:rsidP="001B0EC2">
    <w:pPr>
      <w:pStyle w:val="En-tte"/>
      <w:rPr>
        <w:rFonts w:asciiTheme="majorBidi" w:hAnsiTheme="majorBidi" w:cstheme="majorBidi"/>
        <w:i/>
        <w:iCs/>
        <w:sz w:val="20"/>
        <w:szCs w:val="20"/>
      </w:rPr>
    </w:pPr>
    <w:r w:rsidRPr="00BF51C0">
      <w:rPr>
        <w:rFonts w:asciiTheme="majorBidi" w:hAnsiTheme="majorBidi" w:cstheme="majorBidi"/>
        <w:i/>
        <w:iCs/>
        <w:sz w:val="20"/>
        <w:szCs w:val="20"/>
      </w:rPr>
      <w:t>Spécialité : Microbiologie appliquée</w:t>
    </w:r>
  </w:p>
  <w:p w:rsidR="001B0EC2" w:rsidRPr="00BF51C0" w:rsidRDefault="001B0EC2" w:rsidP="001B0EC2">
    <w:pPr>
      <w:pStyle w:val="En-tte"/>
      <w:rPr>
        <w:rFonts w:asciiTheme="majorBidi" w:hAnsiTheme="majorBidi" w:cstheme="majorBidi"/>
        <w:i/>
        <w:iCs/>
        <w:sz w:val="20"/>
        <w:szCs w:val="20"/>
      </w:rPr>
    </w:pPr>
    <w:r w:rsidRPr="00BF51C0">
      <w:rPr>
        <w:rFonts w:asciiTheme="majorBidi" w:hAnsiTheme="majorBidi" w:cstheme="majorBidi"/>
        <w:i/>
        <w:iCs/>
        <w:sz w:val="20"/>
        <w:szCs w:val="20"/>
      </w:rPr>
      <w:t>Niveau : Master2</w:t>
    </w:r>
  </w:p>
  <w:p w:rsidR="001B0EC2" w:rsidRDefault="001B0EC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F2857"/>
    <w:multiLevelType w:val="multilevel"/>
    <w:tmpl w:val="78C81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ED48F2"/>
    <w:multiLevelType w:val="multilevel"/>
    <w:tmpl w:val="43045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C30880"/>
    <w:multiLevelType w:val="multilevel"/>
    <w:tmpl w:val="89EC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525975"/>
    <w:multiLevelType w:val="multilevel"/>
    <w:tmpl w:val="5D18E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59156C"/>
    <w:multiLevelType w:val="multilevel"/>
    <w:tmpl w:val="12B0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B55D38"/>
    <w:multiLevelType w:val="multilevel"/>
    <w:tmpl w:val="E23A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BF6018"/>
    <w:multiLevelType w:val="multilevel"/>
    <w:tmpl w:val="437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0C4AD4"/>
    <w:multiLevelType w:val="multilevel"/>
    <w:tmpl w:val="B3B4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160B0C"/>
    <w:multiLevelType w:val="multilevel"/>
    <w:tmpl w:val="E586C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1E6BDE"/>
    <w:multiLevelType w:val="multilevel"/>
    <w:tmpl w:val="D562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4105BE"/>
    <w:multiLevelType w:val="multilevel"/>
    <w:tmpl w:val="DA5A6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ED7455E"/>
    <w:multiLevelType w:val="multilevel"/>
    <w:tmpl w:val="CB9E2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11"/>
  </w:num>
  <w:num w:numId="4">
    <w:abstractNumId w:val="7"/>
  </w:num>
  <w:num w:numId="5">
    <w:abstractNumId w:val="9"/>
  </w:num>
  <w:num w:numId="6">
    <w:abstractNumId w:val="10"/>
  </w:num>
  <w:num w:numId="7">
    <w:abstractNumId w:val="0"/>
  </w:num>
  <w:num w:numId="8">
    <w:abstractNumId w:val="1"/>
  </w:num>
  <w:num w:numId="9">
    <w:abstractNumId w:val="8"/>
  </w:num>
  <w:num w:numId="10">
    <w:abstractNumId w:val="3"/>
  </w:num>
  <w:num w:numId="11">
    <w:abstractNumId w:val="2"/>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31BB3"/>
    <w:rsid w:val="00031BB3"/>
    <w:rsid w:val="001B0EC2"/>
    <w:rsid w:val="001C23FE"/>
    <w:rsid w:val="002F546A"/>
    <w:rsid w:val="00896841"/>
    <w:rsid w:val="00A72076"/>
    <w:rsid w:val="00D51709"/>
    <w:rsid w:val="00D847FC"/>
    <w:rsid w:val="00F222C8"/>
    <w:rsid w:val="00F4663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3FE"/>
  </w:style>
  <w:style w:type="paragraph" w:styleId="Titre2">
    <w:name w:val="heading 2"/>
    <w:basedOn w:val="Normal"/>
    <w:link w:val="Titre2Car"/>
    <w:uiPriority w:val="9"/>
    <w:qFormat/>
    <w:rsid w:val="00031BB3"/>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031BB3"/>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031BB3"/>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31BB3"/>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031BB3"/>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031BB3"/>
    <w:rPr>
      <w:rFonts w:ascii="Times New Roman" w:eastAsia="Times New Roman" w:hAnsi="Times New Roman" w:cs="Times New Roman"/>
      <w:b/>
      <w:bCs/>
      <w:sz w:val="24"/>
      <w:szCs w:val="24"/>
      <w:lang w:eastAsia="fr-FR"/>
    </w:rPr>
  </w:style>
  <w:style w:type="character" w:styleId="lev">
    <w:name w:val="Strong"/>
    <w:basedOn w:val="Policepardfaut"/>
    <w:uiPriority w:val="22"/>
    <w:qFormat/>
    <w:rsid w:val="00031BB3"/>
    <w:rPr>
      <w:b/>
      <w:bCs/>
    </w:rPr>
  </w:style>
  <w:style w:type="paragraph" w:styleId="NormalWeb">
    <w:name w:val="Normal (Web)"/>
    <w:basedOn w:val="Normal"/>
    <w:uiPriority w:val="99"/>
    <w:semiHidden/>
    <w:unhideWhenUsed/>
    <w:rsid w:val="00031BB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D847F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847FC"/>
  </w:style>
  <w:style w:type="paragraph" w:styleId="Pieddepage">
    <w:name w:val="footer"/>
    <w:basedOn w:val="Normal"/>
    <w:link w:val="PieddepageCar"/>
    <w:uiPriority w:val="99"/>
    <w:unhideWhenUsed/>
    <w:rsid w:val="00D847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847FC"/>
  </w:style>
</w:styles>
</file>

<file path=word/webSettings.xml><?xml version="1.0" encoding="utf-8"?>
<w:webSettings xmlns:r="http://schemas.openxmlformats.org/officeDocument/2006/relationships" xmlns:w="http://schemas.openxmlformats.org/wordprocessingml/2006/main">
  <w:divs>
    <w:div w:id="444035305">
      <w:bodyDiv w:val="1"/>
      <w:marLeft w:val="0"/>
      <w:marRight w:val="0"/>
      <w:marTop w:val="0"/>
      <w:marBottom w:val="0"/>
      <w:divBdr>
        <w:top w:val="none" w:sz="0" w:space="0" w:color="auto"/>
        <w:left w:val="none" w:sz="0" w:space="0" w:color="auto"/>
        <w:bottom w:val="none" w:sz="0" w:space="0" w:color="auto"/>
        <w:right w:val="none" w:sz="0" w:space="0" w:color="auto"/>
      </w:divBdr>
    </w:div>
    <w:div w:id="719985784">
      <w:bodyDiv w:val="1"/>
      <w:marLeft w:val="0"/>
      <w:marRight w:val="0"/>
      <w:marTop w:val="0"/>
      <w:marBottom w:val="0"/>
      <w:divBdr>
        <w:top w:val="none" w:sz="0" w:space="0" w:color="auto"/>
        <w:left w:val="none" w:sz="0" w:space="0" w:color="auto"/>
        <w:bottom w:val="none" w:sz="0" w:space="0" w:color="auto"/>
        <w:right w:val="none" w:sz="0" w:space="0" w:color="auto"/>
      </w:divBdr>
    </w:div>
    <w:div w:id="1259293680">
      <w:bodyDiv w:val="1"/>
      <w:marLeft w:val="0"/>
      <w:marRight w:val="0"/>
      <w:marTop w:val="0"/>
      <w:marBottom w:val="0"/>
      <w:divBdr>
        <w:top w:val="none" w:sz="0" w:space="0" w:color="auto"/>
        <w:left w:val="none" w:sz="0" w:space="0" w:color="auto"/>
        <w:bottom w:val="none" w:sz="0" w:space="0" w:color="auto"/>
        <w:right w:val="none" w:sz="0" w:space="0" w:color="auto"/>
      </w:divBdr>
    </w:div>
    <w:div w:id="178160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9</Pages>
  <Words>1592</Words>
  <Characters>8759</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4</cp:revision>
  <dcterms:created xsi:type="dcterms:W3CDTF">2025-10-23T14:22:00Z</dcterms:created>
  <dcterms:modified xsi:type="dcterms:W3CDTF">2025-10-23T15:13:00Z</dcterms:modified>
</cp:coreProperties>
</file>