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4F" w:rsidRPr="00BA164F" w:rsidRDefault="00BA164F" w:rsidP="002432CA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Anaerobic Metabolism of Pyruvate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Different microorganisms, particularly strict or facultative anaerobic bacteria, metabolize pyruvate under anaerobic conditions through various pathways.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1. Alcoholic Fermentation</w:t>
      </w:r>
    </w:p>
    <w:p w:rsidR="002432CA" w:rsidRPr="00BA164F" w:rsidRDefault="00BA164F" w:rsidP="00C731F0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This type of fermentation is very common among yeasts (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Saccharomyces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Kluyveromyces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Brettanomyces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etc.). Few bacteria are capable of performing alcoholic fermentation (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Zymomonas mobilis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).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Glycolysis constitutes the first major step in the alcoholic fermentation of yeasts. In the case of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Zymomonas mobilis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glucose is degraded via the Entner–Doudoroff pathway. Both pathways lead to pyruvate, which is decarboxylated to acetaldehyde and CO</w:t>
      </w:r>
      <w:r w:rsidRPr="00BA164F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 Reduction of acetaldehyde generates ethanol.</w:t>
      </w:r>
    </w:p>
    <w:p w:rsidR="007145E6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32C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994910" cy="119062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4F" w:rsidRPr="002432CA" w:rsidRDefault="00BA164F" w:rsidP="00C731F0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2432CA">
        <w:rPr>
          <w:rFonts w:asciiTheme="majorBidi" w:hAnsiTheme="majorBidi" w:cstheme="majorBidi"/>
          <w:lang w:val="en-US"/>
        </w:rPr>
        <w:t>Other compounds can be produced in small quantities (especially glycerol and acetic acid).</w:t>
      </w:r>
      <w:r w:rsidRPr="002432CA">
        <w:rPr>
          <w:rFonts w:asciiTheme="majorBidi" w:hAnsiTheme="majorBidi" w:cstheme="majorBidi"/>
          <w:lang w:val="en-US"/>
        </w:rPr>
        <w:br/>
        <w:t>The conversion of one molecule of glucose to ethanol by yeasts results in the synthesis of two molecules of ATP.</w:t>
      </w:r>
      <w:r w:rsidR="00C731F0">
        <w:rPr>
          <w:rFonts w:asciiTheme="majorBidi" w:hAnsiTheme="majorBidi" w:cstheme="majorBidi"/>
          <w:lang w:val="en-US"/>
        </w:rPr>
        <w:t xml:space="preserve"> </w:t>
      </w:r>
      <w:r w:rsidRPr="002432CA">
        <w:rPr>
          <w:rFonts w:asciiTheme="majorBidi" w:hAnsiTheme="majorBidi" w:cstheme="majorBidi"/>
          <w:lang w:val="en-US"/>
        </w:rPr>
        <w:t>Under anaerobic conditions, yeasts do not transform all glucose into ethanol and carbon dioxide; small amounts of pyruvate and NADH</w:t>
      </w:r>
      <w:r w:rsidRPr="002432CA">
        <w:rPr>
          <w:rFonts w:ascii="Cambria Math" w:hAnsi="Cambria Math" w:cstheme="majorBidi"/>
          <w:lang w:val="en-US"/>
        </w:rPr>
        <w:t>₂</w:t>
      </w:r>
      <w:r w:rsidRPr="002432CA">
        <w:rPr>
          <w:rFonts w:asciiTheme="majorBidi" w:hAnsiTheme="majorBidi" w:cstheme="majorBidi"/>
          <w:lang w:val="en-US"/>
        </w:rPr>
        <w:t xml:space="preserve"> are used for cellular maintenance. The reoxidation of NADH</w:t>
      </w:r>
      <w:r w:rsidRPr="002432CA">
        <w:rPr>
          <w:rFonts w:ascii="Cambria Math" w:hAnsi="Cambria Math" w:cstheme="majorBidi"/>
          <w:lang w:val="en-US"/>
        </w:rPr>
        <w:t>₂</w:t>
      </w:r>
      <w:r w:rsidRPr="002432CA">
        <w:rPr>
          <w:rFonts w:asciiTheme="majorBidi" w:hAnsiTheme="majorBidi" w:cstheme="majorBidi"/>
          <w:lang w:val="en-US"/>
        </w:rPr>
        <w:t xml:space="preserve"> is essential for alcoholic fermentation to proceed. This is achieved via the reduction of acetaldehyde, which is initially absent.</w:t>
      </w:r>
    </w:p>
    <w:p w:rsidR="00BA164F" w:rsidRPr="002432CA" w:rsidRDefault="00BA164F" w:rsidP="002432C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2432CA">
        <w:rPr>
          <w:rFonts w:asciiTheme="majorBidi" w:hAnsiTheme="majorBidi" w:cstheme="majorBidi"/>
          <w:lang w:val="en-US"/>
        </w:rPr>
        <w:t>In this case, dihydroxyacetone phosphate (DHAP) acts as a hydrogen acceptor, converting into L-</w:t>
      </w:r>
      <w:r w:rsidRPr="002432CA">
        <w:rPr>
          <w:rFonts w:asciiTheme="majorBidi" w:hAnsiTheme="majorBidi" w:cstheme="majorBidi"/>
        </w:rPr>
        <w:t>α</w:t>
      </w:r>
      <w:r w:rsidRPr="002432CA">
        <w:rPr>
          <w:rFonts w:asciiTheme="majorBidi" w:hAnsiTheme="majorBidi" w:cstheme="majorBidi"/>
          <w:lang w:val="en-US"/>
        </w:rPr>
        <w:t>-glycerol phosphate, which is subsequently transformed into glycerol:</w:t>
      </w: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32C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39335" cy="76771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lastRenderedPageBreak/>
        <w:t>Theoretically, alcoholic fermentation yields 51.1% ethanol from the catabolized glucose. However, even though anaerobiosis is not favorable for biomass synthesis, some cell growth still occurs (about 2% of the carbohydrates used).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Ethanol and CO</w:t>
      </w:r>
      <w:r w:rsidRPr="00BA164F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are not the only products formed: besides glycerol, organic acids (succinic, acetic), higher alcohols, aldehydes, and ketones are also produced. Altogether, these compounds represent about 2.7% of the fermented sugar, so the actual ethanol yield reaches about 47–48% of the sugar converted.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conversion efficiency of sugar to ethanol is typically between </w:t>
      </w:r>
      <w:r w:rsidRPr="00C731F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91 and 95% of the theoretical yield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depending on medium factors such as the quality and quantity of utilizable nitrogen sources.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2. Homolactic Fermentation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Lactic acid is the main product of this type of fermentation (&gt;90% of total products), unlike heterolactic fermentation (25–90% lactic acid).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Lactic acid results from the reduction of pyruvic acid catalyzed by </w:t>
      </w:r>
      <w:r w:rsidRPr="00C731F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lactate dehydrogenase (LDH)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32C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132705" cy="491490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Lactic acid can be in the D-, L-, or DL-form, depending on the stereospecificity of LDH and the presence or absence of racemase (the microorganism may have L-LDH, D-LDH, or both).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Homolactic fermentation is performed by all members of the genera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Streptococcus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Pediococcus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and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Microbacterium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by many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Lactobacillus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species, and by some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Bacillus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certain molds (Phycomycetes: Oomycetes).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Lactic acid is widely used as a food additive. Homo- and heterolactic fermentations are involved in the production of numerous food products (cheese, sauerkraut, cured meats, vegetable brines, etc.).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lastRenderedPageBreak/>
        <w:t>3. Fungal Heterolactic Fermentation</w:t>
      </w:r>
    </w:p>
    <w:p w:rsidR="00BA164F" w:rsidRPr="00BA164F" w:rsidRDefault="00BA164F" w:rsidP="00C731F0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Among molds,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Rhizopus oryzae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 a special case. When cultivated aerobically, it produces a mixture of lactic acid, acetic acid, and CO</w:t>
      </w:r>
      <w:r w:rsidRPr="00BA164F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 under anaerobic conditions, it produces a mixture of lactic acid, ethanol, and CO</w:t>
      </w:r>
      <w:r w:rsidRPr="00BA164F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C731F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These products are identical to those obtained during the heterolactic fermentation of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Leuconostoc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species, but the mechanism differs: glucose degradation proceeds through glycolysis.</w:t>
      </w: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32C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1266964"/>
            <wp:effectExtent l="1905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2432CA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 both cases, the lactic acid produced is the D-form.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4. Mixed Acid and Butylene Glycolic Fermentations</w:t>
      </w:r>
    </w:p>
    <w:p w:rsidR="00BA164F" w:rsidRPr="00BA164F" w:rsidRDefault="00BA164F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Mixed acid fermentation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 carried out by enterobacteria belonging to the genera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Escherichia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Salmonella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Proteus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Shigella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and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Yersinia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. It also occurs in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Vibrio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some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Aeromonas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species.</w:t>
      </w:r>
      <w:r w:rsid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It is characterized by the production of ethanol and several organic acids: lactic, acetic, succinic, and formic acids.</w:t>
      </w:r>
      <w:r w:rsid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Some species (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Escherichia coli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Proteus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certain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Salmonella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) possess </w:t>
      </w:r>
      <w:r w:rsidRPr="00C731F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formate hydrogen lyase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which decomposes formic acid into H</w:t>
      </w:r>
      <w:r w:rsidRPr="00BA164F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CO</w:t>
      </w:r>
      <w:r w:rsidRPr="00BA164F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BA164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at neutral or acidic pH:</w:t>
      </w: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32C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66490" cy="483235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32CA">
        <w:rPr>
          <w:rStyle w:val="lev"/>
          <w:rFonts w:asciiTheme="majorBidi" w:hAnsiTheme="majorBidi" w:cstheme="majorBidi"/>
          <w:sz w:val="24"/>
          <w:szCs w:val="24"/>
          <w:lang w:val="en-US"/>
        </w:rPr>
        <w:t>Butylene glycol fermentation</w:t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t xml:space="preserve"> is performed by members of the genera </w:t>
      </w:r>
      <w:r w:rsidRPr="002432CA">
        <w:rPr>
          <w:rStyle w:val="Accentuation"/>
          <w:rFonts w:asciiTheme="majorBidi" w:hAnsiTheme="majorBidi" w:cstheme="majorBidi"/>
          <w:sz w:val="24"/>
          <w:szCs w:val="24"/>
          <w:lang w:val="en-US"/>
        </w:rPr>
        <w:t>Enterobacter</w:t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2432CA">
        <w:rPr>
          <w:rStyle w:val="Accentuation"/>
          <w:rFonts w:asciiTheme="majorBidi" w:hAnsiTheme="majorBidi" w:cstheme="majorBidi"/>
          <w:sz w:val="24"/>
          <w:szCs w:val="24"/>
          <w:lang w:val="en-US"/>
        </w:rPr>
        <w:t>Klebsiella</w:t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2432CA">
        <w:rPr>
          <w:rStyle w:val="Accentuation"/>
          <w:rFonts w:asciiTheme="majorBidi" w:hAnsiTheme="majorBidi" w:cstheme="majorBidi"/>
          <w:sz w:val="24"/>
          <w:szCs w:val="24"/>
          <w:lang w:val="en-US"/>
        </w:rPr>
        <w:t>Serratia</w:t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t xml:space="preserve"> (enterobacteria), and also by some </w:t>
      </w:r>
      <w:r w:rsidRPr="002432CA">
        <w:rPr>
          <w:rStyle w:val="Accentuation"/>
          <w:rFonts w:asciiTheme="majorBidi" w:hAnsiTheme="majorBidi" w:cstheme="majorBidi"/>
          <w:sz w:val="24"/>
          <w:szCs w:val="24"/>
          <w:lang w:val="en-US"/>
        </w:rPr>
        <w:t>Aeromonas</w:t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2432CA">
        <w:rPr>
          <w:rStyle w:val="Accentuation"/>
          <w:rFonts w:asciiTheme="majorBidi" w:hAnsiTheme="majorBidi" w:cstheme="majorBidi"/>
          <w:sz w:val="24"/>
          <w:szCs w:val="24"/>
          <w:lang w:val="en-US"/>
        </w:rPr>
        <w:t>Bacillus</w:t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br/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It produces the same acids as mixed acid fermentation but also forms </w:t>
      </w:r>
      <w:r w:rsidRPr="002432CA">
        <w:rPr>
          <w:rStyle w:val="lev"/>
          <w:rFonts w:asciiTheme="majorBidi" w:hAnsiTheme="majorBidi" w:cstheme="majorBidi"/>
          <w:sz w:val="24"/>
          <w:szCs w:val="24"/>
          <w:lang w:val="en-US"/>
        </w:rPr>
        <w:t>2,3-butanediol</w:t>
      </w:r>
      <w:r w:rsidRPr="002432CA">
        <w:rPr>
          <w:rFonts w:asciiTheme="majorBidi" w:hAnsiTheme="majorBidi" w:cstheme="majorBidi"/>
          <w:sz w:val="24"/>
          <w:szCs w:val="24"/>
          <w:lang w:val="en-US"/>
        </w:rPr>
        <w:t xml:space="preserve"> (or 2,3-butylene glycol), which, along with ethanol, is the main product.</w:t>
      </w: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A164F" w:rsidRPr="002432CA" w:rsidRDefault="00BA164F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32C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708499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4F" w:rsidRPr="002432CA" w:rsidRDefault="00BA164F" w:rsidP="002432C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2432CA">
        <w:rPr>
          <w:rFonts w:asciiTheme="majorBidi" w:hAnsiTheme="majorBidi" w:cstheme="majorBidi"/>
          <w:lang w:val="en-US"/>
        </w:rPr>
        <w:t>The first product (acetoin or acetylmethylcarbinol) and diacetyl are formed under aerobic conditions.</w:t>
      </w:r>
    </w:p>
    <w:p w:rsidR="002432CA" w:rsidRPr="002432CA" w:rsidRDefault="002432CA" w:rsidP="002432CA">
      <w:pPr>
        <w:pStyle w:val="Titre3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32CA">
        <w:rPr>
          <w:rStyle w:val="lev"/>
          <w:rFonts w:asciiTheme="majorBidi" w:hAnsiTheme="majorBidi" w:cstheme="majorBidi"/>
          <w:b/>
          <w:bCs/>
          <w:sz w:val="24"/>
          <w:szCs w:val="24"/>
          <w:lang w:val="en-US"/>
        </w:rPr>
        <w:t>5. Butyric and Acetone-Butylic Fermentations</w:t>
      </w:r>
    </w:p>
    <w:p w:rsidR="002432CA" w:rsidRPr="002432CA" w:rsidRDefault="002432CA" w:rsidP="00C731F0">
      <w:pPr>
        <w:pStyle w:val="NormalWeb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2432CA">
        <w:rPr>
          <w:rFonts w:asciiTheme="majorBidi" w:hAnsiTheme="majorBidi" w:cstheme="majorBidi"/>
          <w:lang w:val="en-US"/>
        </w:rPr>
        <w:t xml:space="preserve">Certain </w:t>
      </w:r>
      <w:r w:rsidRPr="002432CA">
        <w:rPr>
          <w:rStyle w:val="Accentuation"/>
          <w:rFonts w:asciiTheme="majorBidi" w:hAnsiTheme="majorBidi" w:cstheme="majorBidi"/>
          <w:lang w:val="en-US"/>
        </w:rPr>
        <w:t>Clostridium</w:t>
      </w:r>
      <w:r w:rsidRPr="002432CA">
        <w:rPr>
          <w:rFonts w:asciiTheme="majorBidi" w:hAnsiTheme="majorBidi" w:cstheme="majorBidi"/>
          <w:lang w:val="en-US"/>
        </w:rPr>
        <w:t xml:space="preserve"> species (</w:t>
      </w:r>
      <w:r w:rsidRPr="002432CA">
        <w:rPr>
          <w:rStyle w:val="Accentuation"/>
          <w:rFonts w:asciiTheme="majorBidi" w:hAnsiTheme="majorBidi" w:cstheme="majorBidi"/>
          <w:lang w:val="en-US"/>
        </w:rPr>
        <w:t>C. butyricum</w:t>
      </w:r>
      <w:r w:rsidRPr="002432CA">
        <w:rPr>
          <w:rFonts w:asciiTheme="majorBidi" w:hAnsiTheme="majorBidi" w:cstheme="majorBidi"/>
          <w:lang w:val="en-US"/>
        </w:rPr>
        <w:t xml:space="preserve">, </w:t>
      </w:r>
      <w:r w:rsidRPr="002432CA">
        <w:rPr>
          <w:rStyle w:val="Accentuation"/>
          <w:rFonts w:asciiTheme="majorBidi" w:hAnsiTheme="majorBidi" w:cstheme="majorBidi"/>
          <w:lang w:val="en-US"/>
        </w:rPr>
        <w:t>C. perfringens</w:t>
      </w:r>
      <w:r w:rsidRPr="002432CA">
        <w:rPr>
          <w:rFonts w:asciiTheme="majorBidi" w:hAnsiTheme="majorBidi" w:cstheme="majorBidi"/>
          <w:lang w:val="en-US"/>
        </w:rPr>
        <w:t xml:space="preserve">), </w:t>
      </w:r>
      <w:r w:rsidRPr="002432CA">
        <w:rPr>
          <w:rStyle w:val="Accentuation"/>
          <w:rFonts w:asciiTheme="majorBidi" w:hAnsiTheme="majorBidi" w:cstheme="majorBidi"/>
          <w:lang w:val="en-US"/>
        </w:rPr>
        <w:t>Butyribacterium</w:t>
      </w:r>
      <w:r w:rsidRPr="002432CA">
        <w:rPr>
          <w:rFonts w:asciiTheme="majorBidi" w:hAnsiTheme="majorBidi" w:cstheme="majorBidi"/>
          <w:lang w:val="en-US"/>
        </w:rPr>
        <w:t xml:space="preserve">, some </w:t>
      </w:r>
      <w:r w:rsidRPr="002432CA">
        <w:rPr>
          <w:rStyle w:val="Accentuation"/>
          <w:rFonts w:asciiTheme="majorBidi" w:hAnsiTheme="majorBidi" w:cstheme="majorBidi"/>
          <w:lang w:val="en-US"/>
        </w:rPr>
        <w:t>Serratia</w:t>
      </w:r>
      <w:r w:rsidRPr="002432CA">
        <w:rPr>
          <w:rFonts w:asciiTheme="majorBidi" w:hAnsiTheme="majorBidi" w:cstheme="majorBidi"/>
          <w:lang w:val="en-US"/>
        </w:rPr>
        <w:t xml:space="preserve">, and </w:t>
      </w:r>
      <w:r w:rsidRPr="002432CA">
        <w:rPr>
          <w:rStyle w:val="Accentuation"/>
          <w:rFonts w:asciiTheme="majorBidi" w:hAnsiTheme="majorBidi" w:cstheme="majorBidi"/>
          <w:lang w:val="en-US"/>
        </w:rPr>
        <w:t>Zymosarcina</w:t>
      </w:r>
      <w:r w:rsidRPr="002432CA">
        <w:rPr>
          <w:rFonts w:asciiTheme="majorBidi" w:hAnsiTheme="majorBidi" w:cstheme="majorBidi"/>
          <w:lang w:val="en-US"/>
        </w:rPr>
        <w:t xml:space="preserve"> produce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butyric acid</w:t>
      </w:r>
      <w:r w:rsidRPr="002432CA">
        <w:rPr>
          <w:rFonts w:asciiTheme="majorBidi" w:hAnsiTheme="majorBidi" w:cstheme="majorBidi"/>
          <w:lang w:val="en-US"/>
        </w:rPr>
        <w:t xml:space="preserve">, along with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acetic acid</w:t>
      </w:r>
      <w:r w:rsidRPr="002432CA">
        <w:rPr>
          <w:rFonts w:asciiTheme="majorBidi" w:hAnsiTheme="majorBidi" w:cstheme="majorBidi"/>
          <w:lang w:val="en-US"/>
        </w:rPr>
        <w:t xml:space="preserve">,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CO</w:t>
      </w:r>
      <w:r w:rsidRPr="002432CA">
        <w:rPr>
          <w:rStyle w:val="lev"/>
          <w:rFonts w:ascii="Cambria Math" w:hAnsi="Cambria Math" w:cstheme="majorBidi"/>
          <w:b w:val="0"/>
          <w:bCs w:val="0"/>
          <w:lang w:val="en-US"/>
        </w:rPr>
        <w:t>₂</w:t>
      </w:r>
      <w:r w:rsidRPr="002432CA">
        <w:rPr>
          <w:rFonts w:asciiTheme="majorBidi" w:hAnsiTheme="majorBidi" w:cstheme="majorBidi"/>
          <w:lang w:val="en-US"/>
        </w:rPr>
        <w:t xml:space="preserve">, and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hydrogen</w:t>
      </w:r>
      <w:r w:rsidRPr="002432CA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</w:t>
      </w:r>
      <w:r w:rsidRPr="002432CA">
        <w:rPr>
          <w:rFonts w:asciiTheme="majorBidi" w:hAnsiTheme="majorBidi" w:cstheme="majorBidi"/>
          <w:lang w:val="en-US"/>
        </w:rPr>
        <w:t>Butyric acid is formed through the</w:t>
      </w:r>
      <w:r w:rsidRPr="002432CA">
        <w:rPr>
          <w:rFonts w:asciiTheme="majorBidi" w:hAnsiTheme="majorBidi" w:cstheme="majorBidi"/>
          <w:b/>
          <w:bCs/>
          <w:lang w:val="en-US"/>
        </w:rPr>
        <w:t xml:space="preserve">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condensation of two molecules of acetyl-CoA</w:t>
      </w:r>
      <w:r w:rsidRPr="002432CA">
        <w:rPr>
          <w:rFonts w:asciiTheme="majorBidi" w:hAnsiTheme="majorBidi" w:cstheme="majorBidi"/>
          <w:lang w:val="en-US"/>
        </w:rPr>
        <w:t xml:space="preserve"> into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acetoacetate</w:t>
      </w:r>
      <w:r w:rsidRPr="002432CA">
        <w:rPr>
          <w:rFonts w:asciiTheme="majorBidi" w:hAnsiTheme="majorBidi" w:cstheme="majorBidi"/>
          <w:lang w:val="en-US"/>
        </w:rPr>
        <w:t xml:space="preserve">, which is then reduced to </w:t>
      </w:r>
      <w:r w:rsidRPr="002432CA">
        <w:rPr>
          <w:rStyle w:val="lev"/>
          <w:rFonts w:asciiTheme="majorBidi" w:hAnsiTheme="majorBidi" w:cstheme="majorBidi"/>
          <w:b w:val="0"/>
          <w:bCs w:val="0"/>
        </w:rPr>
        <w:t>β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-hydroxybutyrate</w:t>
      </w:r>
      <w:r w:rsidRPr="002432CA">
        <w:rPr>
          <w:rFonts w:asciiTheme="majorBidi" w:hAnsiTheme="majorBidi" w:cstheme="majorBidi"/>
          <w:lang w:val="en-US"/>
        </w:rPr>
        <w:t xml:space="preserve"> and finally converted to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butyrate</w:t>
      </w:r>
      <w:r w:rsidRPr="002432CA">
        <w:rPr>
          <w:rFonts w:asciiTheme="majorBidi" w:hAnsiTheme="majorBidi" w:cstheme="majorBidi"/>
          <w:b/>
          <w:bCs/>
          <w:lang w:val="en-US"/>
        </w:rPr>
        <w:t>.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Pr="002432CA">
        <w:rPr>
          <w:rFonts w:asciiTheme="majorBidi" w:hAnsiTheme="majorBidi" w:cstheme="majorBidi"/>
          <w:lang w:val="en-US"/>
        </w:rPr>
        <w:t xml:space="preserve">Part of the acetyl-CoA, formed from pyruvate, is used to produce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ATP and acetic acid</w:t>
      </w:r>
      <w:r w:rsidRPr="002432CA">
        <w:rPr>
          <w:rFonts w:asciiTheme="majorBidi" w:hAnsiTheme="majorBidi" w:cstheme="majorBidi"/>
          <w:lang w:val="en-US"/>
        </w:rPr>
        <w:t>.</w:t>
      </w:r>
    </w:p>
    <w:p w:rsidR="002432CA" w:rsidRPr="002432CA" w:rsidRDefault="002432CA" w:rsidP="002432C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2432CA">
        <w:rPr>
          <w:rFonts w:asciiTheme="majorBidi" w:hAnsiTheme="majorBidi" w:cstheme="majorBidi"/>
          <w:lang w:val="en-US"/>
        </w:rPr>
        <w:t xml:space="preserve">In </w:t>
      </w:r>
      <w:r w:rsidRPr="002432CA">
        <w:rPr>
          <w:rStyle w:val="Accentuation"/>
          <w:rFonts w:asciiTheme="majorBidi" w:hAnsiTheme="majorBidi" w:cstheme="majorBidi"/>
          <w:lang w:val="en-US"/>
        </w:rPr>
        <w:t>Clostridium</w:t>
      </w:r>
      <w:r w:rsidRPr="002432CA">
        <w:rPr>
          <w:rFonts w:asciiTheme="majorBidi" w:hAnsiTheme="majorBidi" w:cstheme="majorBidi"/>
          <w:lang w:val="en-US"/>
        </w:rPr>
        <w:t xml:space="preserve">,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pyruvate decarboxylation</w:t>
      </w:r>
      <w:r w:rsidRPr="002432CA">
        <w:rPr>
          <w:rFonts w:asciiTheme="majorBidi" w:hAnsiTheme="majorBidi" w:cstheme="majorBidi"/>
          <w:lang w:val="en-US"/>
        </w:rPr>
        <w:t xml:space="preserve"> occurs through the </w:t>
      </w:r>
      <w:r w:rsidRPr="002432CA">
        <w:rPr>
          <w:rStyle w:val="lev"/>
          <w:rFonts w:asciiTheme="majorBidi" w:hAnsiTheme="majorBidi" w:cstheme="majorBidi"/>
          <w:b w:val="0"/>
          <w:bCs w:val="0"/>
          <w:lang w:val="en-US"/>
        </w:rPr>
        <w:t>phosphoroclastic reaction</w:t>
      </w:r>
      <w:r w:rsidRPr="002432CA">
        <w:rPr>
          <w:rFonts w:asciiTheme="majorBidi" w:hAnsiTheme="majorBidi" w:cstheme="majorBidi"/>
          <w:lang w:val="en-US"/>
        </w:rPr>
        <w:t xml:space="preserve"> as follows:</w:t>
      </w:r>
    </w:p>
    <w:p w:rsidR="00BB3F0A" w:rsidRDefault="002432CA" w:rsidP="002432CA">
      <w:pPr>
        <w:spacing w:line="360" w:lineRule="auto"/>
        <w:rPr>
          <w:rStyle w:val="lev"/>
          <w:rFonts w:cstheme="majorBidi"/>
          <w:b w:val="0"/>
          <w:bCs w:val="0"/>
          <w:sz w:val="24"/>
          <w:szCs w:val="24"/>
          <w:lang w:val="en-US"/>
        </w:rPr>
      </w:pPr>
      <w:r w:rsidRPr="002432CA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>Pyruvate + CoA → acetyl-CoA + CO</w:t>
      </w:r>
      <w:r w:rsidRPr="002432CA">
        <w:rPr>
          <w:rStyle w:val="lev"/>
          <w:rFonts w:cstheme="majorBidi"/>
          <w:b w:val="0"/>
          <w:bCs w:val="0"/>
          <w:sz w:val="24"/>
          <w:szCs w:val="24"/>
          <w:lang w:val="en-US"/>
        </w:rPr>
        <w:t>₂</w:t>
      </w:r>
      <w:r w:rsidRPr="002432CA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+ H</w:t>
      </w:r>
      <w:r w:rsidRPr="002432CA">
        <w:rPr>
          <w:rStyle w:val="lev"/>
          <w:rFonts w:cstheme="majorBidi"/>
          <w:b w:val="0"/>
          <w:bCs w:val="0"/>
          <w:sz w:val="24"/>
          <w:szCs w:val="24"/>
          <w:lang w:val="en-US"/>
        </w:rPr>
        <w:t>₂</w:t>
      </w:r>
    </w:p>
    <w:p w:rsidR="002432CA" w:rsidRPr="002432CA" w:rsidRDefault="00BB3F0A" w:rsidP="00BB3F0A">
      <w:pPr>
        <w:spacing w:line="360" w:lineRule="auto"/>
        <w:rPr>
          <w:rStyle w:val="lev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312795" cy="1837690"/>
            <wp:effectExtent l="19050" t="0" r="190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2CA" w:rsidRPr="002432CA" w:rsidRDefault="002432CA" w:rsidP="002432CA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In addition to the products of butyric fermentation, certain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Clostridium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species can also produce alcohols (butanol, ethanol, isopropanol) and acetone.</w:t>
      </w:r>
    </w:p>
    <w:p w:rsidR="002432CA" w:rsidRPr="002432CA" w:rsidRDefault="002432CA" w:rsidP="002432CA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lastRenderedPageBreak/>
        <w:t>6. Propionic Fermentations</w:t>
      </w:r>
    </w:p>
    <w:p w:rsidR="002432CA" w:rsidRDefault="002432CA" w:rsidP="00C731F0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Various strict or facultative anaerobic bacteria (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Propionibacterium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certain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Clostridium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Corynebacterium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Neisseria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Veillonella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etc.) produce propionic acid, acetic acid, CO</w:t>
      </w:r>
      <w:r w:rsidRPr="002432CA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and succinic acid through fermentation.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Propionic acid is formed by the reduction of pyruvate, with lactic acid acting as an intermediate. However, it can also be produced by the decarboxylation of succinic acid, as in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Propionibacterium pentosaceum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Propionic fermentation can also occur starting from lactate, with pyruvate serving as an intermediate — except in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Clostridium propionicum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where the intermediate is acrylic acid.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2432C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Propionibacterium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species play an important role in the digestive tract of ruminants. They also participate in the production of cooked-curd cheeses, such as Swiss-type cheeses, where their metabolism is responsible for the formation of CO</w:t>
      </w:r>
      <w:r w:rsidRPr="002432CA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2432C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bubbles that create the characteristic holes and flavor.</w:t>
      </w:r>
    </w:p>
    <w:p w:rsidR="00BB3F0A" w:rsidRPr="002432CA" w:rsidRDefault="00BB3F0A" w:rsidP="00C731F0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511675" cy="474345"/>
            <wp:effectExtent l="19050" t="0" r="317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2CA" w:rsidRPr="002432CA" w:rsidRDefault="002432CA" w:rsidP="002432C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2432CA" w:rsidRPr="002432CA" w:rsidSect="007145E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CBD" w:rsidRDefault="004A2CBD" w:rsidP="00BA164F">
      <w:pPr>
        <w:spacing w:after="0" w:line="240" w:lineRule="auto"/>
      </w:pPr>
      <w:r>
        <w:separator/>
      </w:r>
    </w:p>
  </w:endnote>
  <w:endnote w:type="continuationSeparator" w:id="1">
    <w:p w:rsidR="004A2CBD" w:rsidRDefault="004A2CBD" w:rsidP="00BA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657"/>
      <w:docPartObj>
        <w:docPartGallery w:val="Page Numbers (Bottom of Page)"/>
        <w:docPartUnique/>
      </w:docPartObj>
    </w:sdtPr>
    <w:sdtContent>
      <w:p w:rsidR="00BA164F" w:rsidRDefault="00BA164F">
        <w:pPr>
          <w:pStyle w:val="Pieddepage"/>
          <w:jc w:val="center"/>
        </w:pPr>
        <w:fldSimple w:instr=" PAGE   \* MERGEFORMAT ">
          <w:r w:rsidR="00BB3F0A">
            <w:rPr>
              <w:noProof/>
            </w:rPr>
            <w:t>5</w:t>
          </w:r>
        </w:fldSimple>
      </w:p>
    </w:sdtContent>
  </w:sdt>
  <w:p w:rsidR="00BA164F" w:rsidRDefault="00BA16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CBD" w:rsidRDefault="004A2CBD" w:rsidP="00BA164F">
      <w:pPr>
        <w:spacing w:after="0" w:line="240" w:lineRule="auto"/>
      </w:pPr>
      <w:r>
        <w:separator/>
      </w:r>
    </w:p>
  </w:footnote>
  <w:footnote w:type="continuationSeparator" w:id="1">
    <w:p w:rsidR="004A2CBD" w:rsidRDefault="004A2CBD" w:rsidP="00BA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CA" w:rsidRDefault="002432CA" w:rsidP="002432CA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>University Center Mila</w:t>
    </w:r>
    <w:r>
      <w:rPr>
        <w:i/>
        <w:iCs/>
        <w:sz w:val="20"/>
        <w:szCs w:val="20"/>
        <w:lang w:val="en-US"/>
      </w:rPr>
      <w:br/>
      <w:t xml:space="preserve">Module: Microbial biochemistry                                                                    </w:t>
    </w:r>
    <w:r>
      <w:rPr>
        <w:i/>
        <w:iCs/>
        <w:sz w:val="22"/>
        <w:szCs w:val="22"/>
        <w:lang w:val="en-US"/>
      </w:rPr>
      <w:t>Dr. RABHI Nour El Houda</w:t>
    </w:r>
    <w:r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2432CA" w:rsidRDefault="002432CA" w:rsidP="002432CA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 xml:space="preserve">Level: 3 rd Year biotechnology and health </w:t>
    </w:r>
  </w:p>
  <w:p w:rsidR="002432CA" w:rsidRPr="00B0782E" w:rsidRDefault="002432CA" w:rsidP="002432CA">
    <w:pPr>
      <w:pStyle w:val="En-tte"/>
      <w:rPr>
        <w:lang w:val="en-US"/>
      </w:rPr>
    </w:pPr>
  </w:p>
  <w:p w:rsidR="002432CA" w:rsidRPr="002432CA" w:rsidRDefault="002432CA">
    <w:pPr>
      <w:pStyle w:val="En-tt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64F"/>
    <w:rsid w:val="002432CA"/>
    <w:rsid w:val="004A2CBD"/>
    <w:rsid w:val="007145E6"/>
    <w:rsid w:val="00BA164F"/>
    <w:rsid w:val="00BB3F0A"/>
    <w:rsid w:val="00C731F0"/>
    <w:rsid w:val="00EC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E6"/>
  </w:style>
  <w:style w:type="paragraph" w:styleId="Titre2">
    <w:name w:val="heading 2"/>
    <w:basedOn w:val="Normal"/>
    <w:link w:val="Titre2Car"/>
    <w:uiPriority w:val="9"/>
    <w:qFormat/>
    <w:rsid w:val="00BA1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A1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A164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A164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A16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A164F"/>
    <w:rPr>
      <w:i/>
      <w:iCs/>
    </w:rPr>
  </w:style>
  <w:style w:type="character" w:customStyle="1" w:styleId="katex-mathml">
    <w:name w:val="katex-mathml"/>
    <w:basedOn w:val="Policepardfaut"/>
    <w:rsid w:val="00BA164F"/>
  </w:style>
  <w:style w:type="character" w:customStyle="1" w:styleId="mord">
    <w:name w:val="mord"/>
    <w:basedOn w:val="Policepardfaut"/>
    <w:rsid w:val="00BA164F"/>
  </w:style>
  <w:style w:type="character" w:customStyle="1" w:styleId="vlist-s">
    <w:name w:val="vlist-s"/>
    <w:basedOn w:val="Policepardfaut"/>
    <w:rsid w:val="00BA164F"/>
  </w:style>
  <w:style w:type="paragraph" w:styleId="En-tte">
    <w:name w:val="header"/>
    <w:basedOn w:val="Normal"/>
    <w:link w:val="En-tteCar"/>
    <w:uiPriority w:val="99"/>
    <w:semiHidden/>
    <w:unhideWhenUsed/>
    <w:rsid w:val="00BA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164F"/>
  </w:style>
  <w:style w:type="paragraph" w:styleId="Pieddepage">
    <w:name w:val="footer"/>
    <w:basedOn w:val="Normal"/>
    <w:link w:val="PieddepageCar"/>
    <w:uiPriority w:val="99"/>
    <w:unhideWhenUsed/>
    <w:rsid w:val="00BA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03CB"/>
    <w:rsid w:val="001403CB"/>
    <w:rsid w:val="0026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7F661E32044D7687B1F363BA78A135">
    <w:name w:val="6A7F661E32044D7687B1F363BA78A135"/>
    <w:rsid w:val="001403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2</cp:revision>
  <cp:lastPrinted>2025-10-23T13:29:00Z</cp:lastPrinted>
  <dcterms:created xsi:type="dcterms:W3CDTF">2025-10-23T12:55:00Z</dcterms:created>
  <dcterms:modified xsi:type="dcterms:W3CDTF">2025-10-23T14:11:00Z</dcterms:modified>
</cp:coreProperties>
</file>