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29" w:rsidRPr="007A6329" w:rsidRDefault="00B0782E" w:rsidP="00B0782E">
      <w:pPr>
        <w:spacing w:before="100" w:beforeAutospacing="1" w:after="100" w:afterAutospacing="1" w:line="36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The Krebs Cycle</w:t>
      </w:r>
    </w:p>
    <w:p w:rsidR="007A6329" w:rsidRPr="007A6329" w:rsidRDefault="007A6329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Krebs cycle (also known as the citric acid cycle or the tricarboxylic acid cycle) is a sequence of oxidation reactions that convert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into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It is called a cycle because it begins with the condensation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with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ends with the regeneration of oxaloacetate.</w:t>
      </w:r>
      <w:r w:rsidR="00014838"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nine reactions of the cycle can be grouped into three main stages: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preparation, energy release, and regeneration</w:t>
      </w:r>
      <w:r w:rsidR="00014838"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(Fig.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).</w:t>
      </w:r>
    </w:p>
    <w:p w:rsidR="007A6329" w:rsidRPr="007A6329" w:rsidRDefault="007A6329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1. Preparation Stage</w:t>
      </w:r>
    </w:p>
    <w:p w:rsidR="007A6329" w:rsidRPr="007A6329" w:rsidRDefault="007A6329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This stage consists of three reactions: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condenses with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form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citric acid (citrate)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next two reactions involve the rearrangement of the hydroxyl (–OH) group of citrate, resulting in the formation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isocitric acid (isocitrate)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7A6329" w:rsidRPr="007A6329" w:rsidRDefault="007A6329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2. Energy Release Stage</w:t>
      </w:r>
    </w:p>
    <w:p w:rsidR="007A6329" w:rsidRPr="007A6329" w:rsidRDefault="007A6329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This stage includes four reactions: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first reaction releases two electrons that reduce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NAD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⁺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NADH + H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⁺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accompanied by the elimination of one molecule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(a decarboxylation reaction) and the formation of </w:t>
      </w:r>
      <w:r w:rsidRPr="00014838">
        <w:rPr>
          <w:rFonts w:asciiTheme="majorBidi" w:eastAsia="Times New Roman" w:hAnsiTheme="majorBidi" w:cstheme="majorBidi"/>
          <w:sz w:val="24"/>
          <w:szCs w:val="24"/>
          <w:lang w:eastAsia="fr-FR"/>
        </w:rPr>
        <w:t>α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-ketoglutarate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14838">
        <w:rPr>
          <w:rFonts w:asciiTheme="majorBidi" w:eastAsia="Times New Roman" w:hAnsiTheme="majorBidi" w:cstheme="majorBidi"/>
          <w:sz w:val="24"/>
          <w:szCs w:val="24"/>
          <w:lang w:eastAsia="fr-FR"/>
        </w:rPr>
        <w:t>α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-Ketoglutarate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then undergoes oxidative decarboxylation to produce a compound that combines with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coenzyme 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form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reaction also generates one molecule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NADH + H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⁺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high-energy bond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cleaved, releasing one molecule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GTP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forming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succinic acid (succinate)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Succinic acid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then oxidized to form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fumaric acid (fumarate)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during which one molecule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FAD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reduced to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FADH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7A6329" w:rsidRPr="007A6329" w:rsidRDefault="007A6329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3. Regeneration Stage</w:t>
      </w:r>
    </w:p>
    <w:p w:rsidR="007A6329" w:rsidRPr="007A6329" w:rsidRDefault="007A6329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final stage of the cycle occurs through two reactions: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One molecule of water is added to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fumaric acid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form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malic acid (malate)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molecule is then oxidized to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The oxidation reaction also releases two electrons that reduce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NAD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⁺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NADH + H</w:t>
      </w:r>
      <w:r w:rsidRPr="0001483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⁺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7A6329" w:rsidRPr="00014838" w:rsidRDefault="007A6329" w:rsidP="00630D06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With the regeneration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the cycle can start again with the incorporation of another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molecule.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presence of </w:t>
      </w: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7A632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therefore essential for the initiation of the cycle.</w:t>
      </w:r>
      <w:r w:rsid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074452" w:rsidRDefault="007A6329" w:rsidP="00074452">
      <w:pPr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220116" cy="4823554"/>
            <wp:effectExtent l="819150" t="0" r="799434" b="0"/>
            <wp:docPr id="11" name="Image 11" descr="https://img.brainkart.com/imagebk34/dGYdp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.brainkart.com/imagebk34/dGYdpX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2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4109" cy="48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29" w:rsidRPr="007A6329" w:rsidRDefault="007A6329" w:rsidP="00074452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Overall equation of the Krebs cycle:</w:t>
      </w:r>
    </w:p>
    <w:p w:rsidR="007A6329" w:rsidRPr="00014838" w:rsidRDefault="007A6329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eastAsia="fr-FR"/>
        </w:rPr>
        <w:t>Acetyl-CoA+3 NAD++FAD+GDP+Pi+2 H2O→2 CO2+3 NADH+3 H++FADH2+GTP+CoA−SH</w:t>
      </w:r>
    </w:p>
    <w:p w:rsidR="007A6329" w:rsidRPr="00014838" w:rsidRDefault="007A6329" w:rsidP="00014838">
      <w:pPr>
        <w:pStyle w:val="Titre2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14838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The Amphibolic Nature of the Krebs Cycle</w:t>
      </w:r>
    </w:p>
    <w:p w:rsidR="007A6329" w:rsidRPr="00014838" w:rsidRDefault="007A6329" w:rsidP="00014838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014838">
        <w:rPr>
          <w:rFonts w:asciiTheme="majorBidi" w:hAnsiTheme="majorBidi" w:cstheme="majorBidi"/>
          <w:lang w:val="en-US"/>
        </w:rPr>
        <w:t xml:space="preserve">The Krebs cycle functions not only in the direction of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catabolism</w:t>
      </w:r>
      <w:r w:rsidRPr="00014838">
        <w:rPr>
          <w:rFonts w:asciiTheme="majorBidi" w:hAnsiTheme="majorBidi" w:cstheme="majorBidi"/>
          <w:lang w:val="en-US"/>
        </w:rPr>
        <w:t xml:space="preserve">, serving as the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terminal oxidative pathway</w:t>
      </w:r>
      <w:r w:rsidRPr="00014838">
        <w:rPr>
          <w:rFonts w:asciiTheme="majorBidi" w:hAnsiTheme="majorBidi" w:cstheme="majorBidi"/>
          <w:lang w:val="en-US"/>
        </w:rPr>
        <w:t xml:space="preserve"> for nutrient degradation, but also in the direction of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anabolism</w:t>
      </w:r>
      <w:r w:rsidRPr="00014838">
        <w:rPr>
          <w:rFonts w:asciiTheme="majorBidi" w:hAnsiTheme="majorBidi" w:cstheme="majorBidi"/>
          <w:lang w:val="en-US"/>
        </w:rPr>
        <w:t xml:space="preserve">, since many of its intermediates (such as </w:t>
      </w:r>
      <w:r w:rsidRPr="00014838">
        <w:rPr>
          <w:rStyle w:val="lev"/>
          <w:rFonts w:asciiTheme="majorBidi" w:hAnsiTheme="majorBidi" w:cstheme="majorBidi"/>
          <w:b w:val="0"/>
          <w:bCs w:val="0"/>
        </w:rPr>
        <w:t>α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-ketoglutarate</w:t>
      </w:r>
      <w:r w:rsidRPr="00014838">
        <w:rPr>
          <w:rFonts w:asciiTheme="majorBidi" w:hAnsiTheme="majorBidi" w:cstheme="majorBidi"/>
          <w:lang w:val="en-US"/>
        </w:rPr>
        <w:t xml:space="preserve">,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oxaloacetate</w:t>
      </w:r>
      <w:r w:rsidRPr="00014838">
        <w:rPr>
          <w:rFonts w:asciiTheme="majorBidi" w:hAnsiTheme="majorBidi" w:cstheme="majorBidi"/>
          <w:lang w:val="en-US"/>
        </w:rPr>
        <w:t xml:space="preserve">, and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succinyl-CoA</w:t>
      </w:r>
      <w:r w:rsidRPr="00014838">
        <w:rPr>
          <w:rFonts w:asciiTheme="majorBidi" w:hAnsiTheme="majorBidi" w:cstheme="majorBidi"/>
          <w:lang w:val="en-US"/>
        </w:rPr>
        <w:t xml:space="preserve">) act as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precursors for the synthesis</w:t>
      </w:r>
      <w:r w:rsidRPr="00014838">
        <w:rPr>
          <w:rFonts w:asciiTheme="majorBidi" w:hAnsiTheme="majorBidi" w:cstheme="majorBidi"/>
          <w:lang w:val="en-US"/>
        </w:rPr>
        <w:t xml:space="preserve"> of a wide variety of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cellular metabolites</w:t>
      </w:r>
      <w:r w:rsidRPr="00014838">
        <w:rPr>
          <w:rFonts w:asciiTheme="majorBidi" w:hAnsiTheme="majorBidi" w:cstheme="majorBidi"/>
          <w:lang w:val="en-US"/>
        </w:rPr>
        <w:t xml:space="preserve"> (including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amino acids</w:t>
      </w:r>
      <w:r w:rsidRPr="00014838">
        <w:rPr>
          <w:rFonts w:asciiTheme="majorBidi" w:hAnsiTheme="majorBidi" w:cstheme="majorBidi"/>
          <w:lang w:val="en-US"/>
        </w:rPr>
        <w:t xml:space="preserve">, </w:t>
      </w:r>
      <w:r w:rsidRPr="00014838">
        <w:rPr>
          <w:rStyle w:val="lev"/>
          <w:rFonts w:asciiTheme="majorBidi" w:hAnsiTheme="majorBidi" w:cstheme="majorBidi"/>
          <w:b w:val="0"/>
          <w:bCs w:val="0"/>
          <w:lang w:val="en-US"/>
        </w:rPr>
        <w:t>porphyrins</w:t>
      </w:r>
      <w:r w:rsidRPr="00014838">
        <w:rPr>
          <w:rFonts w:asciiTheme="majorBidi" w:hAnsiTheme="majorBidi" w:cstheme="majorBidi"/>
          <w:lang w:val="en-US"/>
        </w:rPr>
        <w:t>, and other essential biomolecules) (Fig. ).</w:t>
      </w:r>
    </w:p>
    <w:p w:rsidR="007A6329" w:rsidRPr="00014838" w:rsidRDefault="007A6329" w:rsidP="00014838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014838">
        <w:rPr>
          <w:rFonts w:asciiTheme="majorBidi" w:hAnsiTheme="majorBidi" w:cstheme="majorBidi"/>
          <w:lang w:val="en-US"/>
        </w:rPr>
        <w:t xml:space="preserve">This dual catabolic and anabolic role gives the Krebs cycle its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amphibolic character</w:t>
      </w:r>
      <w:r w:rsidRPr="00014838">
        <w:rPr>
          <w:rFonts w:asciiTheme="majorBidi" w:hAnsiTheme="majorBidi" w:cstheme="majorBidi"/>
          <w:lang w:val="en-US"/>
        </w:rPr>
        <w:t>.</w:t>
      </w:r>
    </w:p>
    <w:p w:rsidR="007A6329" w:rsidRPr="00BF0B83" w:rsidRDefault="007A6329" w:rsidP="00BF0B83">
      <w:pPr>
        <w:pStyle w:val="NormalWeb"/>
        <w:spacing w:line="360" w:lineRule="auto"/>
        <w:rPr>
          <w:rFonts w:asciiTheme="majorBidi" w:hAnsiTheme="majorBidi" w:cstheme="majorBidi"/>
          <w:b/>
          <w:bCs/>
          <w:lang w:val="en-US"/>
        </w:rPr>
      </w:pPr>
      <w:r w:rsidRPr="00014838">
        <w:rPr>
          <w:rFonts w:asciiTheme="majorBidi" w:hAnsiTheme="majorBidi" w:cstheme="majorBidi"/>
          <w:lang w:val="en-US"/>
        </w:rPr>
        <w:lastRenderedPageBreak/>
        <w:t xml:space="preserve">However, if these intermediates are continuously withdrawn from the cycle for biosynthetic purposes, the cycle could come to a halt if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oxaloacetate</w:t>
      </w:r>
      <w:r w:rsidRPr="00014838">
        <w:rPr>
          <w:rFonts w:asciiTheme="majorBidi" w:hAnsiTheme="majorBidi" w:cstheme="majorBidi"/>
          <w:lang w:val="en-US"/>
        </w:rPr>
        <w:t xml:space="preserve"> is not regenerated.</w:t>
      </w:r>
      <w:r w:rsidR="00BF0B83">
        <w:rPr>
          <w:rFonts w:asciiTheme="majorBidi" w:hAnsiTheme="majorBidi" w:cstheme="majorBidi"/>
          <w:lang w:val="en-US"/>
        </w:rPr>
        <w:t xml:space="preserve"> </w:t>
      </w:r>
      <w:r w:rsidRPr="00014838">
        <w:rPr>
          <w:rFonts w:asciiTheme="majorBidi" w:hAnsiTheme="majorBidi" w:cstheme="majorBidi"/>
          <w:lang w:val="en-US"/>
        </w:rPr>
        <w:t xml:space="preserve">To compensate for such losses,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anaplerotic reactions</w:t>
      </w:r>
      <w:r w:rsidRPr="00014838">
        <w:rPr>
          <w:rFonts w:asciiTheme="majorBidi" w:hAnsiTheme="majorBidi" w:cstheme="majorBidi"/>
          <w:lang w:val="en-US"/>
        </w:rPr>
        <w:t xml:space="preserve"> take place; they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replenish the cycle</w:t>
      </w:r>
      <w:r w:rsidRPr="00014838">
        <w:rPr>
          <w:rStyle w:val="lev"/>
          <w:rFonts w:asciiTheme="majorBidi" w:hAnsiTheme="majorBidi" w:cstheme="majorBidi"/>
          <w:lang w:val="en-US"/>
        </w:rPr>
        <w:t xml:space="preserve">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with intermediate</w:t>
      </w:r>
      <w:r w:rsidRPr="00014838">
        <w:rPr>
          <w:rStyle w:val="lev"/>
          <w:rFonts w:asciiTheme="majorBidi" w:hAnsiTheme="majorBidi" w:cstheme="majorBidi"/>
          <w:lang w:val="en-US"/>
        </w:rPr>
        <w:t xml:space="preserve">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compounds</w:t>
      </w:r>
      <w:r w:rsidRPr="00014838">
        <w:rPr>
          <w:rFonts w:asciiTheme="majorBidi" w:hAnsiTheme="majorBidi" w:cstheme="majorBidi"/>
          <w:lang w:val="en-US"/>
        </w:rPr>
        <w:t xml:space="preserve"> required for its proper operation.</w:t>
      </w:r>
      <w:r w:rsidR="00BF0B83">
        <w:rPr>
          <w:rFonts w:asciiTheme="majorBidi" w:hAnsiTheme="majorBidi" w:cstheme="majorBidi"/>
          <w:lang w:val="en-US"/>
        </w:rPr>
        <w:t xml:space="preserve"> </w:t>
      </w:r>
      <w:r w:rsidRPr="00014838">
        <w:rPr>
          <w:rFonts w:asciiTheme="majorBidi" w:hAnsiTheme="majorBidi" w:cstheme="majorBidi"/>
          <w:lang w:val="en-US"/>
        </w:rPr>
        <w:t xml:space="preserve">These anaplerotic reactions are particularly important in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organisms that grow on simple carbon compounds</w:t>
      </w:r>
      <w:r w:rsidRPr="00014838">
        <w:rPr>
          <w:rFonts w:asciiTheme="majorBidi" w:hAnsiTheme="majorBidi" w:cstheme="majorBidi"/>
          <w:lang w:val="en-US"/>
        </w:rPr>
        <w:t xml:space="preserve"> (C</w:t>
      </w:r>
      <w:r w:rsidRPr="00014838">
        <w:rPr>
          <w:rFonts w:ascii="Cambria Math" w:hAnsi="Cambria Math" w:cstheme="majorBidi"/>
          <w:lang w:val="en-US"/>
        </w:rPr>
        <w:t>₁</w:t>
      </w:r>
      <w:r w:rsidRPr="00014838">
        <w:rPr>
          <w:rFonts w:asciiTheme="majorBidi" w:hAnsiTheme="majorBidi" w:cstheme="majorBidi"/>
          <w:lang w:val="en-US"/>
        </w:rPr>
        <w:t xml:space="preserve"> and C</w:t>
      </w:r>
      <w:r w:rsidRPr="00014838">
        <w:rPr>
          <w:rFonts w:ascii="Cambria Math" w:hAnsi="Cambria Math" w:cstheme="majorBidi"/>
          <w:lang w:val="en-US"/>
        </w:rPr>
        <w:t>₂</w:t>
      </w:r>
      <w:r w:rsidRPr="00014838">
        <w:rPr>
          <w:rFonts w:asciiTheme="majorBidi" w:hAnsiTheme="majorBidi" w:cstheme="majorBidi"/>
          <w:lang w:val="en-US"/>
        </w:rPr>
        <w:t xml:space="preserve">) or on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substrates metabolized through such simple compounds</w:t>
      </w:r>
      <w:r w:rsidRPr="00014838">
        <w:rPr>
          <w:rFonts w:asciiTheme="majorBidi" w:hAnsiTheme="majorBidi" w:cstheme="majorBidi"/>
          <w:lang w:val="en-US"/>
        </w:rPr>
        <w:t xml:space="preserve">, ensuring the continuity of both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energy production</w:t>
      </w:r>
      <w:r w:rsidRPr="00BF0B83">
        <w:rPr>
          <w:rFonts w:asciiTheme="majorBidi" w:hAnsiTheme="majorBidi" w:cstheme="majorBidi"/>
          <w:b/>
          <w:bCs/>
          <w:lang w:val="en-US"/>
        </w:rPr>
        <w:t xml:space="preserve"> </w:t>
      </w:r>
      <w:r w:rsidRPr="00BF0B83">
        <w:rPr>
          <w:rFonts w:asciiTheme="majorBidi" w:hAnsiTheme="majorBidi" w:cstheme="majorBidi"/>
          <w:lang w:val="en-US"/>
        </w:rPr>
        <w:t>and</w:t>
      </w:r>
      <w:r w:rsidRPr="00BF0B83">
        <w:rPr>
          <w:rFonts w:asciiTheme="majorBidi" w:hAnsiTheme="majorBidi" w:cstheme="majorBidi"/>
          <w:b/>
          <w:bCs/>
          <w:lang w:val="en-US"/>
        </w:rPr>
        <w:t xml:space="preserve"> </w:t>
      </w:r>
      <w:r w:rsidRPr="00BF0B83">
        <w:rPr>
          <w:rStyle w:val="lev"/>
          <w:rFonts w:asciiTheme="majorBidi" w:hAnsiTheme="majorBidi" w:cstheme="majorBidi"/>
          <w:b w:val="0"/>
          <w:bCs w:val="0"/>
          <w:lang w:val="en-US"/>
        </w:rPr>
        <w:t>biosynthetic metabolism</w:t>
      </w:r>
      <w:r w:rsidRPr="00BF0B83">
        <w:rPr>
          <w:rFonts w:asciiTheme="majorBidi" w:hAnsiTheme="majorBidi" w:cstheme="majorBidi"/>
          <w:b/>
          <w:bCs/>
          <w:lang w:val="en-US"/>
        </w:rPr>
        <w:t>.</w:t>
      </w:r>
    </w:p>
    <w:p w:rsidR="000877B3" w:rsidRPr="00014838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877B3" w:rsidRPr="007A6329" w:rsidRDefault="000877B3" w:rsidP="00BF0B83">
      <w:pPr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48050" cy="3067050"/>
            <wp:effectExtent l="19050" t="0" r="0" b="0"/>
            <wp:docPr id="14" name="Image 14" descr="why is kreb cycle refered as amphibolic pathway​ - Brainly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hy is kreb cycle refered as amphibolic pathway​ - Brainly.i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141" w:rsidRPr="00014838" w:rsidRDefault="00D14141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Accessory Cycles and Gluconeogenesis</w:t>
      </w:r>
    </w:p>
    <w:p w:rsidR="000877B3" w:rsidRPr="000877B3" w:rsidRDefault="000877B3" w:rsidP="00BF0B83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During growth on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glucose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this compound serves as a carbon source for the synthesis of all molecules containing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glucose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ribose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deoxyribose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or other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sugar derivatives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this case,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anaplerotic reactions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primarily function to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replenish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the intermediates of the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Krebs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During growth on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lactate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or other carbon compounds, additional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metabolic pathways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are required — not only to maintain the operation of the Krebs cycle but also to provide the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intermediate products necessary for sugar biosynthesis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i.e.,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gluconeogenesis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1. Glucose as a substrate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most important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anaplerotic reactions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for replenishing the intermediates of the Krebs cycle are the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carboxylation of pyruvate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phosphoenolpyruvate (PEP)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into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These reactions occur in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animals, plants, and microorganisms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catalyzed respectively by the enzymes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 carboxylase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phosphoenolpyruvate carboxylase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Pyruvate+CO2+ATP→Oxaloacetate+ADP+Pi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Both reactions are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essentially irreversible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play a crucial role in maintaining the pool of oxaloacetate necessary for the Krebs cycle and gluconeogenesis.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2. Lactate, pyruvate, and other C</w:t>
      </w:r>
      <w:r w:rsidRPr="00014838">
        <w:rPr>
          <w:rFonts w:ascii="Cambria Math" w:eastAsia="Times New Roman" w:hAnsi="Cambria Math" w:cstheme="majorBidi"/>
          <w:b/>
          <w:bCs/>
          <w:sz w:val="24"/>
          <w:szCs w:val="24"/>
          <w:lang w:val="en-US" w:eastAsia="fr-FR"/>
        </w:rPr>
        <w:t>₃</w:t>
      </w: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compounds as substrates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animal tissues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first carboxylated into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by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 carboxylase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This reaction is immediately followed by the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decarboxylation and phosphorylation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of oxaloacetate by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phosphoenolpyruvate carboxykinase (PEPCK)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form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phosphoenolpyruvate (PEP)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877B3" w:rsidRPr="000877B3" w:rsidRDefault="000877B3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</w:t>
      </w:r>
      <w:r w:rsidR="00630D0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etate+GTP→PEP+CO2+GDP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</w:t>
      </w:r>
      <w:r w:rsidRPr="00BF0B83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Escherichia coli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other bacteria,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can be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directly phosphorylated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by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PEP synthase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according to the reaction:</w:t>
      </w:r>
    </w:p>
    <w:p w:rsidR="000877B3" w:rsidRPr="000877B3" w:rsidRDefault="000877B3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Pyruvate+ATP+H2O→PEP+AMP+Pi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synthesis of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oxaloacetate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 these organisms is catalyzed by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PEP carboxylase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since </w:t>
      </w:r>
      <w:r w:rsidRPr="00014838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E. coli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does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not possess pyruvate carboxylase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Some microorganisms, such as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Propionibacterium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Acetobacter aceti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Entamoeba histolytica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and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Fusobacterium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contain another enzyme,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 orthophosphate dikinase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which catalyzes the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reversible interconversion</w:t>
      </w: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between pyruvate and PEP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877B3" w:rsidRDefault="000877B3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Pyruvate+ATP+Pi</w:t>
      </w:r>
      <w:r w:rsidRPr="00BF0B83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⇌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PEP+AMP+PPi</w:t>
      </w:r>
    </w:p>
    <w:p w:rsidR="00630D06" w:rsidRDefault="00630D06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630D06" w:rsidRPr="000877B3" w:rsidRDefault="00630D06" w:rsidP="00BF0B8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3. Acetate as a substrate — The Glyoxylate Cycle</w:t>
      </w:r>
    </w:p>
    <w:p w:rsid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Microorganisms capable of growing on </w:t>
      </w:r>
      <w:r w:rsidRPr="00BF0B8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or on compounds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catabolized to 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(such as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fatty acids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or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hydrocarbons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utilize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(also known as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Krebs–Kornberg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</w:t>
      </w:r>
      <w:r w:rsid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(Fig. 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This cycle bypasses the two decarboxylation steps of the Krebs cycle, allowing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conversion of acetyl-CoA into four-carbon intermediates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(such as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that can be used for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gluconeogenesis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The key enzymes unique to this pathway are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isocitrate lyase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malate synthase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which enable the net synthesis of carbohydrates from two-carbon compounds.</w:t>
      </w:r>
    </w:p>
    <w:p w:rsidR="00630D06" w:rsidRPr="000877B3" w:rsidRDefault="00630D06" w:rsidP="00630D06">
      <w:pPr>
        <w:spacing w:before="100" w:beforeAutospacing="1" w:after="100" w:afterAutospacing="1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57600" cy="4095144"/>
            <wp:effectExtent l="1905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9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B3" w:rsidRPr="00014838" w:rsidRDefault="00630D06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Figure: glyoxylate cycle</w:t>
      </w:r>
    </w:p>
    <w:p w:rsidR="000877B3" w:rsidRPr="00014838" w:rsidRDefault="000877B3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877B3" w:rsidRDefault="000877B3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8441F" w:rsidRPr="00014838" w:rsidRDefault="0098441F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lastRenderedPageBreak/>
        <w:t xml:space="preserve">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exists only in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plants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microorganisms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It is used specifically for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biosynthesis of carbohydrates from fatty acids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as observed in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germinating seeds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in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microbes growing on 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Animals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however,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cannot perform such a synthesis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from acetate because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carbon atoms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of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are completely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oxidized to CO</w:t>
      </w:r>
      <w:r w:rsidRPr="0098441F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through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Krebs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bypasses (or </w:t>
      </w:r>
      <w:r w:rsidRPr="00014838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shunts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decarboxylation steps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of the Krebs cycle, thereby allowing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net conservation of carbon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for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carbohydrate formation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Key Enzymes and Reactions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anaplerotic sequence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involves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two key enzymes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that are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absent in animals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877B3" w:rsidRPr="000877B3" w:rsidRDefault="000877B3" w:rsidP="0001483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8441F">
        <w:rPr>
          <w:rFonts w:asciiTheme="majorBidi" w:eastAsia="Times New Roman" w:hAnsiTheme="majorBidi" w:cstheme="majorBidi"/>
          <w:sz w:val="24"/>
          <w:szCs w:val="24"/>
          <w:lang w:eastAsia="fr-FR"/>
        </w:rPr>
        <w:t>Isocitrate lyase</w:t>
      </w:r>
    </w:p>
    <w:p w:rsidR="000877B3" w:rsidRPr="000877B3" w:rsidRDefault="000877B3" w:rsidP="0001483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8441F">
        <w:rPr>
          <w:rFonts w:asciiTheme="majorBidi" w:eastAsia="Times New Roman" w:hAnsiTheme="majorBidi" w:cstheme="majorBidi"/>
          <w:sz w:val="24"/>
          <w:szCs w:val="24"/>
          <w:lang w:eastAsia="fr-FR"/>
        </w:rPr>
        <w:t>Malate synthase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reactions catalyzed by these enzymes are as follows:</w:t>
      </w:r>
    </w:p>
    <w:p w:rsidR="000877B3" w:rsidRPr="000877B3" w:rsidRDefault="000877B3" w:rsidP="0001483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Isocitrate lyase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cleaves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isocitrate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into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succinate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14838" w:rsidRPr="00014838" w:rsidRDefault="000877B3" w:rsidP="0098441F">
      <w:pPr>
        <w:spacing w:beforeAutospacing="1" w:after="0" w:afterAutospacing="1" w:line="360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Isocitrate→Succinate+Glyoxylate</w:t>
      </w:r>
    </w:p>
    <w:p w:rsidR="000877B3" w:rsidRPr="000877B3" w:rsidRDefault="00014838" w:rsidP="00014838">
      <w:pPr>
        <w:spacing w:beforeAutospacing="1" w:after="0" w:afterAutospacing="1" w:line="360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="000877B3"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Malate synthase</w:t>
      </w:r>
      <w:r w:rsidR="000877B3"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catalyzes the condensation of </w:t>
      </w:r>
      <w:r w:rsidR="000877B3"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</w:t>
      </w:r>
      <w:r w:rsidR="000877B3"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with </w:t>
      </w:r>
      <w:r w:rsidR="000877B3"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acetyl-CoA</w:t>
      </w:r>
      <w:r w:rsidR="000877B3"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form </w:t>
      </w:r>
      <w:r w:rsidR="000877B3"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malate</w:t>
      </w:r>
      <w:r w:rsidR="000877B3"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877B3" w:rsidRPr="000877B3" w:rsidRDefault="000877B3" w:rsidP="00014838">
      <w:pPr>
        <w:spacing w:beforeAutospacing="1" w:after="0" w:afterAutospacing="1" w:line="360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Glyoxylate+Acetyl-CoA+H2O→Malate+CoA−SH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malate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produced is then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oxidized to oxaloacetate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which can subsequently be </w:t>
      </w:r>
      <w:r w:rsidRPr="004F14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converted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 pyruvate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then used in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gluconeogenesis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to synthesize sugars.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Overall Net Reaction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overall balance of the glyoxylate cycle can be summarized as:</w:t>
      </w:r>
    </w:p>
    <w:p w:rsidR="000877B3" w:rsidRPr="000877B3" w:rsidRDefault="000877B3" w:rsidP="00014838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 Acetyl-CoA+NAD++2 H2O→Succinate+2 CoA−SH+NADH+H+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process enables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conversion of acetyl-CoA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(derived from fatty acid </w:t>
      </w:r>
      <w:r w:rsidRPr="000877B3">
        <w:rPr>
          <w:rFonts w:asciiTheme="majorBidi" w:eastAsia="Times New Roman" w:hAnsiTheme="majorBidi" w:cstheme="majorBidi"/>
          <w:sz w:val="24"/>
          <w:szCs w:val="24"/>
          <w:lang w:eastAsia="fr-FR"/>
        </w:rPr>
        <w:t>β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-oxidation) into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four-carbon intermediates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that serve as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precursors for carbohydrate synthesis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1483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Physiological Significance</w:t>
      </w:r>
    </w:p>
    <w:p w:rsidR="000877B3" w:rsidRPr="000877B3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higher plants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microorganisms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both the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Krebs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 cycles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can function </w:t>
      </w:r>
      <w:r w:rsidRPr="009844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simultaneously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0877B3" w:rsidRPr="000877B3" w:rsidRDefault="000877B3" w:rsidP="0001483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Krebs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provides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energy (ATP, NADH, FADH</w:t>
      </w:r>
      <w:r w:rsidRPr="00074452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877B3" w:rsidRDefault="000877B3" w:rsidP="0001483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glyoxylate cycle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supplies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pyruvate and other precursors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necessary for the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formation of carbohydrates from fatty acids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0877B3" w:rsidRPr="00014838" w:rsidRDefault="000877B3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dual operation allows these organisms to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maintain metabolic flexibility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especially during periods when carbohydrates are scarce but lipid reserves are available — such as in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germinating oil seeds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or </w:t>
      </w:r>
      <w:r w:rsidRPr="0007445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bacteria utilizing acetate</w:t>
      </w:r>
      <w:r w:rsidRPr="000877B3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as the sole carbon source.</w:t>
      </w:r>
    </w:p>
    <w:p w:rsidR="00014838" w:rsidRPr="000877B3" w:rsidRDefault="00014838" w:rsidP="00014838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877B3" w:rsidRPr="00014838" w:rsidRDefault="000877B3" w:rsidP="0001483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0877B3" w:rsidRPr="00014838" w:rsidSect="00D141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97" w:rsidRDefault="00325697" w:rsidP="00B0782E">
      <w:pPr>
        <w:spacing w:after="0" w:line="240" w:lineRule="auto"/>
      </w:pPr>
      <w:r>
        <w:separator/>
      </w:r>
    </w:p>
  </w:endnote>
  <w:endnote w:type="continuationSeparator" w:id="1">
    <w:p w:rsidR="00325697" w:rsidRDefault="00325697" w:rsidP="00B0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12029"/>
      <w:docPartObj>
        <w:docPartGallery w:val="Page Numbers (Bottom of Page)"/>
        <w:docPartUnique/>
      </w:docPartObj>
    </w:sdtPr>
    <w:sdtContent>
      <w:p w:rsidR="00B0782E" w:rsidRDefault="00B0782E">
        <w:pPr>
          <w:pStyle w:val="Pieddepage"/>
          <w:jc w:val="center"/>
        </w:pPr>
        <w:fldSimple w:instr=" PAGE   \* MERGEFORMAT ">
          <w:r w:rsidR="004F1419">
            <w:rPr>
              <w:noProof/>
            </w:rPr>
            <w:t>1</w:t>
          </w:r>
        </w:fldSimple>
      </w:p>
    </w:sdtContent>
  </w:sdt>
  <w:p w:rsidR="00B0782E" w:rsidRDefault="00B078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97" w:rsidRDefault="00325697" w:rsidP="00B0782E">
      <w:pPr>
        <w:spacing w:after="0" w:line="240" w:lineRule="auto"/>
      </w:pPr>
      <w:r>
        <w:separator/>
      </w:r>
    </w:p>
  </w:footnote>
  <w:footnote w:type="continuationSeparator" w:id="1">
    <w:p w:rsidR="00325697" w:rsidRDefault="00325697" w:rsidP="00B0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2E" w:rsidRDefault="00B0782E" w:rsidP="00B0782E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University Center Mila</w:t>
    </w:r>
    <w:r>
      <w:rPr>
        <w:i/>
        <w:iCs/>
        <w:sz w:val="20"/>
        <w:szCs w:val="20"/>
        <w:lang w:val="en-US"/>
      </w:rPr>
      <w:br/>
      <w:t xml:space="preserve">Module: Microbial biochemistry                                                                    </w:t>
    </w:r>
    <w:r>
      <w:rPr>
        <w:i/>
        <w:iCs/>
        <w:sz w:val="22"/>
        <w:szCs w:val="22"/>
        <w:lang w:val="en-US"/>
      </w:rPr>
      <w:t>Dr. RABHI Nour El Houda</w:t>
    </w:r>
    <w:r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B0782E" w:rsidRDefault="00B0782E" w:rsidP="00B0782E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 xml:space="preserve">Level: 3 rd Year biotechnology and health </w:t>
    </w:r>
  </w:p>
  <w:p w:rsidR="00B0782E" w:rsidRPr="00B0782E" w:rsidRDefault="00B0782E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546C"/>
    <w:multiLevelType w:val="multilevel"/>
    <w:tmpl w:val="E40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54C64"/>
    <w:multiLevelType w:val="multilevel"/>
    <w:tmpl w:val="D7E4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517DC"/>
    <w:multiLevelType w:val="multilevel"/>
    <w:tmpl w:val="F726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D689D"/>
    <w:multiLevelType w:val="multilevel"/>
    <w:tmpl w:val="384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F75E8"/>
    <w:multiLevelType w:val="multilevel"/>
    <w:tmpl w:val="10DA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57695"/>
    <w:multiLevelType w:val="multilevel"/>
    <w:tmpl w:val="1104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E0A41"/>
    <w:multiLevelType w:val="multilevel"/>
    <w:tmpl w:val="1D26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329"/>
    <w:rsid w:val="00014838"/>
    <w:rsid w:val="00074452"/>
    <w:rsid w:val="000877B3"/>
    <w:rsid w:val="00325697"/>
    <w:rsid w:val="004F1419"/>
    <w:rsid w:val="00630D06"/>
    <w:rsid w:val="007A6329"/>
    <w:rsid w:val="0098441F"/>
    <w:rsid w:val="00B0782E"/>
    <w:rsid w:val="00BF0B83"/>
    <w:rsid w:val="00D1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41"/>
  </w:style>
  <w:style w:type="paragraph" w:styleId="Titre2">
    <w:name w:val="heading 2"/>
    <w:basedOn w:val="Normal"/>
    <w:link w:val="Titre2Car"/>
    <w:uiPriority w:val="9"/>
    <w:qFormat/>
    <w:rsid w:val="007A6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A6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A63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632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A63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7A6329"/>
  </w:style>
  <w:style w:type="character" w:customStyle="1" w:styleId="mord">
    <w:name w:val="mord"/>
    <w:basedOn w:val="Policepardfaut"/>
    <w:rsid w:val="007A6329"/>
  </w:style>
  <w:style w:type="character" w:customStyle="1" w:styleId="mspace">
    <w:name w:val="mspace"/>
    <w:basedOn w:val="Policepardfaut"/>
    <w:rsid w:val="007A6329"/>
  </w:style>
  <w:style w:type="character" w:customStyle="1" w:styleId="mbin">
    <w:name w:val="mbin"/>
    <w:basedOn w:val="Policepardfaut"/>
    <w:rsid w:val="007A6329"/>
  </w:style>
  <w:style w:type="character" w:customStyle="1" w:styleId="vlist-s">
    <w:name w:val="vlist-s"/>
    <w:basedOn w:val="Policepardfaut"/>
    <w:rsid w:val="007A6329"/>
  </w:style>
  <w:style w:type="character" w:customStyle="1" w:styleId="mrel">
    <w:name w:val="mrel"/>
    <w:basedOn w:val="Policepardfaut"/>
    <w:rsid w:val="007A6329"/>
  </w:style>
  <w:style w:type="character" w:styleId="Accentuation">
    <w:name w:val="Emphasis"/>
    <w:basedOn w:val="Policepardfaut"/>
    <w:uiPriority w:val="20"/>
    <w:qFormat/>
    <w:rsid w:val="000877B3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0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782E"/>
  </w:style>
  <w:style w:type="paragraph" w:styleId="Pieddepage">
    <w:name w:val="footer"/>
    <w:basedOn w:val="Normal"/>
    <w:link w:val="PieddepageCar"/>
    <w:uiPriority w:val="99"/>
    <w:unhideWhenUsed/>
    <w:rsid w:val="00B0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5</cp:revision>
  <cp:lastPrinted>2025-10-19T11:02:00Z</cp:lastPrinted>
  <dcterms:created xsi:type="dcterms:W3CDTF">2025-10-19T09:33:00Z</dcterms:created>
  <dcterms:modified xsi:type="dcterms:W3CDTF">2025-10-19T12:57:00Z</dcterms:modified>
</cp:coreProperties>
</file>