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443" w:rsidRPr="00023B1E" w:rsidRDefault="005C3443" w:rsidP="003F6FB2">
      <w:pPr>
        <w:spacing w:before="100" w:beforeAutospacing="1" w:after="100" w:afterAutospacing="1" w:line="360" w:lineRule="auto"/>
        <w:jc w:val="center"/>
        <w:outlineLvl w:val="2"/>
        <w:rPr>
          <w:rFonts w:asciiTheme="majorBidi" w:eastAsia="Times New Roman" w:hAnsiTheme="majorBidi" w:cstheme="majorBidi"/>
          <w:b/>
          <w:bCs/>
          <w:color w:val="0D0D0D" w:themeColor="text1" w:themeTint="F2"/>
          <w:sz w:val="24"/>
          <w:szCs w:val="24"/>
          <w:lang w:eastAsia="fr-FR"/>
        </w:rPr>
      </w:pPr>
      <w:r w:rsidRPr="00023B1E">
        <w:rPr>
          <w:rFonts w:asciiTheme="majorBidi" w:eastAsia="Times New Roman" w:hAnsiTheme="majorBidi" w:cstheme="majorBidi"/>
          <w:b/>
          <w:bCs/>
          <w:color w:val="0D0D0D" w:themeColor="text1" w:themeTint="F2"/>
          <w:sz w:val="24"/>
          <w:szCs w:val="24"/>
          <w:lang w:eastAsia="fr-FR"/>
        </w:rPr>
        <w:t>Chapit</w:t>
      </w:r>
      <w:r w:rsidR="0016213E" w:rsidRPr="00023B1E">
        <w:rPr>
          <w:rFonts w:asciiTheme="majorBidi" w:eastAsia="Times New Roman" w:hAnsiTheme="majorBidi" w:cstheme="majorBidi"/>
          <w:b/>
          <w:bCs/>
          <w:color w:val="0D0D0D" w:themeColor="text1" w:themeTint="F2"/>
          <w:sz w:val="24"/>
          <w:szCs w:val="24"/>
          <w:lang w:eastAsia="fr-FR"/>
        </w:rPr>
        <w:t>re 4 : Les Antibiotiques et la résistance b</w:t>
      </w:r>
      <w:r w:rsidRPr="00023B1E">
        <w:rPr>
          <w:rFonts w:asciiTheme="majorBidi" w:eastAsia="Times New Roman" w:hAnsiTheme="majorBidi" w:cstheme="majorBidi"/>
          <w:b/>
          <w:bCs/>
          <w:color w:val="0D0D0D" w:themeColor="text1" w:themeTint="F2"/>
          <w:sz w:val="24"/>
          <w:szCs w:val="24"/>
          <w:lang w:eastAsia="fr-FR"/>
        </w:rPr>
        <w:t>actérienne</w:t>
      </w:r>
    </w:p>
    <w:p w:rsidR="005C3443" w:rsidRPr="00023B1E" w:rsidRDefault="005C3443" w:rsidP="003F6FB2">
      <w:pPr>
        <w:spacing w:before="100" w:beforeAutospacing="1" w:after="100" w:afterAutospacing="1" w:line="360" w:lineRule="auto"/>
        <w:outlineLvl w:val="2"/>
        <w:rPr>
          <w:rFonts w:asciiTheme="majorBidi" w:eastAsia="Times New Roman" w:hAnsiTheme="majorBidi" w:cstheme="majorBidi"/>
          <w:b/>
          <w:bCs/>
          <w:sz w:val="24"/>
          <w:szCs w:val="24"/>
          <w:lang w:eastAsia="fr-FR"/>
        </w:rPr>
      </w:pPr>
      <w:r w:rsidRPr="00023B1E">
        <w:rPr>
          <w:rFonts w:asciiTheme="majorBidi" w:eastAsia="Times New Roman" w:hAnsiTheme="majorBidi" w:cstheme="majorBidi"/>
          <w:b/>
          <w:bCs/>
          <w:sz w:val="24"/>
          <w:szCs w:val="24"/>
          <w:lang w:eastAsia="fr-FR"/>
        </w:rPr>
        <w:t xml:space="preserve"> </w:t>
      </w:r>
      <w:r w:rsidR="00514D91" w:rsidRPr="00023B1E">
        <w:rPr>
          <w:rFonts w:asciiTheme="majorBidi" w:eastAsia="Times New Roman" w:hAnsiTheme="majorBidi" w:cstheme="majorBidi"/>
          <w:b/>
          <w:bCs/>
          <w:sz w:val="24"/>
          <w:szCs w:val="24"/>
          <w:lang w:eastAsia="fr-FR"/>
        </w:rPr>
        <w:t xml:space="preserve">Introduction </w:t>
      </w:r>
    </w:p>
    <w:p w:rsidR="00FD140E" w:rsidRPr="00023B1E" w:rsidRDefault="00FD140E" w:rsidP="00FD140E">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r w:rsidRPr="00023B1E">
        <w:rPr>
          <w:rFonts w:asciiTheme="majorBidi" w:hAnsiTheme="majorBidi" w:cstheme="majorBidi"/>
          <w:sz w:val="24"/>
          <w:szCs w:val="24"/>
        </w:rPr>
        <w:t xml:space="preserve">Les antibiotiques sont des molécules capables d’inhiber la croissance ou de tuer les bactéries sans affecter les cellules de l’hôte. Découverts en 1928 par Alexander Fleming avec la pénicilline produite par </w:t>
      </w:r>
      <w:r w:rsidRPr="00023B1E">
        <w:rPr>
          <w:rStyle w:val="Accentuation"/>
          <w:rFonts w:asciiTheme="majorBidi" w:hAnsiTheme="majorBidi" w:cstheme="majorBidi"/>
          <w:sz w:val="24"/>
          <w:szCs w:val="24"/>
        </w:rPr>
        <w:t>Penicillium notatum</w:t>
      </w:r>
      <w:r w:rsidRPr="00023B1E">
        <w:rPr>
          <w:rFonts w:asciiTheme="majorBidi" w:hAnsiTheme="majorBidi" w:cstheme="majorBidi"/>
          <w:sz w:val="24"/>
          <w:szCs w:val="24"/>
        </w:rPr>
        <w:t>, ils proviennent principalement de microorganismes tels que les champignons et certaines bactéries. Ces organismes synthétisent naturellement de nombreux métabolites secondaires, dont certains leur confèrent un avantage écologique. L’exploitation de cette diversité métabolique a permis d’isoler de nombreuses molécules d’intérêt thérapeutique. Aujourd’hui, la majorité des antibiotiques utilisés en médecine sont des dérivés semi-synthétiques, modifiés pour améliorer leur efficacité et leurs propriétés pharmacocinétiques.</w:t>
      </w:r>
    </w:p>
    <w:p w:rsidR="005C3443" w:rsidRPr="00023B1E" w:rsidRDefault="00514D91" w:rsidP="003F6FB2">
      <w:pPr>
        <w:spacing w:before="100" w:beforeAutospacing="1" w:after="100" w:afterAutospacing="1" w:line="360" w:lineRule="auto"/>
        <w:outlineLvl w:val="2"/>
        <w:rPr>
          <w:rFonts w:asciiTheme="majorBidi" w:eastAsia="Times New Roman" w:hAnsiTheme="majorBidi" w:cstheme="majorBidi"/>
          <w:b/>
          <w:bCs/>
          <w:sz w:val="24"/>
          <w:szCs w:val="24"/>
          <w:lang w:eastAsia="fr-FR"/>
        </w:rPr>
      </w:pPr>
      <w:r w:rsidRPr="00023B1E">
        <w:rPr>
          <w:rFonts w:asciiTheme="majorBidi" w:eastAsia="Times New Roman" w:hAnsiTheme="majorBidi" w:cstheme="majorBidi"/>
          <w:b/>
          <w:bCs/>
          <w:sz w:val="24"/>
          <w:szCs w:val="24"/>
          <w:lang w:eastAsia="fr-FR"/>
        </w:rPr>
        <w:t xml:space="preserve">1- </w:t>
      </w:r>
      <w:r w:rsidR="005C3443" w:rsidRPr="00023B1E">
        <w:rPr>
          <w:rFonts w:asciiTheme="majorBidi" w:eastAsia="Times New Roman" w:hAnsiTheme="majorBidi" w:cstheme="majorBidi"/>
          <w:b/>
          <w:bCs/>
          <w:sz w:val="24"/>
          <w:szCs w:val="24"/>
          <w:lang w:eastAsia="fr-FR"/>
        </w:rPr>
        <w:t>Cibles bactériennes des antibiotiques</w:t>
      </w:r>
    </w:p>
    <w:p w:rsidR="005C3443" w:rsidRPr="00023B1E" w:rsidRDefault="005C3443" w:rsidP="003F6FB2">
      <w:pPr>
        <w:spacing w:before="100" w:beforeAutospacing="1" w:after="100" w:afterAutospacing="1" w:line="360" w:lineRule="auto"/>
        <w:rPr>
          <w:rFonts w:asciiTheme="majorBidi" w:eastAsia="Times New Roman" w:hAnsiTheme="majorBidi" w:cstheme="majorBidi"/>
          <w:sz w:val="24"/>
          <w:szCs w:val="24"/>
          <w:lang w:eastAsia="fr-FR"/>
        </w:rPr>
      </w:pPr>
      <w:r w:rsidRPr="00023B1E">
        <w:rPr>
          <w:rFonts w:asciiTheme="majorBidi" w:eastAsia="Times New Roman" w:hAnsiTheme="majorBidi" w:cstheme="majorBidi"/>
          <w:sz w:val="24"/>
          <w:szCs w:val="24"/>
          <w:lang w:eastAsia="fr-FR"/>
        </w:rPr>
        <w:t>Pour être utilisable en pratique clinique, un antibiotique doit exercer une action spécifique sur les bactéries visées, sans altérer le fonctionnement des cellules eucaryotes.</w:t>
      </w:r>
      <w:r w:rsidR="00514D91" w:rsidRPr="00023B1E">
        <w:rPr>
          <w:rFonts w:asciiTheme="majorBidi" w:eastAsia="Times New Roman" w:hAnsiTheme="majorBidi" w:cstheme="majorBidi"/>
          <w:sz w:val="24"/>
          <w:szCs w:val="24"/>
          <w:lang w:eastAsia="fr-FR"/>
        </w:rPr>
        <w:t xml:space="preserve"> </w:t>
      </w:r>
      <w:r w:rsidRPr="00023B1E">
        <w:rPr>
          <w:rFonts w:asciiTheme="majorBidi" w:eastAsia="Times New Roman" w:hAnsiTheme="majorBidi" w:cstheme="majorBidi"/>
          <w:sz w:val="24"/>
          <w:szCs w:val="24"/>
          <w:lang w:eastAsia="fr-FR"/>
        </w:rPr>
        <w:t>Idéalement, il cible une voie métabolique ou une structure cellulaire présente uniquement chez les procaryotes ou essentielle à leur survie, mais absente ou peu active chez les eucaryotes.</w:t>
      </w:r>
      <w:r w:rsidR="00514D91" w:rsidRPr="00023B1E">
        <w:rPr>
          <w:rFonts w:asciiTheme="majorBidi" w:eastAsia="Times New Roman" w:hAnsiTheme="majorBidi" w:cstheme="majorBidi"/>
          <w:sz w:val="24"/>
          <w:szCs w:val="24"/>
          <w:lang w:eastAsia="fr-FR"/>
        </w:rPr>
        <w:t xml:space="preserve"> </w:t>
      </w:r>
      <w:r w:rsidRPr="00023B1E">
        <w:rPr>
          <w:rFonts w:asciiTheme="majorBidi" w:eastAsia="Times New Roman" w:hAnsiTheme="majorBidi" w:cstheme="majorBidi"/>
          <w:sz w:val="24"/>
          <w:szCs w:val="24"/>
          <w:lang w:eastAsia="fr-FR"/>
        </w:rPr>
        <w:t>Les principales cibles bactériennes des antibiotiques comprennent :</w:t>
      </w:r>
    </w:p>
    <w:p w:rsidR="005C3443" w:rsidRPr="00023B1E" w:rsidRDefault="005C3443" w:rsidP="003F6FB2">
      <w:pPr>
        <w:numPr>
          <w:ilvl w:val="0"/>
          <w:numId w:val="1"/>
        </w:numPr>
        <w:spacing w:before="100" w:beforeAutospacing="1" w:after="100" w:afterAutospacing="1" w:line="360" w:lineRule="auto"/>
        <w:rPr>
          <w:rFonts w:asciiTheme="majorBidi" w:eastAsia="Times New Roman" w:hAnsiTheme="majorBidi" w:cstheme="majorBidi"/>
          <w:sz w:val="24"/>
          <w:szCs w:val="24"/>
          <w:lang w:eastAsia="fr-FR"/>
        </w:rPr>
      </w:pPr>
      <w:r w:rsidRPr="00023B1E">
        <w:rPr>
          <w:rFonts w:asciiTheme="majorBidi" w:eastAsia="Times New Roman" w:hAnsiTheme="majorBidi" w:cstheme="majorBidi"/>
          <w:sz w:val="24"/>
          <w:szCs w:val="24"/>
          <w:lang w:eastAsia="fr-FR"/>
        </w:rPr>
        <w:t>La paroi bactérienne (ex. : β-lactamines, glycopeptides) ;</w:t>
      </w:r>
    </w:p>
    <w:p w:rsidR="005C3443" w:rsidRPr="00023B1E" w:rsidRDefault="005C3443" w:rsidP="003F6FB2">
      <w:pPr>
        <w:numPr>
          <w:ilvl w:val="0"/>
          <w:numId w:val="1"/>
        </w:numPr>
        <w:spacing w:before="100" w:beforeAutospacing="1" w:after="100" w:afterAutospacing="1" w:line="360" w:lineRule="auto"/>
        <w:rPr>
          <w:rFonts w:asciiTheme="majorBidi" w:eastAsia="Times New Roman" w:hAnsiTheme="majorBidi" w:cstheme="majorBidi"/>
          <w:sz w:val="24"/>
          <w:szCs w:val="24"/>
          <w:lang w:eastAsia="fr-FR"/>
        </w:rPr>
      </w:pPr>
      <w:r w:rsidRPr="00023B1E">
        <w:rPr>
          <w:rFonts w:asciiTheme="majorBidi" w:eastAsia="Times New Roman" w:hAnsiTheme="majorBidi" w:cstheme="majorBidi"/>
          <w:sz w:val="24"/>
          <w:szCs w:val="24"/>
          <w:lang w:eastAsia="fr-FR"/>
        </w:rPr>
        <w:t>La membrane cytoplasmique (ex. : polymyxines) ;</w:t>
      </w:r>
    </w:p>
    <w:p w:rsidR="005C3443" w:rsidRPr="00023B1E" w:rsidRDefault="005C3443" w:rsidP="003F6FB2">
      <w:pPr>
        <w:numPr>
          <w:ilvl w:val="0"/>
          <w:numId w:val="1"/>
        </w:numPr>
        <w:spacing w:before="100" w:beforeAutospacing="1" w:after="100" w:afterAutospacing="1" w:line="360" w:lineRule="auto"/>
        <w:rPr>
          <w:rFonts w:asciiTheme="majorBidi" w:eastAsia="Times New Roman" w:hAnsiTheme="majorBidi" w:cstheme="majorBidi"/>
          <w:sz w:val="24"/>
          <w:szCs w:val="24"/>
          <w:lang w:eastAsia="fr-FR"/>
        </w:rPr>
      </w:pPr>
      <w:r w:rsidRPr="00023B1E">
        <w:rPr>
          <w:rFonts w:asciiTheme="majorBidi" w:eastAsia="Times New Roman" w:hAnsiTheme="majorBidi" w:cstheme="majorBidi"/>
          <w:sz w:val="24"/>
          <w:szCs w:val="24"/>
          <w:lang w:eastAsia="fr-FR"/>
        </w:rPr>
        <w:t>La synthèse des protéines (ex. : aminoglycosides, tétracyclines, macrolides) ;</w:t>
      </w:r>
    </w:p>
    <w:p w:rsidR="005C3443" w:rsidRPr="00023B1E" w:rsidRDefault="005C3443" w:rsidP="003F6FB2">
      <w:pPr>
        <w:numPr>
          <w:ilvl w:val="0"/>
          <w:numId w:val="1"/>
        </w:numPr>
        <w:spacing w:before="100" w:beforeAutospacing="1" w:after="100" w:afterAutospacing="1" w:line="360" w:lineRule="auto"/>
        <w:rPr>
          <w:rFonts w:asciiTheme="majorBidi" w:eastAsia="Times New Roman" w:hAnsiTheme="majorBidi" w:cstheme="majorBidi"/>
          <w:sz w:val="24"/>
          <w:szCs w:val="24"/>
          <w:lang w:eastAsia="fr-FR"/>
        </w:rPr>
      </w:pPr>
      <w:r w:rsidRPr="00023B1E">
        <w:rPr>
          <w:rFonts w:asciiTheme="majorBidi" w:eastAsia="Times New Roman" w:hAnsiTheme="majorBidi" w:cstheme="majorBidi"/>
          <w:sz w:val="24"/>
          <w:szCs w:val="24"/>
          <w:lang w:eastAsia="fr-FR"/>
        </w:rPr>
        <w:t>La synthèse des acides nucléiques (ex. : quinolones, rifamycines) ;</w:t>
      </w:r>
    </w:p>
    <w:p w:rsidR="005C3443" w:rsidRPr="00023B1E" w:rsidRDefault="005C3443" w:rsidP="003F6FB2">
      <w:pPr>
        <w:numPr>
          <w:ilvl w:val="0"/>
          <w:numId w:val="1"/>
        </w:numPr>
        <w:spacing w:before="100" w:beforeAutospacing="1" w:after="100" w:afterAutospacing="1" w:line="360" w:lineRule="auto"/>
        <w:rPr>
          <w:rFonts w:asciiTheme="majorBidi" w:eastAsia="Times New Roman" w:hAnsiTheme="majorBidi" w:cstheme="majorBidi"/>
          <w:sz w:val="24"/>
          <w:szCs w:val="24"/>
          <w:lang w:eastAsia="fr-FR"/>
        </w:rPr>
      </w:pPr>
      <w:r w:rsidRPr="00023B1E">
        <w:rPr>
          <w:rFonts w:asciiTheme="majorBidi" w:eastAsia="Times New Roman" w:hAnsiTheme="majorBidi" w:cstheme="majorBidi"/>
          <w:sz w:val="24"/>
          <w:szCs w:val="24"/>
          <w:lang w:eastAsia="fr-FR"/>
        </w:rPr>
        <w:t>Et certaines voies métaboliques essentielles, comme la synthèse des folates (ex. : sulfamides, triméthoprime).</w:t>
      </w:r>
    </w:p>
    <w:p w:rsidR="005C3443" w:rsidRPr="00023B1E" w:rsidRDefault="005C3443" w:rsidP="003F6FB2">
      <w:pPr>
        <w:spacing w:before="100" w:beforeAutospacing="1" w:after="100" w:afterAutospacing="1" w:line="360" w:lineRule="auto"/>
        <w:rPr>
          <w:rFonts w:asciiTheme="majorBidi" w:eastAsia="Times New Roman" w:hAnsiTheme="majorBidi" w:cstheme="majorBidi"/>
          <w:sz w:val="24"/>
          <w:szCs w:val="24"/>
          <w:lang w:eastAsia="fr-FR"/>
        </w:rPr>
      </w:pPr>
      <w:r w:rsidRPr="00023B1E">
        <w:rPr>
          <w:rFonts w:asciiTheme="majorBidi" w:eastAsia="Times New Roman" w:hAnsiTheme="majorBidi" w:cstheme="majorBidi"/>
          <w:sz w:val="24"/>
          <w:szCs w:val="24"/>
          <w:lang w:eastAsia="fr-FR"/>
        </w:rPr>
        <w:t>Cette spécificité d’action assure l’efficacité thérapeutique tout en minimisant la toxicité pour l’hôte.</w:t>
      </w:r>
    </w:p>
    <w:p w:rsidR="00FD140E" w:rsidRPr="00023B1E" w:rsidRDefault="00FD140E" w:rsidP="003F6FB2">
      <w:pPr>
        <w:spacing w:before="100" w:beforeAutospacing="1" w:after="100" w:afterAutospacing="1" w:line="360" w:lineRule="auto"/>
        <w:rPr>
          <w:rFonts w:asciiTheme="majorBidi" w:eastAsia="Times New Roman" w:hAnsiTheme="majorBidi" w:cstheme="majorBidi"/>
          <w:sz w:val="24"/>
          <w:szCs w:val="24"/>
          <w:lang w:eastAsia="fr-FR"/>
        </w:rPr>
      </w:pPr>
    </w:p>
    <w:p w:rsidR="00FD140E" w:rsidRPr="00023B1E" w:rsidRDefault="00FD140E" w:rsidP="003F6FB2">
      <w:pPr>
        <w:spacing w:before="100" w:beforeAutospacing="1" w:after="100" w:afterAutospacing="1" w:line="360" w:lineRule="auto"/>
        <w:rPr>
          <w:rFonts w:asciiTheme="majorBidi" w:eastAsia="Times New Roman" w:hAnsiTheme="majorBidi" w:cstheme="majorBidi"/>
          <w:sz w:val="24"/>
          <w:szCs w:val="24"/>
          <w:lang w:eastAsia="fr-FR"/>
        </w:rPr>
      </w:pPr>
    </w:p>
    <w:p w:rsidR="003F6FB2" w:rsidRPr="00023B1E" w:rsidRDefault="003F6FB2" w:rsidP="003F6FB2">
      <w:pPr>
        <w:pStyle w:val="Titre3"/>
        <w:spacing w:line="360" w:lineRule="auto"/>
        <w:rPr>
          <w:rFonts w:asciiTheme="majorBidi" w:hAnsiTheme="majorBidi" w:cstheme="majorBidi"/>
          <w:sz w:val="24"/>
          <w:szCs w:val="24"/>
        </w:rPr>
      </w:pPr>
      <w:r w:rsidRPr="00023B1E">
        <w:rPr>
          <w:rStyle w:val="lev"/>
          <w:rFonts w:asciiTheme="majorBidi" w:hAnsiTheme="majorBidi" w:cstheme="majorBidi"/>
          <w:b/>
          <w:bCs/>
          <w:sz w:val="24"/>
          <w:szCs w:val="24"/>
        </w:rPr>
        <w:lastRenderedPageBreak/>
        <w:t>2. Mécanismes d’action des antibiotiques</w:t>
      </w:r>
    </w:p>
    <w:p w:rsidR="003F6FB2" w:rsidRPr="00023B1E" w:rsidRDefault="003F6FB2" w:rsidP="003F6FB2">
      <w:pPr>
        <w:pStyle w:val="Titre4"/>
        <w:spacing w:line="360" w:lineRule="auto"/>
        <w:rPr>
          <w:rFonts w:asciiTheme="majorBidi" w:hAnsiTheme="majorBidi"/>
          <w:color w:val="0D0D0D" w:themeColor="text1" w:themeTint="F2"/>
          <w:sz w:val="24"/>
          <w:szCs w:val="24"/>
        </w:rPr>
      </w:pPr>
      <w:r w:rsidRPr="00023B1E">
        <w:rPr>
          <w:rStyle w:val="lev"/>
          <w:rFonts w:asciiTheme="majorBidi" w:hAnsiTheme="majorBidi"/>
          <w:b/>
          <w:bCs/>
          <w:color w:val="0D0D0D" w:themeColor="text1" w:themeTint="F2"/>
          <w:sz w:val="24"/>
          <w:szCs w:val="24"/>
        </w:rPr>
        <w:t>2.1. Antibiotiques actifs sur la paroi bactérienne</w:t>
      </w:r>
    </w:p>
    <w:p w:rsidR="003F6FB2" w:rsidRPr="00023B1E" w:rsidRDefault="003F6FB2" w:rsidP="003F6FB2">
      <w:pPr>
        <w:pStyle w:val="NormalWeb"/>
        <w:spacing w:line="360" w:lineRule="auto"/>
        <w:rPr>
          <w:rFonts w:asciiTheme="majorBidi" w:hAnsiTheme="majorBidi" w:cstheme="majorBidi"/>
        </w:rPr>
      </w:pPr>
      <w:r w:rsidRPr="00023B1E">
        <w:rPr>
          <w:rFonts w:asciiTheme="majorBidi" w:hAnsiTheme="majorBidi" w:cstheme="majorBidi"/>
        </w:rPr>
        <w:t>Contrairement aux cellules eucaryotes animales, les bactéries possèdent une paroi cellulaire rigide constituée de peptidoglycane, indispensable à leur intégrité.</w:t>
      </w:r>
      <w:r w:rsidRPr="00023B1E">
        <w:rPr>
          <w:rFonts w:asciiTheme="majorBidi" w:hAnsiTheme="majorBidi" w:cstheme="majorBidi"/>
        </w:rPr>
        <w:br/>
        <w:t>Les antibiotiques agissant sur cette structure inhibent les enzymes responsables de sa synthèse, entraînant la lyse et la mort bactérienne.</w:t>
      </w:r>
      <w:r w:rsidRPr="00023B1E">
        <w:rPr>
          <w:rFonts w:asciiTheme="majorBidi" w:hAnsiTheme="majorBidi" w:cstheme="majorBidi"/>
        </w:rPr>
        <w:br/>
        <w:t>Les principales classes concernées sont :</w:t>
      </w:r>
    </w:p>
    <w:p w:rsidR="003F6FB2" w:rsidRPr="00023B1E" w:rsidRDefault="003F6FB2" w:rsidP="003F6FB2">
      <w:pPr>
        <w:pStyle w:val="NormalWeb"/>
        <w:numPr>
          <w:ilvl w:val="0"/>
          <w:numId w:val="18"/>
        </w:numPr>
        <w:spacing w:line="360" w:lineRule="auto"/>
        <w:rPr>
          <w:rFonts w:asciiTheme="majorBidi" w:hAnsiTheme="majorBidi" w:cstheme="majorBidi"/>
        </w:rPr>
      </w:pPr>
      <w:r w:rsidRPr="00023B1E">
        <w:rPr>
          <w:rStyle w:val="lev"/>
          <w:rFonts w:asciiTheme="majorBidi" w:hAnsiTheme="majorBidi" w:cstheme="majorBidi"/>
        </w:rPr>
        <w:t>Les β-lactamines</w:t>
      </w:r>
      <w:r w:rsidRPr="00023B1E">
        <w:rPr>
          <w:rFonts w:asciiTheme="majorBidi" w:hAnsiTheme="majorBidi" w:cstheme="majorBidi"/>
        </w:rPr>
        <w:t>, qui inhibent la transpeptidase impliquée dans la réticulation du peptidoglycane ;</w:t>
      </w:r>
    </w:p>
    <w:p w:rsidR="003F6FB2" w:rsidRPr="00023B1E" w:rsidRDefault="003F6FB2" w:rsidP="003F6FB2">
      <w:pPr>
        <w:pStyle w:val="NormalWeb"/>
        <w:numPr>
          <w:ilvl w:val="0"/>
          <w:numId w:val="18"/>
        </w:numPr>
        <w:spacing w:line="360" w:lineRule="auto"/>
        <w:rPr>
          <w:rFonts w:asciiTheme="majorBidi" w:hAnsiTheme="majorBidi" w:cstheme="majorBidi"/>
        </w:rPr>
      </w:pPr>
      <w:r w:rsidRPr="00023B1E">
        <w:rPr>
          <w:rStyle w:val="lev"/>
          <w:rFonts w:asciiTheme="majorBidi" w:hAnsiTheme="majorBidi" w:cstheme="majorBidi"/>
        </w:rPr>
        <w:t>Les glycopeptides</w:t>
      </w:r>
      <w:r w:rsidRPr="00023B1E">
        <w:rPr>
          <w:rFonts w:asciiTheme="majorBidi" w:hAnsiTheme="majorBidi" w:cstheme="majorBidi"/>
        </w:rPr>
        <w:t>, qui se lient aux précurseurs du peptidoglycane et empêchent leur incorporation dans la paroi ;</w:t>
      </w:r>
    </w:p>
    <w:p w:rsidR="003F6FB2" w:rsidRPr="00023B1E" w:rsidRDefault="003F6FB2" w:rsidP="003F6FB2">
      <w:pPr>
        <w:pStyle w:val="NormalWeb"/>
        <w:numPr>
          <w:ilvl w:val="0"/>
          <w:numId w:val="18"/>
        </w:numPr>
        <w:spacing w:line="360" w:lineRule="auto"/>
        <w:rPr>
          <w:rFonts w:asciiTheme="majorBidi" w:hAnsiTheme="majorBidi" w:cstheme="majorBidi"/>
        </w:rPr>
      </w:pPr>
      <w:r w:rsidRPr="00023B1E">
        <w:rPr>
          <w:rStyle w:val="lev"/>
          <w:rFonts w:asciiTheme="majorBidi" w:hAnsiTheme="majorBidi" w:cstheme="majorBidi"/>
        </w:rPr>
        <w:t>Autres molécules à usage plus restreint</w:t>
      </w:r>
      <w:r w:rsidRPr="00023B1E">
        <w:rPr>
          <w:rFonts w:asciiTheme="majorBidi" w:hAnsiTheme="majorBidi" w:cstheme="majorBidi"/>
        </w:rPr>
        <w:t>, comme la fosfomycine, la cyclosérine, la bacitracine, l’acide fusidique, la polymyxine ou encore la néomycine.</w:t>
      </w:r>
    </w:p>
    <w:p w:rsidR="003F6FB2" w:rsidRPr="00023B1E" w:rsidRDefault="003F6FB2" w:rsidP="003F6FB2">
      <w:pPr>
        <w:pStyle w:val="Titre4"/>
        <w:spacing w:line="360" w:lineRule="auto"/>
        <w:rPr>
          <w:rFonts w:asciiTheme="majorBidi" w:hAnsiTheme="majorBidi"/>
          <w:color w:val="0D0D0D" w:themeColor="text1" w:themeTint="F2"/>
          <w:sz w:val="24"/>
          <w:szCs w:val="24"/>
        </w:rPr>
      </w:pPr>
      <w:r w:rsidRPr="00023B1E">
        <w:rPr>
          <w:rStyle w:val="lev"/>
          <w:rFonts w:asciiTheme="majorBidi" w:hAnsiTheme="majorBidi"/>
          <w:b/>
          <w:bCs/>
          <w:color w:val="0D0D0D" w:themeColor="text1" w:themeTint="F2"/>
          <w:sz w:val="24"/>
          <w:szCs w:val="24"/>
        </w:rPr>
        <w:t>2.2. Antibiotiques actifs sur la synthèse protéique</w:t>
      </w:r>
    </w:p>
    <w:p w:rsidR="003F6FB2" w:rsidRPr="00023B1E" w:rsidRDefault="003F6FB2" w:rsidP="003F6FB2">
      <w:pPr>
        <w:pStyle w:val="NormalWeb"/>
        <w:spacing w:line="360" w:lineRule="auto"/>
        <w:rPr>
          <w:rFonts w:asciiTheme="majorBidi" w:hAnsiTheme="majorBidi" w:cstheme="majorBidi"/>
        </w:rPr>
      </w:pPr>
      <w:r w:rsidRPr="00023B1E">
        <w:rPr>
          <w:rFonts w:asciiTheme="majorBidi" w:hAnsiTheme="majorBidi" w:cstheme="majorBidi"/>
        </w:rPr>
        <w:t>Les ribosomes bactériens (70S : sous-unités 50S et 30S) diffèrent de ceux des eucaryotes (80S : sous-unités 60S et 40S), ce qui constitue une cible sélective.</w:t>
      </w:r>
    </w:p>
    <w:p w:rsidR="003F6FB2" w:rsidRPr="00023B1E" w:rsidRDefault="003F6FB2" w:rsidP="003F6FB2">
      <w:pPr>
        <w:pStyle w:val="NormalWeb"/>
        <w:numPr>
          <w:ilvl w:val="0"/>
          <w:numId w:val="19"/>
        </w:numPr>
        <w:spacing w:line="360" w:lineRule="auto"/>
        <w:rPr>
          <w:rFonts w:asciiTheme="majorBidi" w:hAnsiTheme="majorBidi" w:cstheme="majorBidi"/>
        </w:rPr>
      </w:pPr>
      <w:r w:rsidRPr="00023B1E">
        <w:rPr>
          <w:rStyle w:val="lev"/>
          <w:rFonts w:asciiTheme="majorBidi" w:hAnsiTheme="majorBidi" w:cstheme="majorBidi"/>
        </w:rPr>
        <w:t>Les inhibiteurs de la sous-unité 50S</w:t>
      </w:r>
      <w:r w:rsidRPr="00023B1E">
        <w:rPr>
          <w:rFonts w:asciiTheme="majorBidi" w:hAnsiTheme="majorBidi" w:cstheme="majorBidi"/>
        </w:rPr>
        <w:t xml:space="preserve"> bloquent la formation du lien peptidique (phénicolés) ou le transfert de la chaîne peptidique (macrolides, lincosamides, streptogramines).</w:t>
      </w:r>
    </w:p>
    <w:p w:rsidR="003F6FB2" w:rsidRPr="00023B1E" w:rsidRDefault="003F6FB2" w:rsidP="003F6FB2">
      <w:pPr>
        <w:pStyle w:val="NormalWeb"/>
        <w:numPr>
          <w:ilvl w:val="0"/>
          <w:numId w:val="19"/>
        </w:numPr>
        <w:spacing w:line="360" w:lineRule="auto"/>
        <w:rPr>
          <w:rFonts w:asciiTheme="majorBidi" w:hAnsiTheme="majorBidi" w:cstheme="majorBidi"/>
        </w:rPr>
      </w:pPr>
      <w:r w:rsidRPr="00023B1E">
        <w:rPr>
          <w:rStyle w:val="lev"/>
          <w:rFonts w:asciiTheme="majorBidi" w:hAnsiTheme="majorBidi" w:cstheme="majorBidi"/>
        </w:rPr>
        <w:t>Les inhibiteurs de la sous-unité 30S</w:t>
      </w:r>
      <w:r w:rsidRPr="00023B1E">
        <w:rPr>
          <w:rFonts w:asciiTheme="majorBidi" w:hAnsiTheme="majorBidi" w:cstheme="majorBidi"/>
        </w:rPr>
        <w:t xml:space="preserve"> empêchent la liaison des aminoacyl-ARNt (tétracyclines) ou provoquent une lecture erronée du code génétique (aminosides).</w:t>
      </w:r>
      <w:r w:rsidRPr="00023B1E">
        <w:rPr>
          <w:rFonts w:asciiTheme="majorBidi" w:hAnsiTheme="majorBidi" w:cstheme="majorBidi"/>
        </w:rPr>
        <w:br/>
        <w:t>Ces actions perturbent la synthèse des protéines essentielles et inhibent la croissance bactérienne.</w:t>
      </w:r>
    </w:p>
    <w:p w:rsidR="00FD140E" w:rsidRPr="00023B1E" w:rsidRDefault="00FD140E" w:rsidP="00FD140E">
      <w:pPr>
        <w:pStyle w:val="NormalWeb"/>
        <w:spacing w:line="360" w:lineRule="auto"/>
        <w:rPr>
          <w:rFonts w:asciiTheme="majorBidi" w:hAnsiTheme="majorBidi" w:cstheme="majorBidi"/>
        </w:rPr>
      </w:pPr>
    </w:p>
    <w:p w:rsidR="003F6FB2" w:rsidRPr="00023B1E" w:rsidRDefault="003F6FB2" w:rsidP="003F6FB2">
      <w:pPr>
        <w:pStyle w:val="Titre4"/>
        <w:spacing w:line="360" w:lineRule="auto"/>
        <w:rPr>
          <w:rFonts w:asciiTheme="majorBidi" w:hAnsiTheme="majorBidi"/>
          <w:color w:val="0D0D0D" w:themeColor="text1" w:themeTint="F2"/>
          <w:sz w:val="24"/>
          <w:szCs w:val="24"/>
        </w:rPr>
      </w:pPr>
      <w:r w:rsidRPr="00023B1E">
        <w:rPr>
          <w:rStyle w:val="lev"/>
          <w:rFonts w:asciiTheme="majorBidi" w:hAnsiTheme="majorBidi"/>
          <w:b/>
          <w:bCs/>
          <w:color w:val="0D0D0D" w:themeColor="text1" w:themeTint="F2"/>
          <w:sz w:val="24"/>
          <w:szCs w:val="24"/>
        </w:rPr>
        <w:lastRenderedPageBreak/>
        <w:t>2.3. Antibiotiques actifs sur la synthèse des acides nucléiques</w:t>
      </w:r>
    </w:p>
    <w:p w:rsidR="003F6FB2" w:rsidRPr="00023B1E" w:rsidRDefault="003F6FB2" w:rsidP="003F6FB2">
      <w:pPr>
        <w:pStyle w:val="NormalWeb"/>
        <w:spacing w:line="360" w:lineRule="auto"/>
        <w:rPr>
          <w:rFonts w:asciiTheme="majorBidi" w:hAnsiTheme="majorBidi" w:cstheme="majorBidi"/>
        </w:rPr>
      </w:pPr>
      <w:r w:rsidRPr="00023B1E">
        <w:rPr>
          <w:rFonts w:asciiTheme="majorBidi" w:hAnsiTheme="majorBidi" w:cstheme="majorBidi"/>
        </w:rPr>
        <w:t>Les antibiotiques de cette catégorie interfèrent avec la production ou la fonction des acides nucléiques (ADN et ARN) :</w:t>
      </w:r>
    </w:p>
    <w:p w:rsidR="003F6FB2" w:rsidRPr="00023B1E" w:rsidRDefault="003F6FB2" w:rsidP="003F6FB2">
      <w:pPr>
        <w:pStyle w:val="NormalWeb"/>
        <w:numPr>
          <w:ilvl w:val="0"/>
          <w:numId w:val="20"/>
        </w:numPr>
        <w:spacing w:line="360" w:lineRule="auto"/>
        <w:rPr>
          <w:rFonts w:asciiTheme="majorBidi" w:hAnsiTheme="majorBidi" w:cstheme="majorBidi"/>
        </w:rPr>
      </w:pPr>
      <w:r w:rsidRPr="00023B1E">
        <w:rPr>
          <w:rStyle w:val="lev"/>
          <w:rFonts w:asciiTheme="majorBidi" w:hAnsiTheme="majorBidi" w:cstheme="majorBidi"/>
        </w:rPr>
        <w:t>Les rifamycines (ex. : rifampicine)</w:t>
      </w:r>
      <w:r w:rsidRPr="00023B1E">
        <w:rPr>
          <w:rFonts w:asciiTheme="majorBidi" w:hAnsiTheme="majorBidi" w:cstheme="majorBidi"/>
        </w:rPr>
        <w:t xml:space="preserve"> bloquent l’ARN polymérase bactérienne et donc la transcription.</w:t>
      </w:r>
    </w:p>
    <w:p w:rsidR="003F6FB2" w:rsidRPr="00023B1E" w:rsidRDefault="003F6FB2" w:rsidP="003F6FB2">
      <w:pPr>
        <w:pStyle w:val="NormalWeb"/>
        <w:numPr>
          <w:ilvl w:val="0"/>
          <w:numId w:val="20"/>
        </w:numPr>
        <w:spacing w:line="360" w:lineRule="auto"/>
        <w:rPr>
          <w:rFonts w:asciiTheme="majorBidi" w:hAnsiTheme="majorBidi" w:cstheme="majorBidi"/>
        </w:rPr>
      </w:pPr>
      <w:r w:rsidRPr="00023B1E">
        <w:rPr>
          <w:rStyle w:val="lev"/>
          <w:rFonts w:asciiTheme="majorBidi" w:hAnsiTheme="majorBidi" w:cstheme="majorBidi"/>
        </w:rPr>
        <w:t>Les quinolones</w:t>
      </w:r>
      <w:r w:rsidRPr="00023B1E">
        <w:rPr>
          <w:rFonts w:asciiTheme="majorBidi" w:hAnsiTheme="majorBidi" w:cstheme="majorBidi"/>
        </w:rPr>
        <w:t xml:space="preserve"> inhibent l’ADN-gyrase et la topoisomérase IV, enzymes essentielles à la réplication de l’ADN.</w:t>
      </w:r>
    </w:p>
    <w:p w:rsidR="003F6FB2" w:rsidRPr="00023B1E" w:rsidRDefault="003F6FB2" w:rsidP="003F6FB2">
      <w:pPr>
        <w:pStyle w:val="NormalWeb"/>
        <w:numPr>
          <w:ilvl w:val="0"/>
          <w:numId w:val="20"/>
        </w:numPr>
        <w:spacing w:line="360" w:lineRule="auto"/>
        <w:rPr>
          <w:rFonts w:asciiTheme="majorBidi" w:hAnsiTheme="majorBidi" w:cstheme="majorBidi"/>
        </w:rPr>
      </w:pPr>
      <w:r w:rsidRPr="00023B1E">
        <w:rPr>
          <w:rStyle w:val="lev"/>
          <w:rFonts w:asciiTheme="majorBidi" w:hAnsiTheme="majorBidi" w:cstheme="majorBidi"/>
        </w:rPr>
        <w:t>Les inhibiteurs de la synthèse des folates</w:t>
      </w:r>
      <w:r w:rsidRPr="00023B1E">
        <w:rPr>
          <w:rFonts w:asciiTheme="majorBidi" w:hAnsiTheme="majorBidi" w:cstheme="majorBidi"/>
        </w:rPr>
        <w:t>, tels que les sulfamides et le triméthoprime, bloquent la production de l’acide folique, indispensable à la synthèse des bases puriques et pyrimidiques. Les eucaryotes n’étant pas capables de synthétiser cet acide, la sélectivité est ainsi assurée.</w:t>
      </w:r>
    </w:p>
    <w:p w:rsidR="003F6FB2" w:rsidRPr="00023B1E" w:rsidRDefault="003F6FB2" w:rsidP="003F6FB2">
      <w:pPr>
        <w:pStyle w:val="Titre4"/>
        <w:spacing w:line="360" w:lineRule="auto"/>
        <w:rPr>
          <w:rFonts w:asciiTheme="majorBidi" w:hAnsiTheme="majorBidi"/>
          <w:color w:val="0D0D0D" w:themeColor="text1" w:themeTint="F2"/>
          <w:sz w:val="24"/>
          <w:szCs w:val="24"/>
        </w:rPr>
      </w:pPr>
      <w:r w:rsidRPr="00023B1E">
        <w:rPr>
          <w:rStyle w:val="lev"/>
          <w:rFonts w:asciiTheme="majorBidi" w:hAnsiTheme="majorBidi"/>
          <w:b/>
          <w:bCs/>
          <w:color w:val="0D0D0D" w:themeColor="text1" w:themeTint="F2"/>
          <w:sz w:val="24"/>
          <w:szCs w:val="24"/>
        </w:rPr>
        <w:t>2.4. Antibiotiques inhibiteurs de voies métaboliques</w:t>
      </w:r>
    </w:p>
    <w:p w:rsidR="003F6FB2" w:rsidRPr="00023B1E" w:rsidRDefault="003F6FB2" w:rsidP="003F6FB2">
      <w:pPr>
        <w:pStyle w:val="NormalWeb"/>
        <w:spacing w:line="360" w:lineRule="auto"/>
        <w:rPr>
          <w:rFonts w:asciiTheme="majorBidi" w:hAnsiTheme="majorBidi" w:cstheme="majorBidi"/>
        </w:rPr>
      </w:pPr>
      <w:r w:rsidRPr="00023B1E">
        <w:rPr>
          <w:rFonts w:asciiTheme="majorBidi" w:hAnsiTheme="majorBidi" w:cstheme="majorBidi"/>
        </w:rPr>
        <w:t>Certains antibiotiques interfèrent directement avec des voies métaboliques spécifiques. Cependant, leur usage clinique reste limité en raison d’une spécificité d’action souvent insuffisante et d’un risque de toxicité croisée avec les cellules de l’hôte.</w:t>
      </w:r>
    </w:p>
    <w:p w:rsidR="003F6FB2" w:rsidRPr="00023B1E" w:rsidRDefault="003F6FB2" w:rsidP="003F6FB2">
      <w:pPr>
        <w:pStyle w:val="Titre4"/>
        <w:spacing w:line="360" w:lineRule="auto"/>
        <w:rPr>
          <w:rFonts w:asciiTheme="majorBidi" w:hAnsiTheme="majorBidi"/>
          <w:color w:val="0D0D0D" w:themeColor="text1" w:themeTint="F2"/>
          <w:sz w:val="24"/>
          <w:szCs w:val="24"/>
        </w:rPr>
      </w:pPr>
      <w:r w:rsidRPr="00023B1E">
        <w:rPr>
          <w:rStyle w:val="lev"/>
          <w:rFonts w:asciiTheme="majorBidi" w:hAnsiTheme="majorBidi"/>
          <w:b/>
          <w:bCs/>
          <w:color w:val="0D0D0D" w:themeColor="text1" w:themeTint="F2"/>
          <w:sz w:val="24"/>
          <w:szCs w:val="24"/>
        </w:rPr>
        <w:t>2.5. Antibiotiques actifs contre les bactéries anaérobies</w:t>
      </w:r>
    </w:p>
    <w:p w:rsidR="003F6FB2" w:rsidRDefault="003F6FB2" w:rsidP="003F6FB2">
      <w:pPr>
        <w:pStyle w:val="NormalWeb"/>
        <w:spacing w:line="360" w:lineRule="auto"/>
        <w:rPr>
          <w:rFonts w:asciiTheme="majorBidi" w:hAnsiTheme="majorBidi" w:cstheme="majorBidi"/>
        </w:rPr>
      </w:pPr>
      <w:r w:rsidRPr="00023B1E">
        <w:rPr>
          <w:rFonts w:asciiTheme="majorBidi" w:hAnsiTheme="majorBidi" w:cstheme="majorBidi"/>
        </w:rPr>
        <w:t xml:space="preserve">Les bactéries anaérobies possèdent des systèmes d’oxydo-réduction à faible potentiel rédox. Certains antibiotiques, comme les </w:t>
      </w:r>
      <w:r w:rsidRPr="00023B1E">
        <w:rPr>
          <w:rStyle w:val="lev"/>
          <w:rFonts w:asciiTheme="majorBidi" w:hAnsiTheme="majorBidi" w:cstheme="majorBidi"/>
        </w:rPr>
        <w:t>nitroimidazoles (ex. : métronidazole)</w:t>
      </w:r>
      <w:r w:rsidRPr="00023B1E">
        <w:rPr>
          <w:rFonts w:asciiTheme="majorBidi" w:hAnsiTheme="majorBidi" w:cstheme="majorBidi"/>
        </w:rPr>
        <w:t>, sont activés dans ce contexte et deviennent toxiques pour ces microorganismes ainsi que pour certains parasites anaérobies.</w:t>
      </w:r>
    </w:p>
    <w:p w:rsidR="00566A74" w:rsidRDefault="00566A74" w:rsidP="003F6FB2">
      <w:pPr>
        <w:pStyle w:val="NormalWeb"/>
        <w:spacing w:line="360" w:lineRule="auto"/>
        <w:rPr>
          <w:rFonts w:asciiTheme="majorBidi" w:hAnsiTheme="majorBidi" w:cstheme="majorBidi"/>
        </w:rPr>
      </w:pPr>
    </w:p>
    <w:p w:rsidR="00566A74" w:rsidRDefault="00566A74" w:rsidP="00566A74">
      <w:pPr>
        <w:pStyle w:val="NormalWeb"/>
        <w:spacing w:line="360" w:lineRule="auto"/>
        <w:jc w:val="center"/>
        <w:rPr>
          <w:rFonts w:asciiTheme="majorBidi" w:hAnsiTheme="majorBidi" w:cstheme="majorBidi"/>
        </w:rPr>
      </w:pPr>
      <w:r w:rsidRPr="00566A74">
        <w:rPr>
          <w:rFonts w:asciiTheme="majorBidi" w:hAnsiTheme="majorBidi" w:cstheme="majorBidi"/>
        </w:rPr>
        <w:lastRenderedPageBreak/>
        <w:drawing>
          <wp:inline distT="0" distB="0" distL="0" distR="0">
            <wp:extent cx="4752975" cy="3561715"/>
            <wp:effectExtent l="19050" t="0" r="9525" b="0"/>
            <wp:docPr id="3" name="Image 1" descr="C:\Users\Tis Info\Desktop\Nouveau dossier (3)\Figures de résistance\sites action des ATB.png"/>
            <wp:cNvGraphicFramePr/>
            <a:graphic xmlns:a="http://schemas.openxmlformats.org/drawingml/2006/main">
              <a:graphicData uri="http://schemas.openxmlformats.org/drawingml/2006/picture">
                <pic:pic xmlns:pic="http://schemas.openxmlformats.org/drawingml/2006/picture">
                  <pic:nvPicPr>
                    <pic:cNvPr id="0" name="Picture 3" descr="C:\Users\Tis Info\Desktop\Nouveau dossier (3)\Figures de résistance\sites action des ATB.png"/>
                    <pic:cNvPicPr>
                      <a:picLocks noChangeAspect="1" noChangeArrowheads="1"/>
                    </pic:cNvPicPr>
                  </pic:nvPicPr>
                  <pic:blipFill>
                    <a:blip r:embed="rId7"/>
                    <a:srcRect/>
                    <a:stretch>
                      <a:fillRect/>
                    </a:stretch>
                  </pic:blipFill>
                  <pic:spPr bwMode="auto">
                    <a:xfrm>
                      <a:off x="0" y="0"/>
                      <a:ext cx="4752975" cy="3561715"/>
                    </a:xfrm>
                    <a:prstGeom prst="rect">
                      <a:avLst/>
                    </a:prstGeom>
                    <a:noFill/>
                    <a:ln w="9525">
                      <a:noFill/>
                      <a:miter lim="800000"/>
                      <a:headEnd/>
                      <a:tailEnd/>
                    </a:ln>
                  </pic:spPr>
                </pic:pic>
              </a:graphicData>
            </a:graphic>
          </wp:inline>
        </w:drawing>
      </w:r>
    </w:p>
    <w:p w:rsidR="00566A74" w:rsidRPr="00023B1E" w:rsidRDefault="00566A74" w:rsidP="00566A74">
      <w:pPr>
        <w:pStyle w:val="NormalWeb"/>
        <w:spacing w:line="360" w:lineRule="auto"/>
        <w:jc w:val="center"/>
        <w:rPr>
          <w:rFonts w:asciiTheme="majorBidi" w:hAnsiTheme="majorBidi" w:cstheme="majorBidi"/>
        </w:rPr>
      </w:pPr>
      <w:r>
        <w:rPr>
          <w:rFonts w:asciiTheme="majorBidi" w:hAnsiTheme="majorBidi" w:cstheme="majorBidi"/>
          <w:b/>
          <w:bCs/>
          <w:color w:val="0D0D0D" w:themeColor="text1" w:themeTint="F2"/>
        </w:rPr>
        <w:t>Figure 1</w:t>
      </w:r>
      <w:r>
        <w:rPr>
          <w:rFonts w:asciiTheme="majorBidi" w:hAnsiTheme="majorBidi" w:cstheme="majorBidi"/>
          <w:color w:val="0D0D0D" w:themeColor="text1" w:themeTint="F2"/>
        </w:rPr>
        <w:t> : Mécanisme d’action de quelques antibiotiques</w:t>
      </w:r>
    </w:p>
    <w:p w:rsidR="003F6FB2" w:rsidRPr="00023B1E" w:rsidRDefault="003F6FB2" w:rsidP="003F6FB2">
      <w:pPr>
        <w:pStyle w:val="Titre3"/>
        <w:spacing w:line="360" w:lineRule="auto"/>
        <w:rPr>
          <w:rFonts w:asciiTheme="majorBidi" w:hAnsiTheme="majorBidi" w:cstheme="majorBidi"/>
          <w:sz w:val="24"/>
          <w:szCs w:val="24"/>
        </w:rPr>
      </w:pPr>
      <w:r w:rsidRPr="00023B1E">
        <w:rPr>
          <w:rStyle w:val="lev"/>
          <w:rFonts w:asciiTheme="majorBidi" w:hAnsiTheme="majorBidi" w:cstheme="majorBidi"/>
          <w:b/>
          <w:bCs/>
          <w:sz w:val="24"/>
          <w:szCs w:val="24"/>
        </w:rPr>
        <w:t>3. Classification des antibiotiques</w:t>
      </w:r>
    </w:p>
    <w:p w:rsidR="003F6FB2" w:rsidRPr="00023B1E" w:rsidRDefault="003F6FB2" w:rsidP="003F6FB2">
      <w:pPr>
        <w:pStyle w:val="NormalWeb"/>
        <w:spacing w:line="360" w:lineRule="auto"/>
        <w:rPr>
          <w:rFonts w:asciiTheme="majorBidi" w:hAnsiTheme="majorBidi" w:cstheme="majorBidi"/>
        </w:rPr>
      </w:pPr>
      <w:r w:rsidRPr="00023B1E">
        <w:rPr>
          <w:rFonts w:asciiTheme="majorBidi" w:hAnsiTheme="majorBidi" w:cstheme="majorBidi"/>
        </w:rPr>
        <w:t>Les antibiotiques peuvent être classés selon plusieurs critères :</w:t>
      </w:r>
    </w:p>
    <w:p w:rsidR="003F6FB2" w:rsidRPr="00023B1E" w:rsidRDefault="003F6FB2" w:rsidP="003F6FB2">
      <w:pPr>
        <w:pStyle w:val="NormalWeb"/>
        <w:numPr>
          <w:ilvl w:val="0"/>
          <w:numId w:val="21"/>
        </w:numPr>
        <w:spacing w:line="360" w:lineRule="auto"/>
        <w:rPr>
          <w:rFonts w:asciiTheme="majorBidi" w:hAnsiTheme="majorBidi" w:cstheme="majorBidi"/>
        </w:rPr>
      </w:pPr>
      <w:r w:rsidRPr="00023B1E">
        <w:rPr>
          <w:rFonts w:asciiTheme="majorBidi" w:hAnsiTheme="majorBidi" w:cstheme="majorBidi"/>
        </w:rPr>
        <w:t xml:space="preserve">Leur </w:t>
      </w:r>
      <w:r w:rsidRPr="00023B1E">
        <w:rPr>
          <w:rStyle w:val="lev"/>
          <w:rFonts w:asciiTheme="majorBidi" w:hAnsiTheme="majorBidi" w:cstheme="majorBidi"/>
        </w:rPr>
        <w:t>origine</w:t>
      </w:r>
      <w:r w:rsidRPr="00023B1E">
        <w:rPr>
          <w:rFonts w:asciiTheme="majorBidi" w:hAnsiTheme="majorBidi" w:cstheme="majorBidi"/>
        </w:rPr>
        <w:t xml:space="preserve"> (naturelle, semi-synthétique ou synthétique) ;</w:t>
      </w:r>
    </w:p>
    <w:p w:rsidR="003F6FB2" w:rsidRPr="00023B1E" w:rsidRDefault="003F6FB2" w:rsidP="003F6FB2">
      <w:pPr>
        <w:pStyle w:val="NormalWeb"/>
        <w:numPr>
          <w:ilvl w:val="0"/>
          <w:numId w:val="21"/>
        </w:numPr>
        <w:spacing w:line="360" w:lineRule="auto"/>
        <w:rPr>
          <w:rFonts w:asciiTheme="majorBidi" w:hAnsiTheme="majorBidi" w:cstheme="majorBidi"/>
        </w:rPr>
      </w:pPr>
      <w:r w:rsidRPr="00023B1E">
        <w:rPr>
          <w:rFonts w:asciiTheme="majorBidi" w:hAnsiTheme="majorBidi" w:cstheme="majorBidi"/>
        </w:rPr>
        <w:t xml:space="preserve">Leur </w:t>
      </w:r>
      <w:r w:rsidRPr="00023B1E">
        <w:rPr>
          <w:rStyle w:val="lev"/>
          <w:rFonts w:asciiTheme="majorBidi" w:hAnsiTheme="majorBidi" w:cstheme="majorBidi"/>
        </w:rPr>
        <w:t>nature chimique</w:t>
      </w:r>
      <w:r w:rsidRPr="00023B1E">
        <w:rPr>
          <w:rFonts w:asciiTheme="majorBidi" w:hAnsiTheme="majorBidi" w:cstheme="majorBidi"/>
        </w:rPr>
        <w:t xml:space="preserve"> ;</w:t>
      </w:r>
    </w:p>
    <w:p w:rsidR="003F6FB2" w:rsidRPr="00023B1E" w:rsidRDefault="003F6FB2" w:rsidP="003F6FB2">
      <w:pPr>
        <w:pStyle w:val="NormalWeb"/>
        <w:numPr>
          <w:ilvl w:val="0"/>
          <w:numId w:val="21"/>
        </w:numPr>
        <w:spacing w:line="360" w:lineRule="auto"/>
        <w:rPr>
          <w:rFonts w:asciiTheme="majorBidi" w:hAnsiTheme="majorBidi" w:cstheme="majorBidi"/>
        </w:rPr>
      </w:pPr>
      <w:r w:rsidRPr="00023B1E">
        <w:rPr>
          <w:rFonts w:asciiTheme="majorBidi" w:hAnsiTheme="majorBidi" w:cstheme="majorBidi"/>
        </w:rPr>
        <w:t xml:space="preserve">Leur </w:t>
      </w:r>
      <w:r w:rsidRPr="00023B1E">
        <w:rPr>
          <w:rStyle w:val="lev"/>
          <w:rFonts w:asciiTheme="majorBidi" w:hAnsiTheme="majorBidi" w:cstheme="majorBidi"/>
        </w:rPr>
        <w:t>mécanisme d’action</w:t>
      </w:r>
      <w:r w:rsidRPr="00023B1E">
        <w:rPr>
          <w:rFonts w:asciiTheme="majorBidi" w:hAnsiTheme="majorBidi" w:cstheme="majorBidi"/>
        </w:rPr>
        <w:t xml:space="preserve"> ;</w:t>
      </w:r>
    </w:p>
    <w:p w:rsidR="003F6FB2" w:rsidRPr="00023B1E" w:rsidRDefault="003F6FB2" w:rsidP="003F6FB2">
      <w:pPr>
        <w:pStyle w:val="NormalWeb"/>
        <w:numPr>
          <w:ilvl w:val="0"/>
          <w:numId w:val="21"/>
        </w:numPr>
        <w:spacing w:line="360" w:lineRule="auto"/>
        <w:rPr>
          <w:rFonts w:asciiTheme="majorBidi" w:hAnsiTheme="majorBidi" w:cstheme="majorBidi"/>
        </w:rPr>
      </w:pPr>
      <w:r w:rsidRPr="00023B1E">
        <w:rPr>
          <w:rFonts w:asciiTheme="majorBidi" w:hAnsiTheme="majorBidi" w:cstheme="majorBidi"/>
        </w:rPr>
        <w:t xml:space="preserve">Leur </w:t>
      </w:r>
      <w:r w:rsidRPr="00023B1E">
        <w:rPr>
          <w:rStyle w:val="lev"/>
          <w:rFonts w:asciiTheme="majorBidi" w:hAnsiTheme="majorBidi" w:cstheme="majorBidi"/>
        </w:rPr>
        <w:t>spectre d’activité</w:t>
      </w:r>
      <w:r w:rsidRPr="00023B1E">
        <w:rPr>
          <w:rFonts w:asciiTheme="majorBidi" w:hAnsiTheme="majorBidi" w:cstheme="majorBidi"/>
        </w:rPr>
        <w:t xml:space="preserve"> (large ou étroit).</w:t>
      </w:r>
    </w:p>
    <w:p w:rsidR="003F6FB2" w:rsidRPr="00023B1E" w:rsidRDefault="003F6FB2" w:rsidP="003F6FB2">
      <w:pPr>
        <w:pStyle w:val="NormalWeb"/>
        <w:spacing w:line="360" w:lineRule="auto"/>
        <w:rPr>
          <w:rFonts w:asciiTheme="majorBidi" w:hAnsiTheme="majorBidi" w:cstheme="majorBidi"/>
        </w:rPr>
      </w:pPr>
      <w:r w:rsidRPr="00023B1E">
        <w:rPr>
          <w:rFonts w:asciiTheme="majorBidi" w:hAnsiTheme="majorBidi" w:cstheme="majorBidi"/>
        </w:rPr>
        <w:t>Les principales familles sont présentées ci-dessous.</w:t>
      </w:r>
    </w:p>
    <w:p w:rsidR="003F6FB2" w:rsidRPr="00023B1E" w:rsidRDefault="003F6FB2" w:rsidP="003F6FB2">
      <w:pPr>
        <w:pStyle w:val="Titre4"/>
        <w:spacing w:line="360" w:lineRule="auto"/>
        <w:rPr>
          <w:rFonts w:asciiTheme="majorBidi" w:hAnsiTheme="majorBidi"/>
          <w:color w:val="0D0D0D" w:themeColor="text1" w:themeTint="F2"/>
          <w:sz w:val="24"/>
          <w:szCs w:val="24"/>
        </w:rPr>
      </w:pPr>
      <w:r w:rsidRPr="00023B1E">
        <w:rPr>
          <w:rStyle w:val="lev"/>
          <w:rFonts w:asciiTheme="majorBidi" w:hAnsiTheme="majorBidi"/>
          <w:b/>
          <w:bCs/>
          <w:color w:val="0D0D0D" w:themeColor="text1" w:themeTint="F2"/>
          <w:sz w:val="24"/>
          <w:szCs w:val="24"/>
        </w:rPr>
        <w:t>3.1. Les β-lactamines</w:t>
      </w:r>
    </w:p>
    <w:p w:rsidR="003F6FB2" w:rsidRPr="00023B1E" w:rsidRDefault="003F6FB2" w:rsidP="003F6FB2">
      <w:pPr>
        <w:pStyle w:val="NormalWeb"/>
        <w:spacing w:line="360" w:lineRule="auto"/>
        <w:rPr>
          <w:rFonts w:asciiTheme="majorBidi" w:hAnsiTheme="majorBidi" w:cstheme="majorBidi"/>
        </w:rPr>
      </w:pPr>
      <w:r w:rsidRPr="00023B1E">
        <w:rPr>
          <w:rFonts w:asciiTheme="majorBidi" w:hAnsiTheme="majorBidi" w:cstheme="majorBidi"/>
        </w:rPr>
        <w:t xml:space="preserve">Ces antibiotiques possèdent un cycle </w:t>
      </w:r>
      <w:r w:rsidRPr="00023B1E">
        <w:rPr>
          <w:rStyle w:val="lev"/>
          <w:rFonts w:asciiTheme="majorBidi" w:hAnsiTheme="majorBidi" w:cstheme="majorBidi"/>
          <w:b w:val="0"/>
          <w:bCs w:val="0"/>
        </w:rPr>
        <w:t>β-lactame</w:t>
      </w:r>
      <w:r w:rsidRPr="00023B1E">
        <w:rPr>
          <w:rFonts w:asciiTheme="majorBidi" w:hAnsiTheme="majorBidi" w:cstheme="majorBidi"/>
          <w:b/>
          <w:bCs/>
        </w:rPr>
        <w:t xml:space="preserve"> </w:t>
      </w:r>
      <w:r w:rsidRPr="00023B1E">
        <w:rPr>
          <w:rFonts w:asciiTheme="majorBidi" w:hAnsiTheme="majorBidi" w:cstheme="majorBidi"/>
        </w:rPr>
        <w:t xml:space="preserve">essentiel à leur activité. Ils sont </w:t>
      </w:r>
      <w:r w:rsidRPr="00023B1E">
        <w:rPr>
          <w:rStyle w:val="lev"/>
          <w:rFonts w:asciiTheme="majorBidi" w:hAnsiTheme="majorBidi" w:cstheme="majorBidi"/>
          <w:b w:val="0"/>
          <w:bCs w:val="0"/>
        </w:rPr>
        <w:t>bactéricides</w:t>
      </w:r>
      <w:r w:rsidRPr="00023B1E">
        <w:rPr>
          <w:rFonts w:asciiTheme="majorBidi" w:hAnsiTheme="majorBidi" w:cstheme="majorBidi"/>
          <w:b/>
          <w:bCs/>
        </w:rPr>
        <w:t xml:space="preserve"> </w:t>
      </w:r>
      <w:r w:rsidRPr="00023B1E">
        <w:rPr>
          <w:rFonts w:asciiTheme="majorBidi" w:hAnsiTheme="majorBidi" w:cstheme="majorBidi"/>
        </w:rPr>
        <w:t>et regroupent :</w:t>
      </w:r>
    </w:p>
    <w:p w:rsidR="003F6FB2" w:rsidRPr="00023B1E" w:rsidRDefault="003F6FB2" w:rsidP="003F6FB2">
      <w:pPr>
        <w:pStyle w:val="NormalWeb"/>
        <w:numPr>
          <w:ilvl w:val="0"/>
          <w:numId w:val="22"/>
        </w:numPr>
        <w:spacing w:line="360" w:lineRule="auto"/>
        <w:rPr>
          <w:rFonts w:asciiTheme="majorBidi" w:hAnsiTheme="majorBidi" w:cstheme="majorBidi"/>
        </w:rPr>
      </w:pPr>
      <w:r w:rsidRPr="00023B1E">
        <w:rPr>
          <w:rStyle w:val="lev"/>
          <w:rFonts w:asciiTheme="majorBidi" w:hAnsiTheme="majorBidi" w:cstheme="majorBidi"/>
        </w:rPr>
        <w:t>Groupe I</w:t>
      </w:r>
      <w:r w:rsidRPr="00023B1E">
        <w:rPr>
          <w:rFonts w:asciiTheme="majorBidi" w:hAnsiTheme="majorBidi" w:cstheme="majorBidi"/>
        </w:rPr>
        <w:t xml:space="preserve"> : cycle β-lactame + cycle thiazoline (pénicillines à spectre étroit : Peni M, Peni V) ;</w:t>
      </w:r>
    </w:p>
    <w:p w:rsidR="003F6FB2" w:rsidRPr="00023B1E" w:rsidRDefault="003F6FB2" w:rsidP="003F6FB2">
      <w:pPr>
        <w:pStyle w:val="NormalWeb"/>
        <w:numPr>
          <w:ilvl w:val="0"/>
          <w:numId w:val="22"/>
        </w:numPr>
        <w:spacing w:line="360" w:lineRule="auto"/>
        <w:rPr>
          <w:rFonts w:asciiTheme="majorBidi" w:hAnsiTheme="majorBidi" w:cstheme="majorBidi"/>
        </w:rPr>
      </w:pPr>
      <w:r w:rsidRPr="00023B1E">
        <w:rPr>
          <w:rStyle w:val="lev"/>
          <w:rFonts w:asciiTheme="majorBidi" w:hAnsiTheme="majorBidi" w:cstheme="majorBidi"/>
        </w:rPr>
        <w:lastRenderedPageBreak/>
        <w:t>Groupe II</w:t>
      </w:r>
      <w:r w:rsidRPr="00023B1E">
        <w:rPr>
          <w:rFonts w:asciiTheme="majorBidi" w:hAnsiTheme="majorBidi" w:cstheme="majorBidi"/>
        </w:rPr>
        <w:t xml:space="preserve"> : cycle β-lactame + cycle dihydrothiazine (pénicillines à spectre large : Peni A) ;</w:t>
      </w:r>
    </w:p>
    <w:p w:rsidR="003F6FB2" w:rsidRPr="00023B1E" w:rsidRDefault="003F6FB2" w:rsidP="003F6FB2">
      <w:pPr>
        <w:pStyle w:val="NormalWeb"/>
        <w:numPr>
          <w:ilvl w:val="0"/>
          <w:numId w:val="22"/>
        </w:numPr>
        <w:spacing w:line="360" w:lineRule="auto"/>
        <w:rPr>
          <w:rFonts w:asciiTheme="majorBidi" w:hAnsiTheme="majorBidi" w:cstheme="majorBidi"/>
        </w:rPr>
      </w:pPr>
      <w:r w:rsidRPr="00023B1E">
        <w:rPr>
          <w:rStyle w:val="lev"/>
          <w:rFonts w:asciiTheme="majorBidi" w:hAnsiTheme="majorBidi" w:cstheme="majorBidi"/>
        </w:rPr>
        <w:t>Groupe III</w:t>
      </w:r>
      <w:r w:rsidRPr="00023B1E">
        <w:rPr>
          <w:rFonts w:asciiTheme="majorBidi" w:hAnsiTheme="majorBidi" w:cstheme="majorBidi"/>
        </w:rPr>
        <w:t xml:space="preserve"> : cycle β-lactame seul (céphalosporines, etc.).</w:t>
      </w:r>
      <w:r w:rsidRPr="00023B1E">
        <w:rPr>
          <w:rFonts w:asciiTheme="majorBidi" w:hAnsiTheme="majorBidi" w:cstheme="majorBidi"/>
        </w:rPr>
        <w:br/>
        <w:t xml:space="preserve">On note aussi des </w:t>
      </w:r>
      <w:r w:rsidRPr="00023B1E">
        <w:rPr>
          <w:rStyle w:val="lev"/>
          <w:rFonts w:asciiTheme="majorBidi" w:hAnsiTheme="majorBidi" w:cstheme="majorBidi"/>
        </w:rPr>
        <w:t>inhibiteurs de β-lactamases</w:t>
      </w:r>
      <w:r w:rsidRPr="00023B1E">
        <w:rPr>
          <w:rFonts w:asciiTheme="majorBidi" w:hAnsiTheme="majorBidi" w:cstheme="majorBidi"/>
        </w:rPr>
        <w:t>, tels que l’</w:t>
      </w:r>
      <w:r w:rsidRPr="00023B1E">
        <w:rPr>
          <w:rStyle w:val="lev"/>
          <w:rFonts w:asciiTheme="majorBidi" w:hAnsiTheme="majorBidi" w:cstheme="majorBidi"/>
        </w:rPr>
        <w:t>Augmentin®</w:t>
      </w:r>
      <w:r w:rsidRPr="00023B1E">
        <w:rPr>
          <w:rFonts w:asciiTheme="majorBidi" w:hAnsiTheme="majorBidi" w:cstheme="majorBidi"/>
        </w:rPr>
        <w:t xml:space="preserve"> (amoxicilline + acide clavulanique), efficaces contre les bactéries productrices de pénicillinase.</w:t>
      </w:r>
    </w:p>
    <w:p w:rsidR="003F6FB2" w:rsidRPr="00023B1E" w:rsidRDefault="003F6FB2" w:rsidP="003F6FB2">
      <w:pPr>
        <w:pStyle w:val="Titre4"/>
        <w:spacing w:line="360" w:lineRule="auto"/>
        <w:rPr>
          <w:rFonts w:asciiTheme="majorBidi" w:hAnsiTheme="majorBidi"/>
          <w:color w:val="0D0D0D" w:themeColor="text1" w:themeTint="F2"/>
          <w:sz w:val="24"/>
          <w:szCs w:val="24"/>
        </w:rPr>
      </w:pPr>
      <w:r w:rsidRPr="00023B1E">
        <w:rPr>
          <w:rStyle w:val="lev"/>
          <w:rFonts w:asciiTheme="majorBidi" w:hAnsiTheme="majorBidi"/>
          <w:b/>
          <w:bCs/>
          <w:color w:val="0D0D0D" w:themeColor="text1" w:themeTint="F2"/>
          <w:sz w:val="24"/>
          <w:szCs w:val="24"/>
        </w:rPr>
        <w:t>3.2. Les aminosides</w:t>
      </w:r>
    </w:p>
    <w:p w:rsidR="003F6FB2" w:rsidRPr="00023B1E" w:rsidRDefault="003F6FB2" w:rsidP="003F6FB2">
      <w:pPr>
        <w:pStyle w:val="NormalWeb"/>
        <w:spacing w:line="360" w:lineRule="auto"/>
        <w:rPr>
          <w:rFonts w:asciiTheme="majorBidi" w:hAnsiTheme="majorBidi" w:cstheme="majorBidi"/>
        </w:rPr>
      </w:pPr>
      <w:r w:rsidRPr="00023B1E">
        <w:rPr>
          <w:rFonts w:asciiTheme="majorBidi" w:hAnsiTheme="majorBidi" w:cstheme="majorBidi"/>
        </w:rPr>
        <w:t xml:space="preserve">Ce sont des </w:t>
      </w:r>
      <w:r w:rsidRPr="00023B1E">
        <w:rPr>
          <w:rStyle w:val="lev"/>
          <w:rFonts w:asciiTheme="majorBidi" w:hAnsiTheme="majorBidi" w:cstheme="majorBidi"/>
          <w:b w:val="0"/>
          <w:bCs w:val="0"/>
        </w:rPr>
        <w:t>hétérosides naturels</w:t>
      </w:r>
      <w:r w:rsidRPr="00023B1E">
        <w:rPr>
          <w:rFonts w:asciiTheme="majorBidi" w:hAnsiTheme="majorBidi" w:cstheme="majorBidi"/>
        </w:rPr>
        <w:t xml:space="preserve"> composés d’un ou plusieurs glycosides liés à un aminocyclitol.</w:t>
      </w:r>
      <w:r w:rsidRPr="00023B1E">
        <w:rPr>
          <w:rFonts w:asciiTheme="majorBidi" w:hAnsiTheme="majorBidi" w:cstheme="majorBidi"/>
        </w:rPr>
        <w:br/>
        <w:t xml:space="preserve">Ils sont </w:t>
      </w:r>
      <w:r w:rsidRPr="00023B1E">
        <w:rPr>
          <w:rStyle w:val="lev"/>
          <w:rFonts w:asciiTheme="majorBidi" w:hAnsiTheme="majorBidi" w:cstheme="majorBidi"/>
          <w:b w:val="0"/>
          <w:bCs w:val="0"/>
        </w:rPr>
        <w:t>rapidement bactéricides</w:t>
      </w:r>
      <w:r w:rsidRPr="00023B1E">
        <w:rPr>
          <w:rFonts w:asciiTheme="majorBidi" w:hAnsiTheme="majorBidi" w:cstheme="majorBidi"/>
        </w:rPr>
        <w:t xml:space="preserve"> et se divisent en trois classes :</w:t>
      </w:r>
    </w:p>
    <w:p w:rsidR="003F6FB2" w:rsidRPr="00023B1E" w:rsidRDefault="003F6FB2" w:rsidP="003F6FB2">
      <w:pPr>
        <w:pStyle w:val="NormalWeb"/>
        <w:numPr>
          <w:ilvl w:val="0"/>
          <w:numId w:val="23"/>
        </w:numPr>
        <w:spacing w:line="360" w:lineRule="auto"/>
        <w:rPr>
          <w:rFonts w:asciiTheme="majorBidi" w:hAnsiTheme="majorBidi" w:cstheme="majorBidi"/>
        </w:rPr>
      </w:pPr>
      <w:r w:rsidRPr="00023B1E">
        <w:rPr>
          <w:rFonts w:asciiTheme="majorBidi" w:hAnsiTheme="majorBidi" w:cstheme="majorBidi"/>
        </w:rPr>
        <w:t>Streptamine</w:t>
      </w:r>
    </w:p>
    <w:p w:rsidR="003F6FB2" w:rsidRPr="00023B1E" w:rsidRDefault="003F6FB2" w:rsidP="003F6FB2">
      <w:pPr>
        <w:pStyle w:val="NormalWeb"/>
        <w:numPr>
          <w:ilvl w:val="0"/>
          <w:numId w:val="23"/>
        </w:numPr>
        <w:spacing w:line="360" w:lineRule="auto"/>
        <w:rPr>
          <w:rFonts w:asciiTheme="majorBidi" w:hAnsiTheme="majorBidi" w:cstheme="majorBidi"/>
        </w:rPr>
      </w:pPr>
      <w:r w:rsidRPr="00023B1E">
        <w:rPr>
          <w:rFonts w:asciiTheme="majorBidi" w:hAnsiTheme="majorBidi" w:cstheme="majorBidi"/>
        </w:rPr>
        <w:t>2-désoxystreptamine</w:t>
      </w:r>
    </w:p>
    <w:p w:rsidR="003F6FB2" w:rsidRPr="00023B1E" w:rsidRDefault="003F6FB2" w:rsidP="003F6FB2">
      <w:pPr>
        <w:pStyle w:val="NormalWeb"/>
        <w:numPr>
          <w:ilvl w:val="0"/>
          <w:numId w:val="23"/>
        </w:numPr>
        <w:spacing w:line="360" w:lineRule="auto"/>
        <w:rPr>
          <w:rFonts w:asciiTheme="majorBidi" w:hAnsiTheme="majorBidi" w:cstheme="majorBidi"/>
        </w:rPr>
      </w:pPr>
      <w:r w:rsidRPr="00023B1E">
        <w:rPr>
          <w:rFonts w:asciiTheme="majorBidi" w:hAnsiTheme="majorBidi" w:cstheme="majorBidi"/>
        </w:rPr>
        <w:t>Streptidine</w:t>
      </w:r>
    </w:p>
    <w:p w:rsidR="003F6FB2" w:rsidRPr="00023B1E" w:rsidRDefault="003F6FB2" w:rsidP="003F6FB2">
      <w:pPr>
        <w:pStyle w:val="Titre4"/>
        <w:spacing w:line="360" w:lineRule="auto"/>
        <w:rPr>
          <w:rFonts w:asciiTheme="majorBidi" w:hAnsiTheme="majorBidi"/>
          <w:color w:val="0D0D0D" w:themeColor="text1" w:themeTint="F2"/>
          <w:sz w:val="24"/>
          <w:szCs w:val="24"/>
        </w:rPr>
      </w:pPr>
      <w:r w:rsidRPr="00023B1E">
        <w:rPr>
          <w:rStyle w:val="lev"/>
          <w:rFonts w:asciiTheme="majorBidi" w:hAnsiTheme="majorBidi"/>
          <w:b/>
          <w:bCs/>
          <w:color w:val="0D0D0D" w:themeColor="text1" w:themeTint="F2"/>
          <w:sz w:val="24"/>
          <w:szCs w:val="24"/>
        </w:rPr>
        <w:t>3.3. Les phénicolés</w:t>
      </w:r>
    </w:p>
    <w:p w:rsidR="003F6FB2" w:rsidRPr="00023B1E" w:rsidRDefault="003F6FB2" w:rsidP="003F6FB2">
      <w:pPr>
        <w:pStyle w:val="NormalWeb"/>
        <w:numPr>
          <w:ilvl w:val="0"/>
          <w:numId w:val="24"/>
        </w:numPr>
        <w:spacing w:line="360" w:lineRule="auto"/>
        <w:rPr>
          <w:rFonts w:asciiTheme="majorBidi" w:hAnsiTheme="majorBidi" w:cstheme="majorBidi"/>
        </w:rPr>
      </w:pPr>
      <w:r w:rsidRPr="00023B1E">
        <w:rPr>
          <w:rStyle w:val="lev"/>
          <w:rFonts w:asciiTheme="majorBidi" w:hAnsiTheme="majorBidi" w:cstheme="majorBidi"/>
        </w:rPr>
        <w:t>Chloramphénicol</w:t>
      </w:r>
      <w:r w:rsidRPr="00023B1E">
        <w:rPr>
          <w:rFonts w:asciiTheme="majorBidi" w:hAnsiTheme="majorBidi" w:cstheme="majorBidi"/>
        </w:rPr>
        <w:t xml:space="preserve"> : antibiotique bactériostatique à large spectre, réservé en Algérie au traitement de la fièvre typhoïde.</w:t>
      </w:r>
    </w:p>
    <w:p w:rsidR="003F6FB2" w:rsidRPr="00023B1E" w:rsidRDefault="003F6FB2" w:rsidP="003F6FB2">
      <w:pPr>
        <w:pStyle w:val="NormalWeb"/>
        <w:numPr>
          <w:ilvl w:val="0"/>
          <w:numId w:val="24"/>
        </w:numPr>
        <w:spacing w:line="360" w:lineRule="auto"/>
        <w:rPr>
          <w:rFonts w:asciiTheme="majorBidi" w:hAnsiTheme="majorBidi" w:cstheme="majorBidi"/>
        </w:rPr>
      </w:pPr>
      <w:r w:rsidRPr="00023B1E">
        <w:rPr>
          <w:rStyle w:val="lev"/>
          <w:rFonts w:asciiTheme="majorBidi" w:hAnsiTheme="majorBidi" w:cstheme="majorBidi"/>
        </w:rPr>
        <w:t>Thiamphénicol</w:t>
      </w:r>
      <w:r w:rsidRPr="00023B1E">
        <w:rPr>
          <w:rFonts w:asciiTheme="majorBidi" w:hAnsiTheme="majorBidi" w:cstheme="majorBidi"/>
        </w:rPr>
        <w:t xml:space="preserve"> : analogue du précédent, avec un spectre similaire.</w:t>
      </w:r>
    </w:p>
    <w:p w:rsidR="003F6FB2" w:rsidRPr="00023B1E" w:rsidRDefault="003F6FB2" w:rsidP="003F6FB2">
      <w:pPr>
        <w:pStyle w:val="Titre4"/>
        <w:spacing w:line="360" w:lineRule="auto"/>
        <w:rPr>
          <w:rFonts w:asciiTheme="majorBidi" w:hAnsiTheme="majorBidi"/>
          <w:color w:val="0D0D0D" w:themeColor="text1" w:themeTint="F2"/>
          <w:sz w:val="24"/>
          <w:szCs w:val="24"/>
        </w:rPr>
      </w:pPr>
      <w:r w:rsidRPr="00023B1E">
        <w:rPr>
          <w:rStyle w:val="lev"/>
          <w:rFonts w:asciiTheme="majorBidi" w:hAnsiTheme="majorBidi"/>
          <w:b/>
          <w:bCs/>
          <w:color w:val="0D0D0D" w:themeColor="text1" w:themeTint="F2"/>
          <w:sz w:val="24"/>
          <w:szCs w:val="24"/>
        </w:rPr>
        <w:t>3.4. Les tétracyclines</w:t>
      </w:r>
    </w:p>
    <w:p w:rsidR="003F6FB2" w:rsidRPr="00023B1E" w:rsidRDefault="003F6FB2" w:rsidP="003F6FB2">
      <w:pPr>
        <w:pStyle w:val="NormalWeb"/>
        <w:spacing w:line="360" w:lineRule="auto"/>
        <w:rPr>
          <w:rFonts w:asciiTheme="majorBidi" w:hAnsiTheme="majorBidi" w:cstheme="majorBidi"/>
        </w:rPr>
      </w:pPr>
      <w:r w:rsidRPr="00023B1E">
        <w:rPr>
          <w:rFonts w:asciiTheme="majorBidi" w:hAnsiTheme="majorBidi" w:cstheme="majorBidi"/>
        </w:rPr>
        <w:t xml:space="preserve">Antibiotiques </w:t>
      </w:r>
      <w:r w:rsidRPr="00023B1E">
        <w:rPr>
          <w:rStyle w:val="lev"/>
          <w:rFonts w:asciiTheme="majorBidi" w:hAnsiTheme="majorBidi" w:cstheme="majorBidi"/>
        </w:rPr>
        <w:t>bactériostatiques</w:t>
      </w:r>
      <w:r w:rsidRPr="00023B1E">
        <w:rPr>
          <w:rFonts w:asciiTheme="majorBidi" w:hAnsiTheme="majorBidi" w:cstheme="majorBidi"/>
        </w:rPr>
        <w:t xml:space="preserve"> à large spectre, capables de pénétrer les cellules.</w:t>
      </w:r>
      <w:r w:rsidRPr="00023B1E">
        <w:rPr>
          <w:rFonts w:asciiTheme="majorBidi" w:hAnsiTheme="majorBidi" w:cstheme="majorBidi"/>
        </w:rPr>
        <w:br/>
        <w:t>Elles se divisent en :</w:t>
      </w:r>
    </w:p>
    <w:p w:rsidR="003F6FB2" w:rsidRPr="00023B1E" w:rsidRDefault="003F6FB2" w:rsidP="003F6FB2">
      <w:pPr>
        <w:pStyle w:val="NormalWeb"/>
        <w:numPr>
          <w:ilvl w:val="0"/>
          <w:numId w:val="25"/>
        </w:numPr>
        <w:spacing w:line="360" w:lineRule="auto"/>
        <w:rPr>
          <w:rFonts w:asciiTheme="majorBidi" w:hAnsiTheme="majorBidi" w:cstheme="majorBidi"/>
        </w:rPr>
      </w:pPr>
      <w:r w:rsidRPr="00023B1E">
        <w:rPr>
          <w:rStyle w:val="lev"/>
          <w:rFonts w:asciiTheme="majorBidi" w:hAnsiTheme="majorBidi" w:cstheme="majorBidi"/>
        </w:rPr>
        <w:t>Cyclines naturelles</w:t>
      </w:r>
      <w:r w:rsidRPr="00023B1E">
        <w:rPr>
          <w:rFonts w:asciiTheme="majorBidi" w:hAnsiTheme="majorBidi" w:cstheme="majorBidi"/>
        </w:rPr>
        <w:t xml:space="preserve"> : chlortétracycline (Auréomycine®), tétracycline (Tétracyne®) ;</w:t>
      </w:r>
    </w:p>
    <w:p w:rsidR="003F6FB2" w:rsidRPr="00023B1E" w:rsidRDefault="003F6FB2" w:rsidP="003F6FB2">
      <w:pPr>
        <w:pStyle w:val="NormalWeb"/>
        <w:numPr>
          <w:ilvl w:val="0"/>
          <w:numId w:val="25"/>
        </w:numPr>
        <w:spacing w:line="360" w:lineRule="auto"/>
        <w:rPr>
          <w:rFonts w:asciiTheme="majorBidi" w:hAnsiTheme="majorBidi" w:cstheme="majorBidi"/>
        </w:rPr>
      </w:pPr>
      <w:r w:rsidRPr="00023B1E">
        <w:rPr>
          <w:rStyle w:val="lev"/>
          <w:rFonts w:asciiTheme="majorBidi" w:hAnsiTheme="majorBidi" w:cstheme="majorBidi"/>
        </w:rPr>
        <w:t>Cyclines semi-synthétiques</w:t>
      </w:r>
      <w:r w:rsidRPr="00023B1E">
        <w:rPr>
          <w:rFonts w:asciiTheme="majorBidi" w:hAnsiTheme="majorBidi" w:cstheme="majorBidi"/>
        </w:rPr>
        <w:t xml:space="preserve"> : oxytétracycline (Terramycine®), doxycycline (Vibramycine®), minocycline (Mynocine®).</w:t>
      </w:r>
    </w:p>
    <w:p w:rsidR="003F6FB2" w:rsidRPr="00023B1E" w:rsidRDefault="003F6FB2" w:rsidP="003F6FB2">
      <w:pPr>
        <w:pStyle w:val="Titre4"/>
        <w:spacing w:line="360" w:lineRule="auto"/>
        <w:rPr>
          <w:rFonts w:asciiTheme="majorBidi" w:hAnsiTheme="majorBidi"/>
          <w:b w:val="0"/>
          <w:bCs w:val="0"/>
          <w:color w:val="0D0D0D" w:themeColor="text1" w:themeTint="F2"/>
          <w:sz w:val="24"/>
          <w:szCs w:val="24"/>
        </w:rPr>
      </w:pPr>
      <w:r w:rsidRPr="00023B1E">
        <w:rPr>
          <w:rStyle w:val="lev"/>
          <w:rFonts w:asciiTheme="majorBidi" w:hAnsiTheme="majorBidi"/>
          <w:b/>
          <w:bCs/>
          <w:color w:val="0D0D0D" w:themeColor="text1" w:themeTint="F2"/>
          <w:sz w:val="24"/>
          <w:szCs w:val="24"/>
        </w:rPr>
        <w:t>3.5. Les polypeptides</w:t>
      </w:r>
    </w:p>
    <w:p w:rsidR="003F6FB2" w:rsidRPr="00023B1E" w:rsidRDefault="003F6FB2" w:rsidP="003F6FB2">
      <w:pPr>
        <w:pStyle w:val="NormalWeb"/>
        <w:spacing w:line="360" w:lineRule="auto"/>
        <w:rPr>
          <w:rFonts w:asciiTheme="majorBidi" w:hAnsiTheme="majorBidi" w:cstheme="majorBidi"/>
        </w:rPr>
      </w:pPr>
      <w:r w:rsidRPr="00023B1E">
        <w:rPr>
          <w:rFonts w:asciiTheme="majorBidi" w:hAnsiTheme="majorBidi" w:cstheme="majorBidi"/>
        </w:rPr>
        <w:t>Cette famille comprend plusieurs sous-groupes :</w:t>
      </w:r>
    </w:p>
    <w:p w:rsidR="003F6FB2" w:rsidRPr="00023B1E" w:rsidRDefault="003F6FB2" w:rsidP="003F6FB2">
      <w:pPr>
        <w:pStyle w:val="NormalWeb"/>
        <w:numPr>
          <w:ilvl w:val="0"/>
          <w:numId w:val="26"/>
        </w:numPr>
        <w:spacing w:line="360" w:lineRule="auto"/>
        <w:rPr>
          <w:rFonts w:asciiTheme="majorBidi" w:hAnsiTheme="majorBidi" w:cstheme="majorBidi"/>
        </w:rPr>
      </w:pPr>
      <w:r w:rsidRPr="00023B1E">
        <w:rPr>
          <w:rStyle w:val="lev"/>
          <w:rFonts w:asciiTheme="majorBidi" w:hAnsiTheme="majorBidi" w:cstheme="majorBidi"/>
        </w:rPr>
        <w:t>Peptides cycliques</w:t>
      </w:r>
      <w:r w:rsidRPr="00023B1E">
        <w:rPr>
          <w:rFonts w:asciiTheme="majorBidi" w:hAnsiTheme="majorBidi" w:cstheme="majorBidi"/>
        </w:rPr>
        <w:t xml:space="preserve"> : capréomycine, viomycine ;</w:t>
      </w:r>
    </w:p>
    <w:p w:rsidR="003F6FB2" w:rsidRPr="00023B1E" w:rsidRDefault="003F6FB2" w:rsidP="003F6FB2">
      <w:pPr>
        <w:pStyle w:val="NormalWeb"/>
        <w:numPr>
          <w:ilvl w:val="0"/>
          <w:numId w:val="26"/>
        </w:numPr>
        <w:spacing w:line="360" w:lineRule="auto"/>
        <w:rPr>
          <w:rFonts w:asciiTheme="majorBidi" w:hAnsiTheme="majorBidi" w:cstheme="majorBidi"/>
        </w:rPr>
      </w:pPr>
      <w:r w:rsidRPr="00023B1E">
        <w:rPr>
          <w:rStyle w:val="lev"/>
          <w:rFonts w:asciiTheme="majorBidi" w:hAnsiTheme="majorBidi" w:cstheme="majorBidi"/>
        </w:rPr>
        <w:lastRenderedPageBreak/>
        <w:t>Glycopeptides</w:t>
      </w:r>
      <w:r w:rsidRPr="00023B1E">
        <w:rPr>
          <w:rFonts w:asciiTheme="majorBidi" w:hAnsiTheme="majorBidi" w:cstheme="majorBidi"/>
        </w:rPr>
        <w:t xml:space="preserve"> : vancomycine ;</w:t>
      </w:r>
    </w:p>
    <w:p w:rsidR="003F6FB2" w:rsidRPr="00023B1E" w:rsidRDefault="003F6FB2" w:rsidP="003F6FB2">
      <w:pPr>
        <w:pStyle w:val="NormalWeb"/>
        <w:numPr>
          <w:ilvl w:val="0"/>
          <w:numId w:val="26"/>
        </w:numPr>
        <w:spacing w:line="360" w:lineRule="auto"/>
        <w:rPr>
          <w:rFonts w:asciiTheme="majorBidi" w:hAnsiTheme="majorBidi" w:cstheme="majorBidi"/>
        </w:rPr>
      </w:pPr>
      <w:r w:rsidRPr="00023B1E">
        <w:rPr>
          <w:rStyle w:val="lev"/>
          <w:rFonts w:asciiTheme="majorBidi" w:hAnsiTheme="majorBidi" w:cstheme="majorBidi"/>
        </w:rPr>
        <w:t>Glycolipopeptides</w:t>
      </w:r>
      <w:r w:rsidRPr="00023B1E">
        <w:rPr>
          <w:rFonts w:asciiTheme="majorBidi" w:hAnsiTheme="majorBidi" w:cstheme="majorBidi"/>
        </w:rPr>
        <w:t xml:space="preserve"> : téicoplanine, ramoplanine ;</w:t>
      </w:r>
    </w:p>
    <w:p w:rsidR="003F6FB2" w:rsidRPr="00023B1E" w:rsidRDefault="003F6FB2" w:rsidP="003F6FB2">
      <w:pPr>
        <w:pStyle w:val="NormalWeb"/>
        <w:numPr>
          <w:ilvl w:val="0"/>
          <w:numId w:val="26"/>
        </w:numPr>
        <w:spacing w:line="360" w:lineRule="auto"/>
        <w:rPr>
          <w:rFonts w:asciiTheme="majorBidi" w:hAnsiTheme="majorBidi" w:cstheme="majorBidi"/>
        </w:rPr>
      </w:pPr>
      <w:r w:rsidRPr="00023B1E">
        <w:rPr>
          <w:rStyle w:val="lev"/>
          <w:rFonts w:asciiTheme="majorBidi" w:hAnsiTheme="majorBidi" w:cstheme="majorBidi"/>
        </w:rPr>
        <w:t>Lipopeptides</w:t>
      </w:r>
      <w:r w:rsidRPr="00023B1E">
        <w:rPr>
          <w:rFonts w:asciiTheme="majorBidi" w:hAnsiTheme="majorBidi" w:cstheme="majorBidi"/>
        </w:rPr>
        <w:t xml:space="preserve"> : daptomycine (en développement clinique), polymyxine (active sur les bacilles à Gram négatif).</w:t>
      </w:r>
    </w:p>
    <w:p w:rsidR="003F6FB2" w:rsidRPr="00023B1E" w:rsidRDefault="003F6FB2" w:rsidP="003F6FB2">
      <w:pPr>
        <w:pStyle w:val="NormalWeb"/>
        <w:spacing w:line="360" w:lineRule="auto"/>
        <w:rPr>
          <w:rFonts w:asciiTheme="majorBidi" w:hAnsiTheme="majorBidi" w:cstheme="majorBidi"/>
        </w:rPr>
      </w:pPr>
      <w:r w:rsidRPr="00023B1E">
        <w:rPr>
          <w:rStyle w:val="lev"/>
          <w:rFonts w:asciiTheme="majorBidi" w:hAnsiTheme="majorBidi" w:cstheme="majorBidi"/>
        </w:rPr>
        <w:t>Vancomycine</w:t>
      </w:r>
      <w:r w:rsidRPr="00023B1E">
        <w:rPr>
          <w:rFonts w:asciiTheme="majorBidi" w:hAnsiTheme="majorBidi" w:cstheme="majorBidi"/>
        </w:rPr>
        <w:t xml:space="preserve"> : administrée par voie IV, réservée à l’usage hospitalier.</w:t>
      </w:r>
      <w:r w:rsidRPr="00023B1E">
        <w:rPr>
          <w:rFonts w:asciiTheme="majorBidi" w:hAnsiTheme="majorBidi" w:cstheme="majorBidi"/>
        </w:rPr>
        <w:br/>
      </w:r>
      <w:r w:rsidRPr="00023B1E">
        <w:rPr>
          <w:rStyle w:val="lev"/>
          <w:rFonts w:asciiTheme="majorBidi" w:hAnsiTheme="majorBidi" w:cstheme="majorBidi"/>
        </w:rPr>
        <w:t>Téicoplanine</w:t>
      </w:r>
      <w:r w:rsidRPr="00023B1E">
        <w:rPr>
          <w:rFonts w:asciiTheme="majorBidi" w:hAnsiTheme="majorBidi" w:cstheme="majorBidi"/>
        </w:rPr>
        <w:t xml:space="preserve"> : soluble dans l’eau, bien tolérée par voie IV/IM, diffusion tissulaire importante.</w:t>
      </w:r>
      <w:r w:rsidRPr="00023B1E">
        <w:rPr>
          <w:rFonts w:asciiTheme="majorBidi" w:hAnsiTheme="majorBidi" w:cstheme="majorBidi"/>
        </w:rPr>
        <w:br/>
      </w:r>
      <w:r w:rsidRPr="00023B1E">
        <w:rPr>
          <w:rStyle w:val="lev"/>
          <w:rFonts w:asciiTheme="majorBidi" w:hAnsiTheme="majorBidi" w:cstheme="majorBidi"/>
        </w:rPr>
        <w:t>Polymyxines</w:t>
      </w:r>
      <w:r w:rsidRPr="00023B1E">
        <w:rPr>
          <w:rFonts w:asciiTheme="majorBidi" w:hAnsiTheme="majorBidi" w:cstheme="majorBidi"/>
        </w:rPr>
        <w:t xml:space="preserve"> : composées d’une chaîne peptidique et lipidique — polymyxine B (Polymyxine®) et polymyxine E (Colimycine®).</w:t>
      </w:r>
    </w:p>
    <w:p w:rsidR="003F6FB2" w:rsidRPr="00023B1E" w:rsidRDefault="003F6FB2" w:rsidP="003F6FB2">
      <w:pPr>
        <w:pStyle w:val="Titre4"/>
        <w:spacing w:line="360" w:lineRule="auto"/>
        <w:rPr>
          <w:rFonts w:asciiTheme="majorBidi" w:hAnsiTheme="majorBidi"/>
          <w:color w:val="0D0D0D" w:themeColor="text1" w:themeTint="F2"/>
          <w:sz w:val="24"/>
          <w:szCs w:val="24"/>
        </w:rPr>
      </w:pPr>
      <w:r w:rsidRPr="00023B1E">
        <w:rPr>
          <w:rStyle w:val="lev"/>
          <w:rFonts w:asciiTheme="majorBidi" w:hAnsiTheme="majorBidi"/>
          <w:b/>
          <w:bCs/>
          <w:color w:val="0D0D0D" w:themeColor="text1" w:themeTint="F2"/>
          <w:sz w:val="24"/>
          <w:szCs w:val="24"/>
        </w:rPr>
        <w:t>3.6. Les macrolides</w:t>
      </w:r>
    </w:p>
    <w:p w:rsidR="003F6FB2" w:rsidRPr="00023B1E" w:rsidRDefault="003F6FB2" w:rsidP="003F6FB2">
      <w:pPr>
        <w:pStyle w:val="NormalWeb"/>
        <w:spacing w:line="360" w:lineRule="auto"/>
        <w:rPr>
          <w:rFonts w:asciiTheme="majorBidi" w:hAnsiTheme="majorBidi" w:cstheme="majorBidi"/>
        </w:rPr>
      </w:pPr>
      <w:r w:rsidRPr="00023B1E">
        <w:rPr>
          <w:rFonts w:asciiTheme="majorBidi" w:hAnsiTheme="majorBidi" w:cstheme="majorBidi"/>
        </w:rPr>
        <w:t xml:space="preserve">Très utilisés en pratique médicale pour leur </w:t>
      </w:r>
      <w:r w:rsidRPr="00023B1E">
        <w:rPr>
          <w:rStyle w:val="lev"/>
          <w:rFonts w:asciiTheme="majorBidi" w:hAnsiTheme="majorBidi" w:cstheme="majorBidi"/>
          <w:b w:val="0"/>
          <w:bCs w:val="0"/>
        </w:rPr>
        <w:t>facilité d’emploi</w:t>
      </w:r>
      <w:r w:rsidRPr="00023B1E">
        <w:rPr>
          <w:rFonts w:asciiTheme="majorBidi" w:hAnsiTheme="majorBidi" w:cstheme="majorBidi"/>
        </w:rPr>
        <w:t xml:space="preserve">, ils présentent un </w:t>
      </w:r>
      <w:r w:rsidRPr="00023B1E">
        <w:rPr>
          <w:rStyle w:val="lev"/>
          <w:rFonts w:asciiTheme="majorBidi" w:hAnsiTheme="majorBidi" w:cstheme="majorBidi"/>
          <w:b w:val="0"/>
          <w:bCs w:val="0"/>
        </w:rPr>
        <w:t>spectre étroit</w:t>
      </w:r>
      <w:r w:rsidRPr="00023B1E">
        <w:rPr>
          <w:rFonts w:asciiTheme="majorBidi" w:hAnsiTheme="majorBidi" w:cstheme="majorBidi"/>
        </w:rPr>
        <w:t xml:space="preserve">, mais sont actifs contre les </w:t>
      </w:r>
      <w:r w:rsidRPr="00023B1E">
        <w:rPr>
          <w:rStyle w:val="lev"/>
          <w:rFonts w:asciiTheme="majorBidi" w:hAnsiTheme="majorBidi" w:cstheme="majorBidi"/>
          <w:b w:val="0"/>
          <w:bCs w:val="0"/>
        </w:rPr>
        <w:t>germes intracellulaires</w:t>
      </w:r>
      <w:r w:rsidRPr="00023B1E">
        <w:rPr>
          <w:rFonts w:asciiTheme="majorBidi" w:hAnsiTheme="majorBidi" w:cstheme="majorBidi"/>
        </w:rPr>
        <w:t>.</w:t>
      </w:r>
      <w:r w:rsidRPr="00023B1E">
        <w:rPr>
          <w:rFonts w:asciiTheme="majorBidi" w:hAnsiTheme="majorBidi" w:cstheme="majorBidi"/>
        </w:rPr>
        <w:br/>
        <w:t xml:space="preserve">Leur </w:t>
      </w:r>
      <w:r w:rsidRPr="00023B1E">
        <w:rPr>
          <w:rStyle w:val="lev"/>
          <w:rFonts w:asciiTheme="majorBidi" w:hAnsiTheme="majorBidi" w:cstheme="majorBidi"/>
          <w:b w:val="0"/>
          <w:bCs w:val="0"/>
        </w:rPr>
        <w:t>noyau lactone central</w:t>
      </w:r>
      <w:r w:rsidRPr="00023B1E">
        <w:rPr>
          <w:rFonts w:asciiTheme="majorBidi" w:hAnsiTheme="majorBidi" w:cstheme="majorBidi"/>
        </w:rPr>
        <w:t xml:space="preserve">, dont le nombre d’atomes de carbone varie, sert de base à leur classification. Ces molécules </w:t>
      </w:r>
      <w:r w:rsidRPr="00023B1E">
        <w:rPr>
          <w:rStyle w:val="lev"/>
          <w:rFonts w:asciiTheme="majorBidi" w:hAnsiTheme="majorBidi" w:cstheme="majorBidi"/>
          <w:b w:val="0"/>
          <w:bCs w:val="0"/>
        </w:rPr>
        <w:t>lipophiles</w:t>
      </w:r>
      <w:r w:rsidRPr="00023B1E">
        <w:rPr>
          <w:rFonts w:asciiTheme="majorBidi" w:hAnsiTheme="majorBidi" w:cstheme="majorBidi"/>
        </w:rPr>
        <w:t xml:space="preserve"> pénètrent bien dans les tissus.</w:t>
      </w:r>
    </w:p>
    <w:p w:rsidR="003F6FB2" w:rsidRPr="00023B1E" w:rsidRDefault="003F6FB2" w:rsidP="003F6FB2">
      <w:pPr>
        <w:pStyle w:val="Titre4"/>
        <w:spacing w:line="360" w:lineRule="auto"/>
        <w:rPr>
          <w:rFonts w:asciiTheme="majorBidi" w:hAnsiTheme="majorBidi"/>
          <w:color w:val="0D0D0D" w:themeColor="text1" w:themeTint="F2"/>
          <w:sz w:val="24"/>
          <w:szCs w:val="24"/>
        </w:rPr>
      </w:pPr>
      <w:r w:rsidRPr="00023B1E">
        <w:rPr>
          <w:rStyle w:val="lev"/>
          <w:rFonts w:asciiTheme="majorBidi" w:hAnsiTheme="majorBidi"/>
          <w:b/>
          <w:bCs/>
          <w:color w:val="0D0D0D" w:themeColor="text1" w:themeTint="F2"/>
          <w:sz w:val="24"/>
          <w:szCs w:val="24"/>
        </w:rPr>
        <w:t>3.7. Les quinolones</w:t>
      </w:r>
    </w:p>
    <w:p w:rsidR="003F6FB2" w:rsidRPr="00023B1E" w:rsidRDefault="003F6FB2" w:rsidP="003F6FB2">
      <w:pPr>
        <w:pStyle w:val="NormalWeb"/>
        <w:spacing w:line="360" w:lineRule="auto"/>
        <w:rPr>
          <w:rFonts w:asciiTheme="majorBidi" w:hAnsiTheme="majorBidi" w:cstheme="majorBidi"/>
        </w:rPr>
      </w:pPr>
      <w:r w:rsidRPr="00023B1E">
        <w:rPr>
          <w:rFonts w:asciiTheme="majorBidi" w:hAnsiTheme="majorBidi" w:cstheme="majorBidi"/>
        </w:rPr>
        <w:t xml:space="preserve">Antibiotiques </w:t>
      </w:r>
      <w:r w:rsidRPr="00023B1E">
        <w:rPr>
          <w:rStyle w:val="lev"/>
          <w:rFonts w:asciiTheme="majorBidi" w:hAnsiTheme="majorBidi" w:cstheme="majorBidi"/>
          <w:b w:val="0"/>
          <w:bCs w:val="0"/>
        </w:rPr>
        <w:t>synthétiques</w:t>
      </w:r>
      <w:r w:rsidRPr="00023B1E">
        <w:rPr>
          <w:rFonts w:asciiTheme="majorBidi" w:hAnsiTheme="majorBidi" w:cstheme="majorBidi"/>
        </w:rPr>
        <w:t xml:space="preserve"> agissant sur la </w:t>
      </w:r>
      <w:r w:rsidRPr="00023B1E">
        <w:rPr>
          <w:rStyle w:val="lev"/>
          <w:rFonts w:asciiTheme="majorBidi" w:hAnsiTheme="majorBidi" w:cstheme="majorBidi"/>
          <w:b w:val="0"/>
          <w:bCs w:val="0"/>
        </w:rPr>
        <w:t>synthèse de l’ADN</w:t>
      </w:r>
      <w:r w:rsidRPr="00023B1E">
        <w:rPr>
          <w:rFonts w:asciiTheme="majorBidi" w:hAnsiTheme="majorBidi" w:cstheme="majorBidi"/>
        </w:rPr>
        <w:t>, elles sont classées selon leur génération :</w:t>
      </w:r>
    </w:p>
    <w:p w:rsidR="003F6FB2" w:rsidRPr="00023B1E" w:rsidRDefault="003F6FB2" w:rsidP="003F6FB2">
      <w:pPr>
        <w:pStyle w:val="NormalWeb"/>
        <w:numPr>
          <w:ilvl w:val="0"/>
          <w:numId w:val="27"/>
        </w:numPr>
        <w:spacing w:line="360" w:lineRule="auto"/>
        <w:rPr>
          <w:rFonts w:asciiTheme="majorBidi" w:hAnsiTheme="majorBidi" w:cstheme="majorBidi"/>
        </w:rPr>
      </w:pPr>
      <w:r w:rsidRPr="00023B1E">
        <w:rPr>
          <w:rStyle w:val="lev"/>
          <w:rFonts w:asciiTheme="majorBidi" w:hAnsiTheme="majorBidi" w:cstheme="majorBidi"/>
        </w:rPr>
        <w:t>1re génération</w:t>
      </w:r>
      <w:r w:rsidRPr="00023B1E">
        <w:rPr>
          <w:rFonts w:asciiTheme="majorBidi" w:hAnsiTheme="majorBidi" w:cstheme="majorBidi"/>
        </w:rPr>
        <w:t xml:space="preserve"> : acide nalidixique (Negram®), acide oxolinique (Urotrate®) ;</w:t>
      </w:r>
    </w:p>
    <w:p w:rsidR="003F6FB2" w:rsidRPr="00023B1E" w:rsidRDefault="003F6FB2" w:rsidP="003F6FB2">
      <w:pPr>
        <w:pStyle w:val="NormalWeb"/>
        <w:numPr>
          <w:ilvl w:val="0"/>
          <w:numId w:val="27"/>
        </w:numPr>
        <w:spacing w:line="360" w:lineRule="auto"/>
        <w:rPr>
          <w:rFonts w:asciiTheme="majorBidi" w:hAnsiTheme="majorBidi" w:cstheme="majorBidi"/>
        </w:rPr>
      </w:pPr>
      <w:r w:rsidRPr="00023B1E">
        <w:rPr>
          <w:rStyle w:val="lev"/>
          <w:rFonts w:asciiTheme="majorBidi" w:hAnsiTheme="majorBidi" w:cstheme="majorBidi"/>
        </w:rPr>
        <w:t>2e génération</w:t>
      </w:r>
      <w:r w:rsidRPr="00023B1E">
        <w:rPr>
          <w:rFonts w:asciiTheme="majorBidi" w:hAnsiTheme="majorBidi" w:cstheme="majorBidi"/>
        </w:rPr>
        <w:t xml:space="preserve"> : ofloxacine (Oflocet®), lévofloxacine.</w:t>
      </w:r>
      <w:r w:rsidRPr="00023B1E">
        <w:rPr>
          <w:rFonts w:asciiTheme="majorBidi" w:hAnsiTheme="majorBidi" w:cstheme="majorBidi"/>
        </w:rPr>
        <w:br/>
        <w:t>L’ajout d’un atome de fluor a permis d’élargir leur spectre d’activité.</w:t>
      </w:r>
    </w:p>
    <w:p w:rsidR="003F6FB2" w:rsidRPr="00023B1E" w:rsidRDefault="003F6FB2" w:rsidP="003F6FB2">
      <w:pPr>
        <w:pStyle w:val="Titre4"/>
        <w:spacing w:line="360" w:lineRule="auto"/>
        <w:rPr>
          <w:rFonts w:asciiTheme="majorBidi" w:hAnsiTheme="majorBidi"/>
          <w:color w:val="0D0D0D" w:themeColor="text1" w:themeTint="F2"/>
          <w:sz w:val="24"/>
          <w:szCs w:val="24"/>
        </w:rPr>
      </w:pPr>
      <w:r w:rsidRPr="00023B1E">
        <w:rPr>
          <w:rStyle w:val="lev"/>
          <w:rFonts w:asciiTheme="majorBidi" w:hAnsiTheme="majorBidi"/>
          <w:b/>
          <w:bCs/>
          <w:color w:val="0D0D0D" w:themeColor="text1" w:themeTint="F2"/>
          <w:sz w:val="24"/>
          <w:szCs w:val="24"/>
        </w:rPr>
        <w:t>3.8. Les rifamycines</w:t>
      </w:r>
    </w:p>
    <w:p w:rsidR="003F6FB2" w:rsidRPr="00023B1E" w:rsidRDefault="003F6FB2" w:rsidP="003F6FB2">
      <w:pPr>
        <w:pStyle w:val="NormalWeb"/>
        <w:spacing w:line="360" w:lineRule="auto"/>
        <w:rPr>
          <w:rFonts w:asciiTheme="majorBidi" w:hAnsiTheme="majorBidi" w:cstheme="majorBidi"/>
        </w:rPr>
      </w:pPr>
      <w:r w:rsidRPr="00023B1E">
        <w:rPr>
          <w:rFonts w:asciiTheme="majorBidi" w:hAnsiTheme="majorBidi" w:cstheme="majorBidi"/>
        </w:rPr>
        <w:t xml:space="preserve">Constituées d’un </w:t>
      </w:r>
      <w:r w:rsidRPr="00023B1E">
        <w:rPr>
          <w:rStyle w:val="lev"/>
          <w:rFonts w:asciiTheme="majorBidi" w:hAnsiTheme="majorBidi" w:cstheme="majorBidi"/>
          <w:b w:val="0"/>
          <w:bCs w:val="0"/>
        </w:rPr>
        <w:t>macrocycle</w:t>
      </w:r>
      <w:r w:rsidRPr="00023B1E">
        <w:rPr>
          <w:rFonts w:asciiTheme="majorBidi" w:hAnsiTheme="majorBidi" w:cstheme="majorBidi"/>
        </w:rPr>
        <w:t xml:space="preserve"> et d’un </w:t>
      </w:r>
      <w:r w:rsidRPr="00023B1E">
        <w:rPr>
          <w:rStyle w:val="lev"/>
          <w:rFonts w:asciiTheme="majorBidi" w:hAnsiTheme="majorBidi" w:cstheme="majorBidi"/>
          <w:b w:val="0"/>
          <w:bCs w:val="0"/>
        </w:rPr>
        <w:t>cycle aromatique</w:t>
      </w:r>
      <w:r w:rsidRPr="00023B1E">
        <w:rPr>
          <w:rFonts w:asciiTheme="majorBidi" w:hAnsiTheme="majorBidi" w:cstheme="majorBidi"/>
        </w:rPr>
        <w:t>, elles bloquent la transcription en inhibant l’ARN polymérase.</w:t>
      </w:r>
      <w:r w:rsidRPr="00023B1E">
        <w:rPr>
          <w:rFonts w:asciiTheme="majorBidi" w:hAnsiTheme="majorBidi" w:cstheme="majorBidi"/>
        </w:rPr>
        <w:br/>
        <w:t>Les principales sont :</w:t>
      </w:r>
    </w:p>
    <w:p w:rsidR="003F6FB2" w:rsidRPr="00023B1E" w:rsidRDefault="003F6FB2" w:rsidP="003F6FB2">
      <w:pPr>
        <w:pStyle w:val="NormalWeb"/>
        <w:numPr>
          <w:ilvl w:val="0"/>
          <w:numId w:val="28"/>
        </w:numPr>
        <w:spacing w:line="360" w:lineRule="auto"/>
        <w:rPr>
          <w:rFonts w:asciiTheme="majorBidi" w:hAnsiTheme="majorBidi" w:cstheme="majorBidi"/>
        </w:rPr>
      </w:pPr>
      <w:r w:rsidRPr="00023B1E">
        <w:rPr>
          <w:rFonts w:asciiTheme="majorBidi" w:hAnsiTheme="majorBidi" w:cstheme="majorBidi"/>
        </w:rPr>
        <w:t>Rifamycine SV (Rifocine®)</w:t>
      </w:r>
    </w:p>
    <w:p w:rsidR="003F6FB2" w:rsidRPr="00023B1E" w:rsidRDefault="003F6FB2" w:rsidP="003F6FB2">
      <w:pPr>
        <w:pStyle w:val="NormalWeb"/>
        <w:numPr>
          <w:ilvl w:val="0"/>
          <w:numId w:val="28"/>
        </w:numPr>
        <w:spacing w:line="360" w:lineRule="auto"/>
        <w:rPr>
          <w:rFonts w:asciiTheme="majorBidi" w:hAnsiTheme="majorBidi" w:cstheme="majorBidi"/>
        </w:rPr>
      </w:pPr>
      <w:r w:rsidRPr="00023B1E">
        <w:rPr>
          <w:rFonts w:asciiTheme="majorBidi" w:hAnsiTheme="majorBidi" w:cstheme="majorBidi"/>
        </w:rPr>
        <w:t>Rifamide</w:t>
      </w:r>
    </w:p>
    <w:p w:rsidR="003F6FB2" w:rsidRPr="00023B1E" w:rsidRDefault="003F6FB2" w:rsidP="003F6FB2">
      <w:pPr>
        <w:pStyle w:val="NormalWeb"/>
        <w:numPr>
          <w:ilvl w:val="0"/>
          <w:numId w:val="28"/>
        </w:numPr>
        <w:spacing w:line="360" w:lineRule="auto"/>
        <w:rPr>
          <w:rFonts w:asciiTheme="majorBidi" w:hAnsiTheme="majorBidi" w:cstheme="majorBidi"/>
        </w:rPr>
      </w:pPr>
      <w:r w:rsidRPr="00023B1E">
        <w:rPr>
          <w:rFonts w:asciiTheme="majorBidi" w:hAnsiTheme="majorBidi" w:cstheme="majorBidi"/>
        </w:rPr>
        <w:t>Rifampicine</w:t>
      </w:r>
    </w:p>
    <w:p w:rsidR="004F5245" w:rsidRPr="00023B1E" w:rsidRDefault="004F5245" w:rsidP="004F5245">
      <w:pPr>
        <w:pStyle w:val="NormalWeb"/>
        <w:spacing w:line="360" w:lineRule="auto"/>
        <w:rPr>
          <w:rFonts w:asciiTheme="majorBidi" w:hAnsiTheme="majorBidi" w:cstheme="majorBidi"/>
        </w:rPr>
      </w:pPr>
    </w:p>
    <w:p w:rsidR="004F5245" w:rsidRPr="00023B1E" w:rsidRDefault="004F5245" w:rsidP="004F5245">
      <w:pPr>
        <w:spacing w:line="360" w:lineRule="auto"/>
        <w:rPr>
          <w:rFonts w:asciiTheme="majorBidi" w:hAnsiTheme="majorBidi" w:cstheme="majorBidi"/>
          <w:sz w:val="24"/>
          <w:szCs w:val="24"/>
        </w:rPr>
      </w:pPr>
      <w:r w:rsidRPr="00023B1E">
        <w:rPr>
          <w:rFonts w:asciiTheme="majorBidi" w:hAnsiTheme="majorBidi" w:cstheme="majorBidi"/>
          <w:b/>
          <w:bCs/>
          <w:sz w:val="24"/>
          <w:szCs w:val="24"/>
        </w:rPr>
        <w:t>Tableau 1</w:t>
      </w:r>
      <w:r w:rsidRPr="00023B1E">
        <w:rPr>
          <w:rFonts w:asciiTheme="majorBidi" w:hAnsiTheme="majorBidi" w:cstheme="majorBidi"/>
          <w:sz w:val="24"/>
          <w:szCs w:val="24"/>
        </w:rPr>
        <w:t xml:space="preserve"> : Mécanismes d’action des principales familles d’antibiotiques</w:t>
      </w:r>
    </w:p>
    <w:p w:rsidR="004F5245" w:rsidRPr="00023B1E" w:rsidRDefault="004F5245" w:rsidP="004F5245">
      <w:pPr>
        <w:pStyle w:val="NormalWeb"/>
        <w:spacing w:line="360" w:lineRule="auto"/>
        <w:rPr>
          <w:rFonts w:asciiTheme="majorBidi" w:hAnsiTheme="majorBidi" w:cstheme="majorBidi"/>
        </w:rPr>
      </w:pPr>
      <w:r w:rsidRPr="00023B1E">
        <w:rPr>
          <w:rFonts w:asciiTheme="majorBidi" w:hAnsiTheme="majorBidi" w:cstheme="majorBidi"/>
        </w:rPr>
        <w:drawing>
          <wp:inline distT="0" distB="0" distL="0" distR="0">
            <wp:extent cx="5760720" cy="2396951"/>
            <wp:effectExtent l="19050" t="0" r="0" b="0"/>
            <wp:docPr id="2"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srcRect/>
                    <a:stretch>
                      <a:fillRect/>
                    </a:stretch>
                  </pic:blipFill>
                  <pic:spPr bwMode="auto">
                    <a:xfrm>
                      <a:off x="0" y="0"/>
                      <a:ext cx="5760720" cy="2396951"/>
                    </a:xfrm>
                    <a:prstGeom prst="rect">
                      <a:avLst/>
                    </a:prstGeom>
                    <a:noFill/>
                    <a:ln w="9525">
                      <a:noFill/>
                      <a:miter lim="800000"/>
                      <a:headEnd/>
                      <a:tailEnd/>
                    </a:ln>
                  </pic:spPr>
                </pic:pic>
              </a:graphicData>
            </a:graphic>
          </wp:inline>
        </w:drawing>
      </w:r>
    </w:p>
    <w:p w:rsidR="004F5245" w:rsidRPr="00023B1E" w:rsidRDefault="004F5245" w:rsidP="004F5245">
      <w:pPr>
        <w:pStyle w:val="NormalWeb"/>
        <w:spacing w:line="360" w:lineRule="auto"/>
        <w:rPr>
          <w:rFonts w:asciiTheme="majorBidi" w:hAnsiTheme="majorBidi" w:cstheme="majorBidi"/>
        </w:rPr>
      </w:pPr>
    </w:p>
    <w:p w:rsidR="005C3443" w:rsidRPr="00023B1E" w:rsidRDefault="00FD140E" w:rsidP="003F6FB2">
      <w:pPr>
        <w:pStyle w:val="Titre2"/>
        <w:spacing w:line="360" w:lineRule="auto"/>
        <w:rPr>
          <w:rFonts w:asciiTheme="majorBidi" w:hAnsiTheme="majorBidi"/>
          <w:b w:val="0"/>
          <w:bCs w:val="0"/>
          <w:color w:val="0D0D0D" w:themeColor="text1" w:themeTint="F2"/>
          <w:sz w:val="24"/>
          <w:szCs w:val="24"/>
        </w:rPr>
      </w:pPr>
      <w:r w:rsidRPr="00023B1E">
        <w:rPr>
          <w:rStyle w:val="lev"/>
          <w:rFonts w:asciiTheme="majorBidi" w:hAnsiTheme="majorBidi"/>
          <w:b/>
          <w:bCs/>
          <w:color w:val="0D0D0D" w:themeColor="text1" w:themeTint="F2"/>
          <w:sz w:val="24"/>
          <w:szCs w:val="24"/>
        </w:rPr>
        <w:t>4</w:t>
      </w:r>
      <w:r w:rsidR="005C3443" w:rsidRPr="00023B1E">
        <w:rPr>
          <w:rStyle w:val="lev"/>
          <w:rFonts w:asciiTheme="majorBidi" w:hAnsiTheme="majorBidi"/>
          <w:b/>
          <w:bCs/>
          <w:color w:val="0D0D0D" w:themeColor="text1" w:themeTint="F2"/>
          <w:sz w:val="24"/>
          <w:szCs w:val="24"/>
        </w:rPr>
        <w:t>. Paramètres pharmacodynamiques</w:t>
      </w:r>
    </w:p>
    <w:p w:rsidR="005C3443" w:rsidRPr="00023B1E" w:rsidRDefault="00FD140E" w:rsidP="003F6FB2">
      <w:pPr>
        <w:pStyle w:val="Titre3"/>
        <w:spacing w:line="360" w:lineRule="auto"/>
        <w:rPr>
          <w:rFonts w:asciiTheme="majorBidi" w:hAnsiTheme="majorBidi" w:cstheme="majorBidi"/>
          <w:sz w:val="24"/>
          <w:szCs w:val="24"/>
        </w:rPr>
      </w:pPr>
      <w:r w:rsidRPr="00023B1E">
        <w:rPr>
          <w:rStyle w:val="lev"/>
          <w:rFonts w:asciiTheme="majorBidi" w:hAnsiTheme="majorBidi" w:cstheme="majorBidi"/>
          <w:b/>
          <w:bCs/>
          <w:sz w:val="24"/>
          <w:szCs w:val="24"/>
        </w:rPr>
        <w:t>4</w:t>
      </w:r>
      <w:r w:rsidR="005C3443" w:rsidRPr="00023B1E">
        <w:rPr>
          <w:rStyle w:val="lev"/>
          <w:rFonts w:asciiTheme="majorBidi" w:hAnsiTheme="majorBidi" w:cstheme="majorBidi"/>
          <w:b/>
          <w:bCs/>
          <w:sz w:val="24"/>
          <w:szCs w:val="24"/>
        </w:rPr>
        <w:t>.1. Antibiotiques bactériostatiques et bactéricides</w:t>
      </w:r>
    </w:p>
    <w:p w:rsidR="005C3443" w:rsidRPr="00023B1E" w:rsidRDefault="005C3443" w:rsidP="003F6FB2">
      <w:pPr>
        <w:pStyle w:val="NormalWeb"/>
        <w:spacing w:line="360" w:lineRule="auto"/>
        <w:rPr>
          <w:rFonts w:asciiTheme="majorBidi" w:hAnsiTheme="majorBidi" w:cstheme="majorBidi"/>
        </w:rPr>
      </w:pPr>
      <w:r w:rsidRPr="00023B1E">
        <w:rPr>
          <w:rFonts w:asciiTheme="majorBidi" w:hAnsiTheme="majorBidi" w:cstheme="majorBidi"/>
        </w:rPr>
        <w:t xml:space="preserve">Les antibiotiques se distinguent selon le </w:t>
      </w:r>
      <w:r w:rsidRPr="00023B1E">
        <w:rPr>
          <w:rStyle w:val="lev"/>
          <w:rFonts w:asciiTheme="majorBidi" w:hAnsiTheme="majorBidi" w:cstheme="majorBidi"/>
          <w:b w:val="0"/>
          <w:bCs w:val="0"/>
        </w:rPr>
        <w:t>type d’activité</w:t>
      </w:r>
      <w:r w:rsidRPr="00023B1E">
        <w:rPr>
          <w:rFonts w:asciiTheme="majorBidi" w:hAnsiTheme="majorBidi" w:cstheme="majorBidi"/>
        </w:rPr>
        <w:t xml:space="preserve"> qu’ils exercent sur les bactéries :</w:t>
      </w:r>
    </w:p>
    <w:p w:rsidR="005C3443" w:rsidRPr="00023B1E" w:rsidRDefault="005C3443" w:rsidP="003F6FB2">
      <w:pPr>
        <w:pStyle w:val="NormalWeb"/>
        <w:numPr>
          <w:ilvl w:val="0"/>
          <w:numId w:val="6"/>
        </w:numPr>
        <w:spacing w:line="360" w:lineRule="auto"/>
        <w:rPr>
          <w:rFonts w:asciiTheme="majorBidi" w:hAnsiTheme="majorBidi" w:cstheme="majorBidi"/>
        </w:rPr>
      </w:pPr>
      <w:r w:rsidRPr="00023B1E">
        <w:rPr>
          <w:rFonts w:asciiTheme="majorBidi" w:hAnsiTheme="majorBidi" w:cstheme="majorBidi"/>
        </w:rPr>
        <w:t xml:space="preserve">Un </w:t>
      </w:r>
      <w:r w:rsidRPr="00023B1E">
        <w:rPr>
          <w:rStyle w:val="lev"/>
          <w:rFonts w:asciiTheme="majorBidi" w:hAnsiTheme="majorBidi" w:cstheme="majorBidi"/>
          <w:b w:val="0"/>
          <w:bCs w:val="0"/>
        </w:rPr>
        <w:t>antibiotique bactériostatique</w:t>
      </w:r>
      <w:r w:rsidRPr="00023B1E">
        <w:rPr>
          <w:rFonts w:asciiTheme="majorBidi" w:hAnsiTheme="majorBidi" w:cstheme="majorBidi"/>
        </w:rPr>
        <w:t xml:space="preserve"> inhibe la croissance et la multiplication bactérienne sans provoquer directement la mort des cellules.</w:t>
      </w:r>
    </w:p>
    <w:p w:rsidR="005C3443" w:rsidRPr="00023B1E" w:rsidRDefault="005C3443" w:rsidP="003F6FB2">
      <w:pPr>
        <w:pStyle w:val="NormalWeb"/>
        <w:numPr>
          <w:ilvl w:val="0"/>
          <w:numId w:val="6"/>
        </w:numPr>
        <w:spacing w:line="360" w:lineRule="auto"/>
        <w:rPr>
          <w:rFonts w:asciiTheme="majorBidi" w:hAnsiTheme="majorBidi" w:cstheme="majorBidi"/>
        </w:rPr>
      </w:pPr>
      <w:r w:rsidRPr="00023B1E">
        <w:rPr>
          <w:rFonts w:asciiTheme="majorBidi" w:hAnsiTheme="majorBidi" w:cstheme="majorBidi"/>
        </w:rPr>
        <w:t xml:space="preserve">Un </w:t>
      </w:r>
      <w:r w:rsidRPr="00023B1E">
        <w:rPr>
          <w:rStyle w:val="lev"/>
          <w:rFonts w:asciiTheme="majorBidi" w:hAnsiTheme="majorBidi" w:cstheme="majorBidi"/>
          <w:b w:val="0"/>
          <w:bCs w:val="0"/>
        </w:rPr>
        <w:t>antibiotique bactéricide</w:t>
      </w:r>
      <w:r w:rsidRPr="00023B1E">
        <w:rPr>
          <w:rFonts w:asciiTheme="majorBidi" w:hAnsiTheme="majorBidi" w:cstheme="majorBidi"/>
        </w:rPr>
        <w:t>, quant à lui, détruit les bactéries, entraînant une diminution du nombre de cellules viables.</w:t>
      </w:r>
    </w:p>
    <w:p w:rsidR="005C3443" w:rsidRPr="00023B1E" w:rsidRDefault="0016213E" w:rsidP="003F6FB2">
      <w:pPr>
        <w:pStyle w:val="Titre4"/>
        <w:spacing w:line="360" w:lineRule="auto"/>
        <w:rPr>
          <w:rFonts w:asciiTheme="majorBidi" w:hAnsiTheme="majorBidi"/>
          <w:b w:val="0"/>
          <w:bCs w:val="0"/>
          <w:color w:val="0D0D0D" w:themeColor="text1" w:themeTint="F2"/>
          <w:sz w:val="24"/>
          <w:szCs w:val="24"/>
        </w:rPr>
      </w:pPr>
      <w:r w:rsidRPr="00023B1E">
        <w:rPr>
          <w:rStyle w:val="lev"/>
          <w:rFonts w:asciiTheme="majorBidi" w:hAnsiTheme="majorBidi"/>
          <w:b/>
          <w:bCs/>
          <w:color w:val="0D0D0D" w:themeColor="text1" w:themeTint="F2"/>
          <w:sz w:val="24"/>
          <w:szCs w:val="24"/>
        </w:rPr>
        <w:t>i</w:t>
      </w:r>
      <w:r w:rsidR="00AA47D7" w:rsidRPr="00023B1E">
        <w:rPr>
          <w:rStyle w:val="lev"/>
          <w:rFonts w:asciiTheme="majorBidi" w:hAnsiTheme="majorBidi"/>
          <w:b/>
          <w:bCs/>
          <w:color w:val="0D0D0D" w:themeColor="text1" w:themeTint="F2"/>
          <w:sz w:val="24"/>
          <w:szCs w:val="24"/>
        </w:rPr>
        <w:t xml:space="preserve">- </w:t>
      </w:r>
      <w:r w:rsidR="005C3443" w:rsidRPr="00023B1E">
        <w:rPr>
          <w:rStyle w:val="lev"/>
          <w:rFonts w:asciiTheme="majorBidi" w:hAnsiTheme="majorBidi"/>
          <w:b/>
          <w:bCs/>
          <w:color w:val="0D0D0D" w:themeColor="text1" w:themeTint="F2"/>
          <w:sz w:val="24"/>
          <w:szCs w:val="24"/>
        </w:rPr>
        <w:t>Détermination expérimentale</w:t>
      </w:r>
    </w:p>
    <w:p w:rsidR="005C3443" w:rsidRPr="00023B1E" w:rsidRDefault="005C3443" w:rsidP="003F6FB2">
      <w:pPr>
        <w:pStyle w:val="NormalWeb"/>
        <w:spacing w:line="360" w:lineRule="auto"/>
        <w:rPr>
          <w:rFonts w:asciiTheme="majorBidi" w:hAnsiTheme="majorBidi" w:cstheme="majorBidi"/>
        </w:rPr>
      </w:pPr>
      <w:r w:rsidRPr="00023B1E">
        <w:rPr>
          <w:rFonts w:asciiTheme="majorBidi" w:hAnsiTheme="majorBidi" w:cstheme="majorBidi"/>
        </w:rPr>
        <w:t>La distinction entre ces deux types d’activité repose sur la comparaison des valeurs de la :</w:t>
      </w:r>
    </w:p>
    <w:p w:rsidR="005C3443" w:rsidRPr="00023B1E" w:rsidRDefault="005C3443" w:rsidP="003F6FB2">
      <w:pPr>
        <w:pStyle w:val="NormalWeb"/>
        <w:numPr>
          <w:ilvl w:val="0"/>
          <w:numId w:val="7"/>
        </w:numPr>
        <w:spacing w:line="360" w:lineRule="auto"/>
        <w:rPr>
          <w:rFonts w:asciiTheme="majorBidi" w:hAnsiTheme="majorBidi" w:cstheme="majorBidi"/>
        </w:rPr>
      </w:pPr>
      <w:r w:rsidRPr="00023B1E">
        <w:rPr>
          <w:rStyle w:val="lev"/>
          <w:rFonts w:asciiTheme="majorBidi" w:hAnsiTheme="majorBidi" w:cstheme="majorBidi"/>
          <w:b w:val="0"/>
          <w:bCs w:val="0"/>
        </w:rPr>
        <w:t>CMI (Concentration Minimale Inhibitrice)</w:t>
      </w:r>
      <w:r w:rsidRPr="00023B1E">
        <w:rPr>
          <w:rFonts w:asciiTheme="majorBidi" w:hAnsiTheme="majorBidi" w:cstheme="majorBidi"/>
          <w:b/>
          <w:bCs/>
        </w:rPr>
        <w:t xml:space="preserve"> </w:t>
      </w:r>
      <w:r w:rsidRPr="00023B1E">
        <w:rPr>
          <w:rFonts w:asciiTheme="majorBidi" w:hAnsiTheme="majorBidi" w:cstheme="majorBidi"/>
        </w:rPr>
        <w:t xml:space="preserve">: la plus faible concentration d’antibiotique empêchant toute croissance bactérienne visible </w:t>
      </w:r>
      <w:r w:rsidRPr="00023B1E">
        <w:rPr>
          <w:rFonts w:asciiTheme="majorBidi" w:hAnsiTheme="majorBidi" w:cstheme="majorBidi"/>
          <w:i/>
          <w:iCs/>
        </w:rPr>
        <w:t>in vitro</w:t>
      </w:r>
      <w:r w:rsidRPr="00023B1E">
        <w:rPr>
          <w:rFonts w:asciiTheme="majorBidi" w:hAnsiTheme="majorBidi" w:cstheme="majorBidi"/>
        </w:rPr>
        <w:t>.</w:t>
      </w:r>
    </w:p>
    <w:p w:rsidR="005C3443" w:rsidRPr="00023B1E" w:rsidRDefault="005C3443" w:rsidP="003F6FB2">
      <w:pPr>
        <w:pStyle w:val="NormalWeb"/>
        <w:numPr>
          <w:ilvl w:val="0"/>
          <w:numId w:val="7"/>
        </w:numPr>
        <w:spacing w:line="360" w:lineRule="auto"/>
        <w:rPr>
          <w:rFonts w:asciiTheme="majorBidi" w:hAnsiTheme="majorBidi" w:cstheme="majorBidi"/>
        </w:rPr>
      </w:pPr>
      <w:r w:rsidRPr="00023B1E">
        <w:rPr>
          <w:rStyle w:val="lev"/>
          <w:rFonts w:asciiTheme="majorBidi" w:hAnsiTheme="majorBidi" w:cstheme="majorBidi"/>
          <w:b w:val="0"/>
          <w:bCs w:val="0"/>
        </w:rPr>
        <w:t>CMB (Concentration Minimale Bactéricide)</w:t>
      </w:r>
      <w:r w:rsidRPr="00023B1E">
        <w:rPr>
          <w:rFonts w:asciiTheme="majorBidi" w:hAnsiTheme="majorBidi" w:cstheme="majorBidi"/>
        </w:rPr>
        <w:t xml:space="preserve"> : la plus faible concentration entraînant la destruction d’au moins 99,9 % des bactéries initialement présentes.</w:t>
      </w:r>
    </w:p>
    <w:p w:rsidR="0016213E" w:rsidRPr="00023B1E" w:rsidRDefault="0016213E" w:rsidP="003F6FB2">
      <w:pPr>
        <w:pStyle w:val="NormalWeb"/>
        <w:spacing w:line="360" w:lineRule="auto"/>
        <w:rPr>
          <w:rFonts w:asciiTheme="majorBidi" w:hAnsiTheme="majorBidi" w:cstheme="majorBidi"/>
        </w:rPr>
      </w:pPr>
    </w:p>
    <w:p w:rsidR="00697A0A" w:rsidRPr="00023B1E" w:rsidRDefault="0016213E" w:rsidP="003F6FB2">
      <w:pPr>
        <w:pStyle w:val="NormalWeb"/>
        <w:spacing w:line="360" w:lineRule="auto"/>
        <w:rPr>
          <w:rFonts w:asciiTheme="majorBidi" w:hAnsiTheme="majorBidi" w:cstheme="majorBidi"/>
          <w:b/>
          <w:bCs/>
        </w:rPr>
      </w:pPr>
      <w:r w:rsidRPr="00023B1E">
        <w:rPr>
          <w:rFonts w:asciiTheme="majorBidi" w:hAnsiTheme="majorBidi" w:cstheme="majorBidi"/>
          <w:b/>
          <w:bCs/>
        </w:rPr>
        <w:t xml:space="preserve">A- </w:t>
      </w:r>
      <w:r w:rsidR="00697A0A" w:rsidRPr="00023B1E">
        <w:rPr>
          <w:rFonts w:asciiTheme="majorBidi" w:hAnsiTheme="majorBidi" w:cstheme="majorBidi"/>
          <w:b/>
          <w:bCs/>
        </w:rPr>
        <w:t>Méthodes de détermination de la CMI :</w:t>
      </w:r>
    </w:p>
    <w:p w:rsidR="00697A0A" w:rsidRPr="00023B1E" w:rsidRDefault="00697A0A" w:rsidP="003F6FB2">
      <w:pPr>
        <w:pStyle w:val="NormalWeb"/>
        <w:spacing w:line="360" w:lineRule="auto"/>
        <w:rPr>
          <w:rFonts w:asciiTheme="majorBidi" w:hAnsiTheme="majorBidi" w:cstheme="majorBidi"/>
          <w:b/>
          <w:bCs/>
        </w:rPr>
      </w:pPr>
      <w:r w:rsidRPr="00023B1E">
        <w:rPr>
          <w:rFonts w:asciiTheme="majorBidi" w:hAnsiTheme="majorBidi" w:cstheme="majorBidi"/>
          <w:b/>
          <w:bCs/>
        </w:rPr>
        <w:t>a) La méthode de dilution en milieu liquide :</w:t>
      </w:r>
    </w:p>
    <w:p w:rsidR="00697A0A" w:rsidRPr="00023B1E" w:rsidRDefault="00697A0A" w:rsidP="003F6FB2">
      <w:pPr>
        <w:pStyle w:val="NormalWeb"/>
        <w:spacing w:line="360" w:lineRule="auto"/>
        <w:rPr>
          <w:rFonts w:asciiTheme="majorBidi" w:hAnsiTheme="majorBidi" w:cstheme="majorBidi"/>
        </w:rPr>
      </w:pPr>
      <w:r w:rsidRPr="00023B1E">
        <w:rPr>
          <w:rFonts w:asciiTheme="majorBidi" w:hAnsiTheme="majorBidi" w:cstheme="majorBidi"/>
        </w:rPr>
        <w:t>Consiste à préparer une série de tubes à hémolyse avec le même milieu de culture liquide (deux ml) puis constituer une gamme de concentrations de l'antibiotique à tester, par exemple 0,5 mg/l 1, 2, 4, 8, 16 (raison géométrique de base 2). Il reste un tube (contrôle) ou témoin de croissance de la souche à tester. Enfin on ajoute la même quantité de germes dans chacun des tubes (inoculum). La galerie ainsi préparée sera incubée à 37°C pendant 18 heures. Enfin elle sera examinée à l'œil nu. Le principal inconvénient de cette méthode est la quantité de tubes à manipuler, soit 100 tubes pour une dizaine d'antibiotiques à examiner. La CMI sera la concentration en antibiotique la plus faible pour laquelle il n’y a pas de croissance visible. Une variante de cette méthode consiste à utiliser des microcupules en plaque au lieu de tubes. Il s'agit d'une microméthode en milieu liquide.</w:t>
      </w:r>
    </w:p>
    <w:p w:rsidR="00697A0A" w:rsidRPr="00023B1E" w:rsidRDefault="00697A0A" w:rsidP="003F6FB2">
      <w:pPr>
        <w:pStyle w:val="NormalWeb"/>
        <w:spacing w:line="360" w:lineRule="auto"/>
        <w:rPr>
          <w:rFonts w:asciiTheme="majorBidi" w:hAnsiTheme="majorBidi" w:cstheme="majorBidi"/>
          <w:b/>
          <w:bCs/>
        </w:rPr>
      </w:pPr>
      <w:r w:rsidRPr="00023B1E">
        <w:rPr>
          <w:rFonts w:asciiTheme="majorBidi" w:hAnsiTheme="majorBidi" w:cstheme="majorBidi"/>
          <w:b/>
          <w:bCs/>
        </w:rPr>
        <w:t>b) La méthode de dilution en milieu solide :</w:t>
      </w:r>
    </w:p>
    <w:p w:rsidR="00697A0A" w:rsidRPr="00023B1E" w:rsidRDefault="00697A0A" w:rsidP="003F6FB2">
      <w:pPr>
        <w:pStyle w:val="NormalWeb"/>
        <w:spacing w:line="360" w:lineRule="auto"/>
        <w:rPr>
          <w:rFonts w:asciiTheme="majorBidi" w:hAnsiTheme="majorBidi" w:cstheme="majorBidi"/>
        </w:rPr>
      </w:pPr>
      <w:r w:rsidRPr="00023B1E">
        <w:rPr>
          <w:rFonts w:asciiTheme="majorBidi" w:hAnsiTheme="majorBidi" w:cstheme="majorBidi"/>
        </w:rPr>
        <w:t>Consiste à incorporer l'antibiotique à une concentration donnée dans la gélose, maintenue liquide à 42°C. Une série de boites de Pétri est préparée avec des concentrations d'antibiotique variant selon une progression géométrique de base de 2, comme précédemment. Puis sont préparées les suspensions des différentes bactéries à examiner qui sont alors distribuées sous forme de spots grâce à des distributeurs spécifiques ou en utilisant des écouvillons. Après avoir ensemencé la série de boîtes, celles-ci sont incubées dans une étuve jusqu'au lendemain. La lecture est alors effectuée: il est facile de repérer l'emplacement de chaque souche et de noter croissance ou absence de croissance.</w:t>
      </w:r>
    </w:p>
    <w:p w:rsidR="00697A0A" w:rsidRPr="00023B1E" w:rsidRDefault="00697A0A" w:rsidP="003F6FB2">
      <w:pPr>
        <w:pStyle w:val="NormalWeb"/>
        <w:spacing w:line="360" w:lineRule="auto"/>
        <w:rPr>
          <w:rFonts w:asciiTheme="majorBidi" w:hAnsiTheme="majorBidi" w:cstheme="majorBidi"/>
        </w:rPr>
      </w:pPr>
      <w:r w:rsidRPr="00023B1E">
        <w:rPr>
          <w:rFonts w:asciiTheme="majorBidi" w:hAnsiTheme="majorBidi" w:cstheme="majorBidi"/>
        </w:rPr>
        <w:t xml:space="preserve"> </w:t>
      </w:r>
      <w:r w:rsidR="0016213E" w:rsidRPr="00023B1E">
        <w:rPr>
          <w:rFonts w:asciiTheme="majorBidi" w:hAnsiTheme="majorBidi" w:cstheme="majorBidi"/>
        </w:rPr>
        <w:t xml:space="preserve">B/ </w:t>
      </w:r>
      <w:r w:rsidRPr="00023B1E">
        <w:rPr>
          <w:rFonts w:asciiTheme="majorBidi" w:hAnsiTheme="majorBidi" w:cstheme="majorBidi"/>
          <w:b/>
          <w:bCs/>
        </w:rPr>
        <w:t>Méthodes de détermination de la CMB</w:t>
      </w:r>
      <w:r w:rsidRPr="00023B1E">
        <w:rPr>
          <w:rFonts w:asciiTheme="majorBidi" w:hAnsiTheme="majorBidi" w:cstheme="majorBidi"/>
        </w:rPr>
        <w:t>:</w:t>
      </w:r>
    </w:p>
    <w:p w:rsidR="00697A0A" w:rsidRPr="00023B1E" w:rsidRDefault="00697A0A" w:rsidP="003F6FB2">
      <w:pPr>
        <w:pStyle w:val="NormalWeb"/>
        <w:spacing w:line="360" w:lineRule="auto"/>
        <w:rPr>
          <w:rFonts w:asciiTheme="majorBidi" w:hAnsiTheme="majorBidi" w:cstheme="majorBidi"/>
        </w:rPr>
      </w:pPr>
      <w:r w:rsidRPr="00023B1E">
        <w:rPr>
          <w:rFonts w:asciiTheme="majorBidi" w:hAnsiTheme="majorBidi" w:cstheme="majorBidi"/>
        </w:rPr>
        <w:t>La CMB est déterminée après une recherche de CMI en milieu liquide (technique de macrodilution ou de microdilution). La technique consiste à ensemencer sur un milieu gélosé dépourvu d'antibiotique, une quantité définie (0.1ml)  de tous les tubes ne présentant pas de croissance visible et à dénombrer les bactéries survivantes. Ce nombre est</w:t>
      </w:r>
      <w:r w:rsidR="0016213E" w:rsidRPr="00023B1E">
        <w:rPr>
          <w:rFonts w:asciiTheme="majorBidi" w:hAnsiTheme="majorBidi" w:cstheme="majorBidi"/>
        </w:rPr>
        <w:t xml:space="preserve"> </w:t>
      </w:r>
      <w:r w:rsidRPr="00023B1E">
        <w:rPr>
          <w:rFonts w:asciiTheme="majorBidi" w:hAnsiTheme="majorBidi" w:cstheme="majorBidi"/>
        </w:rPr>
        <w:t>comparé au nombre de bactéries initialement présentes dans l'inoculum.</w:t>
      </w:r>
    </w:p>
    <w:p w:rsidR="001E4253" w:rsidRPr="00023B1E" w:rsidRDefault="001E4253" w:rsidP="003F6FB2">
      <w:pPr>
        <w:pStyle w:val="NormalWeb"/>
        <w:spacing w:line="360" w:lineRule="auto"/>
        <w:rPr>
          <w:rFonts w:asciiTheme="majorBidi" w:hAnsiTheme="majorBidi" w:cstheme="majorBidi"/>
        </w:rPr>
      </w:pPr>
    </w:p>
    <w:p w:rsidR="001E4253" w:rsidRPr="00023B1E" w:rsidRDefault="001E4253" w:rsidP="003F6FB2">
      <w:pPr>
        <w:pStyle w:val="NormalWeb"/>
        <w:spacing w:line="360" w:lineRule="auto"/>
        <w:rPr>
          <w:rFonts w:asciiTheme="majorBidi" w:hAnsiTheme="majorBidi" w:cstheme="majorBidi"/>
        </w:rPr>
      </w:pPr>
      <w:r w:rsidRPr="00023B1E">
        <w:rPr>
          <w:rFonts w:asciiTheme="majorBidi" w:hAnsiTheme="majorBidi" w:cstheme="majorBidi"/>
          <w:noProof/>
        </w:rPr>
        <w:drawing>
          <wp:inline distT="0" distB="0" distL="0" distR="0">
            <wp:extent cx="2701116" cy="3217653"/>
            <wp:effectExtent l="19050" t="0" r="3984"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2702295" cy="3219058"/>
                    </a:xfrm>
                    <a:prstGeom prst="rect">
                      <a:avLst/>
                    </a:prstGeom>
                    <a:noFill/>
                    <a:ln w="9525">
                      <a:noFill/>
                      <a:miter lim="800000"/>
                      <a:headEnd/>
                      <a:tailEnd/>
                    </a:ln>
                  </pic:spPr>
                </pic:pic>
              </a:graphicData>
            </a:graphic>
          </wp:inline>
        </w:drawing>
      </w:r>
      <w:r w:rsidRPr="00023B1E">
        <w:rPr>
          <w:rFonts w:asciiTheme="majorBidi" w:hAnsiTheme="majorBidi" w:cstheme="majorBidi"/>
          <w:noProof/>
        </w:rPr>
        <w:drawing>
          <wp:inline distT="0" distB="0" distL="0" distR="0">
            <wp:extent cx="2511484" cy="2346385"/>
            <wp:effectExtent l="19050" t="0" r="3116"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srcRect/>
                    <a:stretch>
                      <a:fillRect/>
                    </a:stretch>
                  </pic:blipFill>
                  <pic:spPr bwMode="auto">
                    <a:xfrm>
                      <a:off x="0" y="0"/>
                      <a:ext cx="2515003" cy="2349673"/>
                    </a:xfrm>
                    <a:prstGeom prst="rect">
                      <a:avLst/>
                    </a:prstGeom>
                    <a:noFill/>
                    <a:ln w="9525">
                      <a:noFill/>
                      <a:miter lim="800000"/>
                      <a:headEnd/>
                      <a:tailEnd/>
                    </a:ln>
                  </pic:spPr>
                </pic:pic>
              </a:graphicData>
            </a:graphic>
          </wp:inline>
        </w:drawing>
      </w:r>
    </w:p>
    <w:p w:rsidR="00AA47D7" w:rsidRPr="00023B1E" w:rsidRDefault="00697A0A" w:rsidP="003F6FB2">
      <w:pPr>
        <w:pStyle w:val="Titre4"/>
        <w:spacing w:line="360" w:lineRule="auto"/>
        <w:rPr>
          <w:rStyle w:val="lev"/>
          <w:rFonts w:asciiTheme="majorBidi" w:hAnsiTheme="majorBidi"/>
          <w:b/>
          <w:bCs/>
          <w:color w:val="0D0D0D" w:themeColor="text1" w:themeTint="F2"/>
          <w:sz w:val="24"/>
          <w:szCs w:val="24"/>
        </w:rPr>
      </w:pPr>
      <w:r w:rsidRPr="00023B1E">
        <w:rPr>
          <w:rFonts w:asciiTheme="majorBidi" w:hAnsiTheme="majorBidi"/>
          <w:noProof/>
          <w:sz w:val="24"/>
          <w:szCs w:val="24"/>
          <w:lang w:eastAsia="fr-FR"/>
        </w:rPr>
        <w:drawing>
          <wp:inline distT="0" distB="0" distL="0" distR="0">
            <wp:extent cx="2008158" cy="1004233"/>
            <wp:effectExtent l="19050" t="0" r="0" b="0"/>
            <wp:docPr id="1"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srcRect/>
                    <a:stretch>
                      <a:fillRect/>
                    </a:stretch>
                  </pic:blipFill>
                  <pic:spPr bwMode="auto">
                    <a:xfrm>
                      <a:off x="0" y="0"/>
                      <a:ext cx="2012234" cy="1006271"/>
                    </a:xfrm>
                    <a:prstGeom prst="rect">
                      <a:avLst/>
                    </a:prstGeom>
                    <a:noFill/>
                    <a:ln w="9525">
                      <a:noFill/>
                      <a:miter lim="800000"/>
                      <a:headEnd/>
                      <a:tailEnd/>
                    </a:ln>
                  </pic:spPr>
                </pic:pic>
              </a:graphicData>
            </a:graphic>
          </wp:inline>
        </w:drawing>
      </w:r>
      <w:r w:rsidRPr="00023B1E">
        <w:rPr>
          <w:rFonts w:asciiTheme="majorBidi" w:hAnsiTheme="majorBidi"/>
          <w:i w:val="0"/>
          <w:iCs w:val="0"/>
          <w:noProof/>
          <w:color w:val="0D0D0D" w:themeColor="text1" w:themeTint="F2"/>
          <w:sz w:val="24"/>
          <w:szCs w:val="24"/>
          <w:lang w:eastAsia="fr-FR"/>
        </w:rPr>
        <w:t xml:space="preserve">                            </w:t>
      </w:r>
      <w:r w:rsidRPr="00023B1E">
        <w:rPr>
          <w:rFonts w:asciiTheme="majorBidi" w:hAnsiTheme="majorBidi"/>
          <w:i w:val="0"/>
          <w:iCs w:val="0"/>
          <w:noProof/>
          <w:color w:val="0D0D0D" w:themeColor="text1" w:themeTint="F2"/>
          <w:sz w:val="24"/>
          <w:szCs w:val="24"/>
          <w:lang w:eastAsia="fr-FR"/>
        </w:rPr>
        <w:drawing>
          <wp:inline distT="0" distB="0" distL="0" distR="0">
            <wp:extent cx="2404973" cy="840436"/>
            <wp:effectExtent l="1905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srcRect/>
                    <a:stretch>
                      <a:fillRect/>
                    </a:stretch>
                  </pic:blipFill>
                  <pic:spPr bwMode="auto">
                    <a:xfrm>
                      <a:off x="0" y="0"/>
                      <a:ext cx="2420067" cy="845711"/>
                    </a:xfrm>
                    <a:prstGeom prst="rect">
                      <a:avLst/>
                    </a:prstGeom>
                    <a:noFill/>
                    <a:ln w="9525">
                      <a:noFill/>
                      <a:miter lim="800000"/>
                      <a:headEnd/>
                      <a:tailEnd/>
                    </a:ln>
                  </pic:spPr>
                </pic:pic>
              </a:graphicData>
            </a:graphic>
          </wp:inline>
        </w:drawing>
      </w:r>
    </w:p>
    <w:p w:rsidR="00697A0A" w:rsidRPr="00023B1E" w:rsidRDefault="0016213E" w:rsidP="003F6FB2">
      <w:pPr>
        <w:spacing w:line="360" w:lineRule="auto"/>
        <w:rPr>
          <w:rFonts w:asciiTheme="majorBidi" w:hAnsiTheme="majorBidi" w:cstheme="majorBidi"/>
          <w:sz w:val="24"/>
          <w:szCs w:val="24"/>
        </w:rPr>
      </w:pPr>
      <w:r w:rsidRPr="00023B1E">
        <w:rPr>
          <w:rFonts w:asciiTheme="majorBidi" w:hAnsiTheme="majorBidi" w:cstheme="majorBidi"/>
          <w:sz w:val="24"/>
          <w:szCs w:val="24"/>
        </w:rPr>
        <w:t>(Figure :  Antibiotique III. ALLAG H. 2023)</w:t>
      </w:r>
    </w:p>
    <w:p w:rsidR="005C3443" w:rsidRPr="00023B1E" w:rsidRDefault="0016213E" w:rsidP="003F6FB2">
      <w:pPr>
        <w:pStyle w:val="Titre4"/>
        <w:spacing w:line="360" w:lineRule="auto"/>
        <w:rPr>
          <w:rFonts w:asciiTheme="majorBidi" w:hAnsiTheme="majorBidi"/>
          <w:color w:val="0D0D0D" w:themeColor="text1" w:themeTint="F2"/>
          <w:sz w:val="24"/>
          <w:szCs w:val="24"/>
        </w:rPr>
      </w:pPr>
      <w:r w:rsidRPr="00023B1E">
        <w:rPr>
          <w:rStyle w:val="lev"/>
          <w:rFonts w:asciiTheme="majorBidi" w:hAnsiTheme="majorBidi"/>
          <w:b/>
          <w:bCs/>
          <w:color w:val="0D0D0D" w:themeColor="text1" w:themeTint="F2"/>
          <w:sz w:val="24"/>
          <w:szCs w:val="24"/>
        </w:rPr>
        <w:t>ii</w:t>
      </w:r>
      <w:r w:rsidR="00A82D69" w:rsidRPr="00023B1E">
        <w:rPr>
          <w:rStyle w:val="lev"/>
          <w:rFonts w:asciiTheme="majorBidi" w:hAnsiTheme="majorBidi"/>
          <w:b/>
          <w:bCs/>
          <w:color w:val="0D0D0D" w:themeColor="text1" w:themeTint="F2"/>
          <w:sz w:val="24"/>
          <w:szCs w:val="24"/>
        </w:rPr>
        <w:t xml:space="preserve">- </w:t>
      </w:r>
      <w:r w:rsidR="005C3443" w:rsidRPr="00023B1E">
        <w:rPr>
          <w:rStyle w:val="lev"/>
          <w:rFonts w:asciiTheme="majorBidi" w:hAnsiTheme="majorBidi"/>
          <w:b/>
          <w:bCs/>
          <w:color w:val="0D0D0D" w:themeColor="text1" w:themeTint="F2"/>
          <w:sz w:val="24"/>
          <w:szCs w:val="24"/>
        </w:rPr>
        <w:t>Implications cliniques</w:t>
      </w:r>
    </w:p>
    <w:p w:rsidR="005C3443" w:rsidRPr="00023B1E" w:rsidRDefault="005C3443" w:rsidP="003F6FB2">
      <w:pPr>
        <w:pStyle w:val="NormalWeb"/>
        <w:spacing w:line="360" w:lineRule="auto"/>
        <w:rPr>
          <w:rFonts w:asciiTheme="majorBidi" w:hAnsiTheme="majorBidi" w:cstheme="majorBidi"/>
        </w:rPr>
      </w:pPr>
      <w:r w:rsidRPr="00023B1E">
        <w:rPr>
          <w:rFonts w:asciiTheme="majorBidi" w:hAnsiTheme="majorBidi" w:cstheme="majorBidi"/>
        </w:rPr>
        <w:t>Sur le plan thérapeutique, la distinction entre bactéricidie et bactériostasie revêt une importance clinique :</w:t>
      </w:r>
    </w:p>
    <w:p w:rsidR="005C3443" w:rsidRPr="00023B1E" w:rsidRDefault="005C3443" w:rsidP="003F6FB2">
      <w:pPr>
        <w:pStyle w:val="NormalWeb"/>
        <w:numPr>
          <w:ilvl w:val="0"/>
          <w:numId w:val="8"/>
        </w:numPr>
        <w:spacing w:line="360" w:lineRule="auto"/>
        <w:rPr>
          <w:rFonts w:asciiTheme="majorBidi" w:hAnsiTheme="majorBidi" w:cstheme="majorBidi"/>
        </w:rPr>
      </w:pPr>
      <w:r w:rsidRPr="00023B1E">
        <w:rPr>
          <w:rFonts w:asciiTheme="majorBidi" w:hAnsiTheme="majorBidi" w:cstheme="majorBidi"/>
        </w:rPr>
        <w:t xml:space="preserve">Un </w:t>
      </w:r>
      <w:r w:rsidRPr="00023B1E">
        <w:rPr>
          <w:rStyle w:val="lev"/>
          <w:rFonts w:asciiTheme="majorBidi" w:hAnsiTheme="majorBidi" w:cstheme="majorBidi"/>
          <w:b w:val="0"/>
          <w:bCs w:val="0"/>
        </w:rPr>
        <w:t>antibiotique bactériostatique</w:t>
      </w:r>
      <w:r w:rsidRPr="00023B1E">
        <w:rPr>
          <w:rFonts w:asciiTheme="majorBidi" w:hAnsiTheme="majorBidi" w:cstheme="majorBidi"/>
        </w:rPr>
        <w:t xml:space="preserve"> ne peut, à lui seul, éradiquer complètement une infection. En inhibant la prolifération bactérienne, il </w:t>
      </w:r>
      <w:r w:rsidRPr="00023B1E">
        <w:rPr>
          <w:rStyle w:val="lev"/>
          <w:rFonts w:asciiTheme="majorBidi" w:hAnsiTheme="majorBidi" w:cstheme="majorBidi"/>
          <w:b w:val="0"/>
          <w:bCs w:val="0"/>
        </w:rPr>
        <w:t>favorise l’action du système</w:t>
      </w:r>
      <w:r w:rsidRPr="00023B1E">
        <w:rPr>
          <w:rStyle w:val="lev"/>
          <w:rFonts w:asciiTheme="majorBidi" w:hAnsiTheme="majorBidi" w:cstheme="majorBidi"/>
        </w:rPr>
        <w:t xml:space="preserve"> </w:t>
      </w:r>
      <w:r w:rsidRPr="00023B1E">
        <w:rPr>
          <w:rStyle w:val="lev"/>
          <w:rFonts w:asciiTheme="majorBidi" w:hAnsiTheme="majorBidi" w:cstheme="majorBidi"/>
          <w:b w:val="0"/>
          <w:bCs w:val="0"/>
        </w:rPr>
        <w:t>immunitaire</w:t>
      </w:r>
      <w:r w:rsidRPr="00023B1E">
        <w:rPr>
          <w:rFonts w:asciiTheme="majorBidi" w:hAnsiTheme="majorBidi" w:cstheme="majorBidi"/>
        </w:rPr>
        <w:t xml:space="preserve"> de l’hôte, qui achève l’élimination des germes.</w:t>
      </w:r>
    </w:p>
    <w:p w:rsidR="00514D91" w:rsidRPr="00A41F2F" w:rsidRDefault="005C3443" w:rsidP="003F6FB2">
      <w:pPr>
        <w:pStyle w:val="NormalWeb"/>
        <w:numPr>
          <w:ilvl w:val="0"/>
          <w:numId w:val="8"/>
        </w:numPr>
        <w:spacing w:line="360" w:lineRule="auto"/>
        <w:rPr>
          <w:rFonts w:asciiTheme="majorBidi" w:hAnsiTheme="majorBidi" w:cstheme="majorBidi"/>
        </w:rPr>
      </w:pPr>
      <w:r w:rsidRPr="00A41F2F">
        <w:rPr>
          <w:rFonts w:asciiTheme="majorBidi" w:hAnsiTheme="majorBidi" w:cstheme="majorBidi"/>
        </w:rPr>
        <w:t xml:space="preserve">À l’inverse, un </w:t>
      </w:r>
      <w:r w:rsidRPr="00A41F2F">
        <w:rPr>
          <w:rStyle w:val="lev"/>
          <w:rFonts w:asciiTheme="majorBidi" w:hAnsiTheme="majorBidi" w:cstheme="majorBidi"/>
          <w:b w:val="0"/>
          <w:bCs w:val="0"/>
        </w:rPr>
        <w:t>antibiotique bactéricide</w:t>
      </w:r>
      <w:r w:rsidRPr="00A41F2F">
        <w:rPr>
          <w:rFonts w:asciiTheme="majorBidi" w:hAnsiTheme="majorBidi" w:cstheme="majorBidi"/>
        </w:rPr>
        <w:t xml:space="preserve"> est préférable en cas d</w:t>
      </w:r>
      <w:r w:rsidRPr="00A41F2F">
        <w:rPr>
          <w:rFonts w:asciiTheme="majorBidi" w:hAnsiTheme="majorBidi" w:cstheme="majorBidi"/>
          <w:b/>
          <w:bCs/>
        </w:rPr>
        <w:t>’</w:t>
      </w:r>
      <w:r w:rsidRPr="00A41F2F">
        <w:rPr>
          <w:rStyle w:val="lev"/>
          <w:rFonts w:asciiTheme="majorBidi" w:hAnsiTheme="majorBidi" w:cstheme="majorBidi"/>
          <w:b w:val="0"/>
          <w:bCs w:val="0"/>
        </w:rPr>
        <w:t>infections graves</w:t>
      </w:r>
      <w:r w:rsidRPr="00A41F2F">
        <w:rPr>
          <w:rFonts w:asciiTheme="majorBidi" w:hAnsiTheme="majorBidi" w:cstheme="majorBidi"/>
          <w:b/>
          <w:bCs/>
        </w:rPr>
        <w:t>,</w:t>
      </w:r>
      <w:r w:rsidRPr="00A41F2F">
        <w:rPr>
          <w:rFonts w:asciiTheme="majorBidi" w:hAnsiTheme="majorBidi" w:cstheme="majorBidi"/>
        </w:rPr>
        <w:t xml:space="preserve"> d</w:t>
      </w:r>
      <w:r w:rsidRPr="00A41F2F">
        <w:rPr>
          <w:rFonts w:asciiTheme="majorBidi" w:hAnsiTheme="majorBidi" w:cstheme="majorBidi"/>
          <w:b/>
          <w:bCs/>
        </w:rPr>
        <w:t>’</w:t>
      </w:r>
      <w:r w:rsidRPr="00A41F2F">
        <w:rPr>
          <w:rStyle w:val="lev"/>
          <w:rFonts w:asciiTheme="majorBidi" w:hAnsiTheme="majorBidi" w:cstheme="majorBidi"/>
          <w:b w:val="0"/>
          <w:bCs w:val="0"/>
        </w:rPr>
        <w:t>immunodépression</w:t>
      </w:r>
      <w:r w:rsidRPr="00A41F2F">
        <w:rPr>
          <w:rFonts w:asciiTheme="majorBidi" w:hAnsiTheme="majorBidi" w:cstheme="majorBidi"/>
        </w:rPr>
        <w:t xml:space="preserve"> ou d</w:t>
      </w:r>
      <w:r w:rsidRPr="00A41F2F">
        <w:rPr>
          <w:rFonts w:asciiTheme="majorBidi" w:hAnsiTheme="majorBidi" w:cstheme="majorBidi"/>
          <w:b/>
          <w:bCs/>
        </w:rPr>
        <w:t>’</w:t>
      </w:r>
      <w:r w:rsidRPr="00A41F2F">
        <w:rPr>
          <w:rStyle w:val="lev"/>
          <w:rFonts w:asciiTheme="majorBidi" w:hAnsiTheme="majorBidi" w:cstheme="majorBidi"/>
          <w:b w:val="0"/>
          <w:bCs w:val="0"/>
        </w:rPr>
        <w:t>inoculum bactérien élevé</w:t>
      </w:r>
      <w:r w:rsidRPr="00A41F2F">
        <w:rPr>
          <w:rFonts w:asciiTheme="majorBidi" w:hAnsiTheme="majorBidi" w:cstheme="majorBidi"/>
        </w:rPr>
        <w:t>, situations où les défenses immunitaires de l’hôte sont insuffisantes pour compléter l’action d’un bactériostatique.</w:t>
      </w:r>
    </w:p>
    <w:sectPr w:rsidR="00514D91" w:rsidRPr="00A41F2F" w:rsidSect="001C0A31">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922" w:rsidRDefault="00505922" w:rsidP="005C3443">
      <w:pPr>
        <w:spacing w:after="0" w:line="240" w:lineRule="auto"/>
      </w:pPr>
      <w:r>
        <w:separator/>
      </w:r>
    </w:p>
  </w:endnote>
  <w:endnote w:type="continuationSeparator" w:id="1">
    <w:p w:rsidR="00505922" w:rsidRDefault="00505922" w:rsidP="005C3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8530"/>
      <w:docPartObj>
        <w:docPartGallery w:val="Page Numbers (Bottom of Page)"/>
        <w:docPartUnique/>
      </w:docPartObj>
    </w:sdtPr>
    <w:sdtContent>
      <w:p w:rsidR="005C3443" w:rsidRDefault="0067627A">
        <w:pPr>
          <w:pStyle w:val="Pieddepage"/>
          <w:jc w:val="center"/>
        </w:pPr>
        <w:fldSimple w:instr=" PAGE   \* MERGEFORMAT ">
          <w:r w:rsidR="00A41F2F">
            <w:rPr>
              <w:noProof/>
            </w:rPr>
            <w:t>1</w:t>
          </w:r>
        </w:fldSimple>
      </w:p>
    </w:sdtContent>
  </w:sdt>
  <w:p w:rsidR="005C3443" w:rsidRDefault="005C344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922" w:rsidRDefault="00505922" w:rsidP="005C3443">
      <w:pPr>
        <w:spacing w:after="0" w:line="240" w:lineRule="auto"/>
      </w:pPr>
      <w:r>
        <w:separator/>
      </w:r>
    </w:p>
  </w:footnote>
  <w:footnote w:type="continuationSeparator" w:id="1">
    <w:p w:rsidR="00505922" w:rsidRDefault="00505922" w:rsidP="005C34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443" w:rsidRDefault="005C3443" w:rsidP="005C3443">
    <w:pPr>
      <w:pStyle w:val="En-tte"/>
      <w:rPr>
        <w:rFonts w:asciiTheme="majorBidi" w:hAnsiTheme="majorBidi" w:cstheme="majorBidi"/>
        <w:i/>
        <w:iCs/>
        <w:sz w:val="20"/>
        <w:szCs w:val="20"/>
      </w:rPr>
    </w:pPr>
    <w:r>
      <w:rPr>
        <w:rFonts w:asciiTheme="majorBidi" w:hAnsiTheme="majorBidi" w:cstheme="majorBidi"/>
        <w:i/>
        <w:iCs/>
        <w:sz w:val="20"/>
        <w:szCs w:val="20"/>
      </w:rPr>
      <w:t>Centre universitaire Mila</w:t>
    </w:r>
  </w:p>
  <w:p w:rsidR="005C3443" w:rsidRDefault="005C3443" w:rsidP="005C3443">
    <w:pPr>
      <w:pStyle w:val="En-tte"/>
      <w:rPr>
        <w:rFonts w:asciiTheme="majorBidi" w:hAnsiTheme="majorBidi" w:cstheme="majorBidi"/>
        <w:i/>
        <w:iCs/>
        <w:sz w:val="20"/>
        <w:szCs w:val="20"/>
      </w:rPr>
    </w:pPr>
    <w:r>
      <w:rPr>
        <w:rFonts w:asciiTheme="majorBidi" w:hAnsiTheme="majorBidi" w:cstheme="majorBidi"/>
        <w:i/>
        <w:iCs/>
        <w:sz w:val="20"/>
        <w:szCs w:val="20"/>
      </w:rPr>
      <w:t>Module : Biotechnologie microbienne                                                                  Dr. RABHI Nour El Houda</w:t>
    </w:r>
  </w:p>
  <w:p w:rsidR="005C3443" w:rsidRDefault="005C3443" w:rsidP="005C3443">
    <w:pPr>
      <w:pStyle w:val="En-tte"/>
      <w:rPr>
        <w:rFonts w:asciiTheme="majorBidi" w:hAnsiTheme="majorBidi" w:cstheme="majorBidi"/>
        <w:i/>
        <w:iCs/>
        <w:sz w:val="20"/>
        <w:szCs w:val="20"/>
      </w:rPr>
    </w:pPr>
    <w:r>
      <w:rPr>
        <w:rFonts w:asciiTheme="majorBidi" w:hAnsiTheme="majorBidi" w:cstheme="majorBidi"/>
        <w:i/>
        <w:iCs/>
        <w:sz w:val="20"/>
        <w:szCs w:val="20"/>
      </w:rPr>
      <w:t>Spécialité : Microbiologie appliquée</w:t>
    </w:r>
  </w:p>
  <w:p w:rsidR="005C3443" w:rsidRDefault="005C3443" w:rsidP="005C3443">
    <w:pPr>
      <w:pStyle w:val="En-tte"/>
      <w:rPr>
        <w:rFonts w:asciiTheme="majorBidi" w:hAnsiTheme="majorBidi" w:cstheme="majorBidi"/>
        <w:i/>
        <w:iCs/>
        <w:sz w:val="20"/>
        <w:szCs w:val="20"/>
      </w:rPr>
    </w:pPr>
    <w:r>
      <w:rPr>
        <w:rFonts w:asciiTheme="majorBidi" w:hAnsiTheme="majorBidi" w:cstheme="majorBidi"/>
        <w:i/>
        <w:iCs/>
        <w:sz w:val="20"/>
        <w:szCs w:val="20"/>
      </w:rPr>
      <w:t>Niveau : Master2</w:t>
    </w:r>
  </w:p>
  <w:p w:rsidR="005C3443" w:rsidRDefault="005C344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380"/>
    <w:multiLevelType w:val="multilevel"/>
    <w:tmpl w:val="A1AE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3335B"/>
    <w:multiLevelType w:val="multilevel"/>
    <w:tmpl w:val="DDF0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24762"/>
    <w:multiLevelType w:val="multilevel"/>
    <w:tmpl w:val="7C8A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627C95"/>
    <w:multiLevelType w:val="multilevel"/>
    <w:tmpl w:val="E14A9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98229D"/>
    <w:multiLevelType w:val="multilevel"/>
    <w:tmpl w:val="2EF2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A31FF"/>
    <w:multiLevelType w:val="multilevel"/>
    <w:tmpl w:val="87E4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8A1D3A"/>
    <w:multiLevelType w:val="multilevel"/>
    <w:tmpl w:val="C7A0D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902D10"/>
    <w:multiLevelType w:val="multilevel"/>
    <w:tmpl w:val="EDB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4D25AC"/>
    <w:multiLevelType w:val="multilevel"/>
    <w:tmpl w:val="FCEE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460091"/>
    <w:multiLevelType w:val="multilevel"/>
    <w:tmpl w:val="DA00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C60E7E"/>
    <w:multiLevelType w:val="multilevel"/>
    <w:tmpl w:val="72E6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356B5D"/>
    <w:multiLevelType w:val="multilevel"/>
    <w:tmpl w:val="4F46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2B2E09"/>
    <w:multiLevelType w:val="multilevel"/>
    <w:tmpl w:val="A96E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F87564"/>
    <w:multiLevelType w:val="multilevel"/>
    <w:tmpl w:val="81FE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1C5FDE"/>
    <w:multiLevelType w:val="multilevel"/>
    <w:tmpl w:val="3220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3633CF"/>
    <w:multiLevelType w:val="multilevel"/>
    <w:tmpl w:val="A242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175D6A"/>
    <w:multiLevelType w:val="multilevel"/>
    <w:tmpl w:val="E692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3F5CEF"/>
    <w:multiLevelType w:val="multilevel"/>
    <w:tmpl w:val="FDAA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A6789F"/>
    <w:multiLevelType w:val="multilevel"/>
    <w:tmpl w:val="8A9E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8B27CD"/>
    <w:multiLevelType w:val="multilevel"/>
    <w:tmpl w:val="237C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2B6920"/>
    <w:multiLevelType w:val="multilevel"/>
    <w:tmpl w:val="61D0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A47B35"/>
    <w:multiLevelType w:val="multilevel"/>
    <w:tmpl w:val="D88C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9513A9"/>
    <w:multiLevelType w:val="multilevel"/>
    <w:tmpl w:val="E20A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135720"/>
    <w:multiLevelType w:val="multilevel"/>
    <w:tmpl w:val="4D40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D93778"/>
    <w:multiLevelType w:val="multilevel"/>
    <w:tmpl w:val="2446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124AF3"/>
    <w:multiLevelType w:val="multilevel"/>
    <w:tmpl w:val="3A04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BE30D2"/>
    <w:multiLevelType w:val="multilevel"/>
    <w:tmpl w:val="29BA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D01AC6"/>
    <w:multiLevelType w:val="multilevel"/>
    <w:tmpl w:val="9A7E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3"/>
  </w:num>
  <w:num w:numId="3">
    <w:abstractNumId w:val="5"/>
  </w:num>
  <w:num w:numId="4">
    <w:abstractNumId w:val="9"/>
  </w:num>
  <w:num w:numId="5">
    <w:abstractNumId w:val="6"/>
  </w:num>
  <w:num w:numId="6">
    <w:abstractNumId w:val="16"/>
  </w:num>
  <w:num w:numId="7">
    <w:abstractNumId w:val="23"/>
  </w:num>
  <w:num w:numId="8">
    <w:abstractNumId w:val="22"/>
  </w:num>
  <w:num w:numId="9">
    <w:abstractNumId w:val="27"/>
  </w:num>
  <w:num w:numId="10">
    <w:abstractNumId w:val="26"/>
  </w:num>
  <w:num w:numId="11">
    <w:abstractNumId w:val="20"/>
  </w:num>
  <w:num w:numId="12">
    <w:abstractNumId w:val="0"/>
  </w:num>
  <w:num w:numId="13">
    <w:abstractNumId w:val="4"/>
  </w:num>
  <w:num w:numId="14">
    <w:abstractNumId w:val="1"/>
  </w:num>
  <w:num w:numId="15">
    <w:abstractNumId w:val="8"/>
  </w:num>
  <w:num w:numId="16">
    <w:abstractNumId w:val="3"/>
  </w:num>
  <w:num w:numId="17">
    <w:abstractNumId w:val="21"/>
  </w:num>
  <w:num w:numId="18">
    <w:abstractNumId w:val="25"/>
  </w:num>
  <w:num w:numId="19">
    <w:abstractNumId w:val="15"/>
  </w:num>
  <w:num w:numId="20">
    <w:abstractNumId w:val="19"/>
  </w:num>
  <w:num w:numId="21">
    <w:abstractNumId w:val="7"/>
  </w:num>
  <w:num w:numId="22">
    <w:abstractNumId w:val="12"/>
  </w:num>
  <w:num w:numId="23">
    <w:abstractNumId w:val="11"/>
  </w:num>
  <w:num w:numId="24">
    <w:abstractNumId w:val="18"/>
  </w:num>
  <w:num w:numId="25">
    <w:abstractNumId w:val="17"/>
  </w:num>
  <w:num w:numId="26">
    <w:abstractNumId w:val="14"/>
  </w:num>
  <w:num w:numId="27">
    <w:abstractNumId w:val="2"/>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5C3443"/>
    <w:rsid w:val="00023B1E"/>
    <w:rsid w:val="0016213E"/>
    <w:rsid w:val="001C0A31"/>
    <w:rsid w:val="001E4253"/>
    <w:rsid w:val="003F6FB2"/>
    <w:rsid w:val="004B7ED3"/>
    <w:rsid w:val="004F5245"/>
    <w:rsid w:val="00505922"/>
    <w:rsid w:val="00514D91"/>
    <w:rsid w:val="00566A74"/>
    <w:rsid w:val="005C3443"/>
    <w:rsid w:val="0067627A"/>
    <w:rsid w:val="00697A0A"/>
    <w:rsid w:val="00864615"/>
    <w:rsid w:val="009D3D34"/>
    <w:rsid w:val="00A41F2F"/>
    <w:rsid w:val="00A82D69"/>
    <w:rsid w:val="00AA47D7"/>
    <w:rsid w:val="00BB1938"/>
    <w:rsid w:val="00C56952"/>
    <w:rsid w:val="00E922A0"/>
    <w:rsid w:val="00FD140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A31"/>
  </w:style>
  <w:style w:type="paragraph" w:styleId="Titre2">
    <w:name w:val="heading 2"/>
    <w:basedOn w:val="Normal"/>
    <w:next w:val="Normal"/>
    <w:link w:val="Titre2Car"/>
    <w:uiPriority w:val="9"/>
    <w:semiHidden/>
    <w:unhideWhenUsed/>
    <w:qFormat/>
    <w:rsid w:val="005C34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5C344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5C34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C3443"/>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5C3443"/>
    <w:rPr>
      <w:b/>
      <w:bCs/>
    </w:rPr>
  </w:style>
  <w:style w:type="paragraph" w:styleId="NormalWeb">
    <w:name w:val="Normal (Web)"/>
    <w:basedOn w:val="Normal"/>
    <w:uiPriority w:val="99"/>
    <w:unhideWhenUsed/>
    <w:rsid w:val="005C34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C3443"/>
    <w:rPr>
      <w:i/>
      <w:iCs/>
    </w:rPr>
  </w:style>
  <w:style w:type="character" w:customStyle="1" w:styleId="Titre2Car">
    <w:name w:val="Titre 2 Car"/>
    <w:basedOn w:val="Policepardfaut"/>
    <w:link w:val="Titre2"/>
    <w:uiPriority w:val="9"/>
    <w:semiHidden/>
    <w:rsid w:val="005C3443"/>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5C3443"/>
    <w:rPr>
      <w:rFonts w:asciiTheme="majorHAnsi" w:eastAsiaTheme="majorEastAsia" w:hAnsiTheme="majorHAnsi" w:cstheme="majorBidi"/>
      <w:b/>
      <w:bCs/>
      <w:i/>
      <w:iCs/>
      <w:color w:val="4F81BD" w:themeColor="accent1"/>
    </w:rPr>
  </w:style>
  <w:style w:type="paragraph" w:styleId="En-tte">
    <w:name w:val="header"/>
    <w:basedOn w:val="Normal"/>
    <w:link w:val="En-tteCar"/>
    <w:uiPriority w:val="99"/>
    <w:semiHidden/>
    <w:unhideWhenUsed/>
    <w:rsid w:val="005C344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C3443"/>
  </w:style>
  <w:style w:type="paragraph" w:styleId="Pieddepage">
    <w:name w:val="footer"/>
    <w:basedOn w:val="Normal"/>
    <w:link w:val="PieddepageCar"/>
    <w:uiPriority w:val="99"/>
    <w:unhideWhenUsed/>
    <w:rsid w:val="005C34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3443"/>
  </w:style>
</w:styles>
</file>

<file path=word/webSettings.xml><?xml version="1.0" encoding="utf-8"?>
<w:webSettings xmlns:r="http://schemas.openxmlformats.org/officeDocument/2006/relationships" xmlns:w="http://schemas.openxmlformats.org/wordprocessingml/2006/main">
  <w:divs>
    <w:div w:id="619455441">
      <w:bodyDiv w:val="1"/>
      <w:marLeft w:val="0"/>
      <w:marRight w:val="0"/>
      <w:marTop w:val="0"/>
      <w:marBottom w:val="0"/>
      <w:divBdr>
        <w:top w:val="none" w:sz="0" w:space="0" w:color="auto"/>
        <w:left w:val="none" w:sz="0" w:space="0" w:color="auto"/>
        <w:bottom w:val="none" w:sz="0" w:space="0" w:color="auto"/>
        <w:right w:val="none" w:sz="0" w:space="0" w:color="auto"/>
      </w:divBdr>
    </w:div>
    <w:div w:id="631255954">
      <w:bodyDiv w:val="1"/>
      <w:marLeft w:val="0"/>
      <w:marRight w:val="0"/>
      <w:marTop w:val="0"/>
      <w:marBottom w:val="0"/>
      <w:divBdr>
        <w:top w:val="none" w:sz="0" w:space="0" w:color="auto"/>
        <w:left w:val="none" w:sz="0" w:space="0" w:color="auto"/>
        <w:bottom w:val="none" w:sz="0" w:space="0" w:color="auto"/>
        <w:right w:val="none" w:sz="0" w:space="0" w:color="auto"/>
      </w:divBdr>
    </w:div>
    <w:div w:id="670793502">
      <w:bodyDiv w:val="1"/>
      <w:marLeft w:val="0"/>
      <w:marRight w:val="0"/>
      <w:marTop w:val="0"/>
      <w:marBottom w:val="0"/>
      <w:divBdr>
        <w:top w:val="none" w:sz="0" w:space="0" w:color="auto"/>
        <w:left w:val="none" w:sz="0" w:space="0" w:color="auto"/>
        <w:bottom w:val="none" w:sz="0" w:space="0" w:color="auto"/>
        <w:right w:val="none" w:sz="0" w:space="0" w:color="auto"/>
      </w:divBdr>
    </w:div>
    <w:div w:id="935134929">
      <w:bodyDiv w:val="1"/>
      <w:marLeft w:val="0"/>
      <w:marRight w:val="0"/>
      <w:marTop w:val="0"/>
      <w:marBottom w:val="0"/>
      <w:divBdr>
        <w:top w:val="none" w:sz="0" w:space="0" w:color="auto"/>
        <w:left w:val="none" w:sz="0" w:space="0" w:color="auto"/>
        <w:bottom w:val="none" w:sz="0" w:space="0" w:color="auto"/>
        <w:right w:val="none" w:sz="0" w:space="0" w:color="auto"/>
      </w:divBdr>
    </w:div>
    <w:div w:id="1069841875">
      <w:bodyDiv w:val="1"/>
      <w:marLeft w:val="0"/>
      <w:marRight w:val="0"/>
      <w:marTop w:val="0"/>
      <w:marBottom w:val="0"/>
      <w:divBdr>
        <w:top w:val="none" w:sz="0" w:space="0" w:color="auto"/>
        <w:left w:val="none" w:sz="0" w:space="0" w:color="auto"/>
        <w:bottom w:val="none" w:sz="0" w:space="0" w:color="auto"/>
        <w:right w:val="none" w:sz="0" w:space="0" w:color="auto"/>
      </w:divBdr>
    </w:div>
    <w:div w:id="1090156665">
      <w:bodyDiv w:val="1"/>
      <w:marLeft w:val="0"/>
      <w:marRight w:val="0"/>
      <w:marTop w:val="0"/>
      <w:marBottom w:val="0"/>
      <w:divBdr>
        <w:top w:val="none" w:sz="0" w:space="0" w:color="auto"/>
        <w:left w:val="none" w:sz="0" w:space="0" w:color="auto"/>
        <w:bottom w:val="none" w:sz="0" w:space="0" w:color="auto"/>
        <w:right w:val="none" w:sz="0" w:space="0" w:color="auto"/>
      </w:divBdr>
    </w:div>
    <w:div w:id="115646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9</Pages>
  <Words>1769</Words>
  <Characters>9732</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 Info</dc:creator>
  <cp:lastModifiedBy>Tis Info</cp:lastModifiedBy>
  <cp:revision>11</cp:revision>
  <dcterms:created xsi:type="dcterms:W3CDTF">2025-10-17T15:45:00Z</dcterms:created>
  <dcterms:modified xsi:type="dcterms:W3CDTF">2025-10-18T13:10:00Z</dcterms:modified>
</cp:coreProperties>
</file>