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864" w:rsidRPr="0059019D" w:rsidRDefault="0068174F" w:rsidP="009158EC">
      <w:pPr>
        <w:pStyle w:val="Paragraphedeliste"/>
        <w:numPr>
          <w:ilvl w:val="0"/>
          <w:numId w:val="7"/>
        </w:numPr>
        <w:tabs>
          <w:tab w:val="left" w:pos="1064"/>
        </w:tabs>
        <w:spacing w:before="100" w:beforeAutospacing="1" w:after="100" w:afterAutospacing="1" w:line="360" w:lineRule="auto"/>
        <w:jc w:val="both"/>
        <w:rPr>
          <w:rFonts w:asciiTheme="majorBidi" w:hAnsiTheme="majorBidi" w:cstheme="majorBidi"/>
          <w:sz w:val="24"/>
          <w:szCs w:val="24"/>
        </w:rPr>
      </w:pPr>
      <w:bookmarkStart w:id="0" w:name="_GoBack"/>
      <w:bookmarkEnd w:id="0"/>
      <w:r w:rsidRPr="0059019D">
        <w:rPr>
          <w:rFonts w:asciiTheme="majorBidi" w:hAnsiTheme="majorBidi" w:cstheme="majorBidi"/>
          <w:sz w:val="24"/>
          <w:szCs w:val="24"/>
        </w:rPr>
        <w:t xml:space="preserve">Apres avoir </w:t>
      </w:r>
      <w:r w:rsidR="0059019D" w:rsidRPr="0059019D">
        <w:rPr>
          <w:rFonts w:asciiTheme="majorBidi" w:hAnsiTheme="majorBidi" w:cstheme="majorBidi"/>
          <w:sz w:val="24"/>
          <w:szCs w:val="24"/>
        </w:rPr>
        <w:t>présenté</w:t>
      </w:r>
      <w:r w:rsidRPr="0059019D">
        <w:rPr>
          <w:rFonts w:asciiTheme="majorBidi" w:hAnsiTheme="majorBidi" w:cstheme="majorBidi"/>
          <w:sz w:val="24"/>
          <w:szCs w:val="24"/>
        </w:rPr>
        <w:t xml:space="preserve"> dans  le chapitre 2 </w:t>
      </w:r>
      <w:r w:rsidR="00C61864" w:rsidRPr="0059019D">
        <w:rPr>
          <w:rFonts w:asciiTheme="majorBidi" w:hAnsiTheme="majorBidi" w:cstheme="majorBidi"/>
          <w:sz w:val="24"/>
          <w:szCs w:val="24"/>
        </w:rPr>
        <w:t>les acteurs essentiels de la transduction membr</w:t>
      </w:r>
      <w:r w:rsidRPr="0059019D">
        <w:rPr>
          <w:rFonts w:asciiTheme="majorBidi" w:hAnsiTheme="majorBidi" w:cstheme="majorBidi"/>
          <w:sz w:val="24"/>
          <w:szCs w:val="24"/>
        </w:rPr>
        <w:t xml:space="preserve">anaire proprement dite, les RCPG </w:t>
      </w:r>
      <w:r w:rsidR="00B429D0" w:rsidRPr="0059019D">
        <w:rPr>
          <w:rFonts w:asciiTheme="majorBidi" w:hAnsiTheme="majorBidi" w:cstheme="majorBidi"/>
          <w:sz w:val="24"/>
          <w:szCs w:val="24"/>
        </w:rPr>
        <w:t>et les protéines G</w:t>
      </w:r>
      <w:r w:rsidR="009158EC">
        <w:rPr>
          <w:rFonts w:asciiTheme="majorBidi" w:hAnsiTheme="majorBidi" w:cstheme="majorBidi"/>
          <w:sz w:val="24"/>
          <w:szCs w:val="24"/>
        </w:rPr>
        <w:t>, les RTK …etc,</w:t>
      </w:r>
      <w:r w:rsidR="00B429D0" w:rsidRPr="0059019D">
        <w:rPr>
          <w:rFonts w:asciiTheme="majorBidi" w:hAnsiTheme="majorBidi" w:cstheme="majorBidi"/>
          <w:sz w:val="24"/>
          <w:szCs w:val="24"/>
        </w:rPr>
        <w:t xml:space="preserve"> dans ce chapitre</w:t>
      </w:r>
      <w:r w:rsidR="00C61864" w:rsidRPr="0059019D">
        <w:rPr>
          <w:rFonts w:asciiTheme="majorBidi" w:hAnsiTheme="majorBidi" w:cstheme="majorBidi"/>
          <w:sz w:val="24"/>
          <w:szCs w:val="24"/>
        </w:rPr>
        <w:t xml:space="preserve"> nous décrirons plus précisément les principales voies de signalisation en aval de l’activation des protéines G suite à l’o</w:t>
      </w:r>
      <w:r w:rsidRPr="0059019D">
        <w:rPr>
          <w:rFonts w:asciiTheme="majorBidi" w:hAnsiTheme="majorBidi" w:cstheme="majorBidi"/>
          <w:sz w:val="24"/>
          <w:szCs w:val="24"/>
        </w:rPr>
        <w:t>ccupation des RCPG</w:t>
      </w:r>
      <w:r w:rsidR="00B429D0" w:rsidRPr="0059019D">
        <w:rPr>
          <w:rFonts w:asciiTheme="majorBidi" w:hAnsiTheme="majorBidi" w:cstheme="majorBidi"/>
          <w:sz w:val="24"/>
          <w:szCs w:val="24"/>
        </w:rPr>
        <w:t xml:space="preserve"> et autres types de </w:t>
      </w:r>
      <w:r w:rsidR="0059019D" w:rsidRPr="0059019D">
        <w:rPr>
          <w:rFonts w:asciiTheme="majorBidi" w:hAnsiTheme="majorBidi" w:cstheme="majorBidi"/>
          <w:sz w:val="24"/>
          <w:szCs w:val="24"/>
        </w:rPr>
        <w:t>récepteurs</w:t>
      </w:r>
      <w:r w:rsidR="00C61864" w:rsidRPr="0059019D">
        <w:rPr>
          <w:rFonts w:asciiTheme="majorBidi" w:hAnsiTheme="majorBidi" w:cstheme="majorBidi"/>
          <w:sz w:val="24"/>
          <w:szCs w:val="24"/>
        </w:rPr>
        <w:t>.</w:t>
      </w:r>
    </w:p>
    <w:p w:rsidR="00B429D0" w:rsidRPr="00A913DC" w:rsidRDefault="00B429D0" w:rsidP="007F2C15">
      <w:pPr>
        <w:tabs>
          <w:tab w:val="left" w:pos="1064"/>
        </w:tabs>
        <w:spacing w:before="100" w:beforeAutospacing="1" w:after="100" w:afterAutospacing="1" w:line="360" w:lineRule="auto"/>
        <w:jc w:val="both"/>
        <w:rPr>
          <w:rFonts w:asciiTheme="majorBidi" w:hAnsiTheme="majorBidi" w:cstheme="majorBidi"/>
          <w:b/>
          <w:bCs/>
          <w:sz w:val="24"/>
          <w:szCs w:val="24"/>
        </w:rPr>
      </w:pPr>
      <w:r w:rsidRPr="00A913DC">
        <w:rPr>
          <w:rFonts w:asciiTheme="majorBidi" w:hAnsiTheme="majorBidi" w:cstheme="majorBidi"/>
          <w:b/>
          <w:bCs/>
          <w:sz w:val="24"/>
          <w:szCs w:val="24"/>
        </w:rPr>
        <w:t>III. Les voies de signalisation intracellulaire :</w:t>
      </w:r>
    </w:p>
    <w:p w:rsidR="001909F2" w:rsidRPr="00A913DC" w:rsidRDefault="00B429D0" w:rsidP="007F2C15">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sidRPr="00A913DC">
        <w:rPr>
          <w:rFonts w:asciiTheme="majorBidi" w:hAnsiTheme="majorBidi" w:cstheme="majorBidi"/>
          <w:b/>
          <w:bCs/>
          <w:sz w:val="24"/>
          <w:szCs w:val="24"/>
        </w:rPr>
        <w:t>III</w:t>
      </w:r>
      <w:r w:rsidR="001909F2" w:rsidRPr="00A913DC">
        <w:rPr>
          <w:rFonts w:asciiTheme="majorBidi" w:hAnsiTheme="majorBidi" w:cstheme="majorBidi"/>
          <w:b/>
          <w:bCs/>
          <w:sz w:val="24"/>
          <w:szCs w:val="24"/>
        </w:rPr>
        <w:t>.</w:t>
      </w:r>
      <w:r w:rsidRPr="00A913DC">
        <w:rPr>
          <w:rFonts w:asciiTheme="majorBidi" w:hAnsiTheme="majorBidi" w:cstheme="majorBidi"/>
          <w:b/>
          <w:bCs/>
          <w:sz w:val="24"/>
          <w:szCs w:val="24"/>
        </w:rPr>
        <w:t>1.</w:t>
      </w:r>
      <w:r w:rsidR="001909F2" w:rsidRPr="00A913DC">
        <w:rPr>
          <w:rFonts w:asciiTheme="majorBidi" w:hAnsiTheme="majorBidi" w:cstheme="majorBidi"/>
          <w:b/>
          <w:bCs/>
          <w:sz w:val="24"/>
          <w:szCs w:val="24"/>
        </w:rPr>
        <w:t xml:space="preserve"> Voie de l’adénylyl-cyclase – AMPc</w:t>
      </w:r>
    </w:p>
    <w:p w:rsidR="001909F2" w:rsidRPr="007F2C15" w:rsidRDefault="00B429D0" w:rsidP="007F2C15">
      <w:pPr>
        <w:autoSpaceDE w:val="0"/>
        <w:autoSpaceDN w:val="0"/>
        <w:adjustRightInd w:val="0"/>
        <w:spacing w:before="100" w:beforeAutospacing="1" w:after="100" w:afterAutospacing="1" w:line="360" w:lineRule="auto"/>
        <w:jc w:val="both"/>
        <w:rPr>
          <w:rFonts w:asciiTheme="majorBidi" w:hAnsiTheme="majorBidi" w:cstheme="majorBidi"/>
          <w:b/>
          <w:bCs/>
          <w:i/>
          <w:iCs/>
          <w:sz w:val="24"/>
          <w:szCs w:val="24"/>
        </w:rPr>
      </w:pPr>
      <w:r w:rsidRPr="00A913DC">
        <w:rPr>
          <w:rFonts w:asciiTheme="majorBidi" w:hAnsiTheme="majorBidi" w:cstheme="majorBidi"/>
          <w:b/>
          <w:bCs/>
          <w:sz w:val="24"/>
          <w:szCs w:val="24"/>
        </w:rPr>
        <w:t>III.1.1.</w:t>
      </w:r>
      <w:r w:rsidR="001909F2" w:rsidRPr="00A913DC">
        <w:rPr>
          <w:rFonts w:asciiTheme="majorBidi" w:hAnsiTheme="majorBidi" w:cstheme="majorBidi"/>
          <w:b/>
          <w:bCs/>
          <w:i/>
          <w:iCs/>
          <w:sz w:val="24"/>
          <w:szCs w:val="24"/>
        </w:rPr>
        <w:t>L’adénylyl-cyclase</w:t>
      </w:r>
    </w:p>
    <w:p w:rsidR="001909F2" w:rsidRPr="00A913DC" w:rsidRDefault="001909F2" w:rsidP="007F2C1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L’adénylyl-cyclase (ou adénylate cyclase) est une enzyme membranaire constituée de 12 régions transmembranaires réparties en 2 motifs identiques à 6 hélices α chacun.</w:t>
      </w:r>
    </w:p>
    <w:p w:rsidR="001909F2" w:rsidRPr="0059019D" w:rsidRDefault="001909F2" w:rsidP="0059019D">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 xml:space="preserve">       Actuellement, il existe 9 isoformes connues de l'adénylyl-cyclase membranaire. L'adénylyl-cyclase (AC) est activée par les sous-unités de type Gαs. Elle catalyse la réaction de formation de l'</w:t>
      </w:r>
      <w:r w:rsidRPr="00A913DC">
        <w:rPr>
          <w:rFonts w:asciiTheme="majorBidi" w:hAnsiTheme="majorBidi" w:cstheme="majorBidi"/>
          <w:b/>
          <w:bCs/>
          <w:sz w:val="24"/>
          <w:szCs w:val="24"/>
        </w:rPr>
        <w:t xml:space="preserve">AMP cyclique </w:t>
      </w:r>
      <w:r w:rsidRPr="00A913DC">
        <w:rPr>
          <w:rFonts w:asciiTheme="majorBidi" w:hAnsiTheme="majorBidi" w:cstheme="majorBidi"/>
          <w:sz w:val="24"/>
          <w:szCs w:val="24"/>
        </w:rPr>
        <w:t>(</w:t>
      </w:r>
      <w:r w:rsidRPr="00A913DC">
        <w:rPr>
          <w:rFonts w:asciiTheme="majorBidi" w:hAnsiTheme="majorBidi" w:cstheme="majorBidi"/>
          <w:b/>
          <w:bCs/>
          <w:sz w:val="24"/>
          <w:szCs w:val="24"/>
        </w:rPr>
        <w:t>AMPc</w:t>
      </w:r>
      <w:r w:rsidRPr="00A913DC">
        <w:rPr>
          <w:rFonts w:asciiTheme="majorBidi" w:hAnsiTheme="majorBidi" w:cstheme="majorBidi"/>
          <w:sz w:val="24"/>
          <w:szCs w:val="24"/>
        </w:rPr>
        <w:t xml:space="preserve">), qui est le second messager produit, à partir d'ATP </w:t>
      </w:r>
    </w:p>
    <w:p w:rsidR="001909F2" w:rsidRPr="00A913DC" w:rsidRDefault="0079412D" w:rsidP="007F2C1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b/>
          <w:bCs/>
          <w:sz w:val="24"/>
          <w:szCs w:val="24"/>
        </w:rPr>
        <w:t>III.1.1.2.</w:t>
      </w:r>
      <w:r w:rsidR="001909F2" w:rsidRPr="00A913DC">
        <w:rPr>
          <w:rFonts w:asciiTheme="majorBidi" w:hAnsiTheme="majorBidi" w:cstheme="majorBidi"/>
          <w:b/>
          <w:bCs/>
          <w:sz w:val="24"/>
          <w:szCs w:val="24"/>
        </w:rPr>
        <w:t>Cycle d'activation - inactivation de l'adénylyl cyclase</w:t>
      </w:r>
      <w:r w:rsidR="001909F2" w:rsidRPr="00A913DC">
        <w:rPr>
          <w:rFonts w:asciiTheme="majorBidi" w:hAnsiTheme="majorBidi" w:cstheme="majorBidi"/>
          <w:sz w:val="24"/>
          <w:szCs w:val="24"/>
        </w:rPr>
        <w:t xml:space="preserve"> :</w:t>
      </w:r>
    </w:p>
    <w:p w:rsidR="001909F2" w:rsidRPr="00A913DC" w:rsidRDefault="001909F2" w:rsidP="007F2C1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1) La liaison avec le ligand entraîne un changement dans la conformation du récepteur. Celui-ci va s’associer avec la protéine Gαs.</w:t>
      </w:r>
    </w:p>
    <w:p w:rsidR="001909F2" w:rsidRPr="00A913DC" w:rsidRDefault="001909F2" w:rsidP="007F2C1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2) Cette association entraîne un changement dans la conformation de la sous-unité Gαs. Elle</w:t>
      </w:r>
    </w:p>
    <w:p w:rsidR="001909F2" w:rsidRPr="00A913DC" w:rsidRDefault="001909F2" w:rsidP="007F2C1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remplace le GDP par le GTP et se dissocie de Gβγ.</w:t>
      </w:r>
    </w:p>
    <w:p w:rsidR="001909F2" w:rsidRPr="00A913DC" w:rsidRDefault="001909F2" w:rsidP="007F2C1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3) La sous-unité Gαs se lie à l’adénylyl cyclase en l’activant. Il y a synthèse de l’AMPc.</w:t>
      </w:r>
    </w:p>
    <w:p w:rsidR="001909F2" w:rsidRPr="00A913DC" w:rsidRDefault="001909F2" w:rsidP="007F2C1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4) L’hydrolyse du GTP en GDP entraîne la dissociation de Gαs avec l’adénylyl cyclase et sa</w:t>
      </w:r>
    </w:p>
    <w:p w:rsidR="001909F2" w:rsidRPr="00A913DC" w:rsidRDefault="001909F2" w:rsidP="007F2C15">
      <w:pPr>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réassociation avec Gβγ. L'AC redevient alors inactive.</w:t>
      </w:r>
    </w:p>
    <w:p w:rsidR="001909F2" w:rsidRPr="00A913DC" w:rsidRDefault="001909F2" w:rsidP="007F2C1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Dans certains cas, des ligands entraînent non pas une stimulation mais une inhibition de</w:t>
      </w:r>
    </w:p>
    <w:p w:rsidR="001909F2" w:rsidRPr="0059019D" w:rsidRDefault="001909F2" w:rsidP="0059019D">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lastRenderedPageBreak/>
        <w:t>l’activité de l’adénylyl-cyclase. Dans ces cas, la protéine G impliquée est alors appelée protéine Gi (i pour inhibitrice) dont la sous-unité αi liée au GTP (αi.GTP) inhibe l’activité de l’AC La concentration intracellulaire de l’AMPc est contrôlée d’une part, au niveau de sa synthèse par l’adénylyl-cyclase, mais également au niveau de sa dégradation en 5’AMP non cyclique (et non actif) par une phosphodiestérase (PDE) qui atténue la réponse au signal.</w:t>
      </w:r>
    </w:p>
    <w:p w:rsidR="0068174F" w:rsidRPr="00A913DC" w:rsidRDefault="001909F2" w:rsidP="0059019D">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 xml:space="preserve">Le site d'action principal de l'AMPc est une enzyme, la protéine-kinase A (A pour AMPcdépendante).Cependant, l'AMPc peut agir directement sur certains types de canaux ioniques,notamment dans le cas des RCPG du système olfactif. </w:t>
      </w:r>
    </w:p>
    <w:p w:rsidR="001909F2" w:rsidRPr="00A913DC" w:rsidRDefault="0079412D" w:rsidP="007F2C15">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sidRPr="00A913DC">
        <w:rPr>
          <w:rFonts w:asciiTheme="majorBidi" w:hAnsiTheme="majorBidi" w:cstheme="majorBidi"/>
          <w:b/>
          <w:bCs/>
          <w:sz w:val="24"/>
          <w:szCs w:val="24"/>
        </w:rPr>
        <w:t xml:space="preserve">III.1.2. </w:t>
      </w:r>
      <w:r w:rsidR="001909F2" w:rsidRPr="00A913DC">
        <w:rPr>
          <w:rFonts w:asciiTheme="majorBidi" w:hAnsiTheme="majorBidi" w:cstheme="majorBidi"/>
          <w:b/>
          <w:bCs/>
          <w:sz w:val="24"/>
          <w:szCs w:val="24"/>
        </w:rPr>
        <w:t>La Protéine-kinase A</w:t>
      </w:r>
    </w:p>
    <w:p w:rsidR="001909F2" w:rsidRPr="0059019D" w:rsidRDefault="001909F2" w:rsidP="0059019D">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 xml:space="preserve">          La protéine-kinase A (PKA) est une enzym</w:t>
      </w:r>
      <w:r w:rsidR="0068174F" w:rsidRPr="00A913DC">
        <w:rPr>
          <w:rFonts w:asciiTheme="majorBidi" w:hAnsiTheme="majorBidi" w:cstheme="majorBidi"/>
          <w:sz w:val="24"/>
          <w:szCs w:val="24"/>
        </w:rPr>
        <w:t xml:space="preserve">e cytoplasmique qui catalyse la </w:t>
      </w:r>
      <w:r w:rsidRPr="00A913DC">
        <w:rPr>
          <w:rFonts w:asciiTheme="majorBidi" w:hAnsiTheme="majorBidi" w:cstheme="majorBidi"/>
          <w:sz w:val="24"/>
          <w:szCs w:val="24"/>
        </w:rPr>
        <w:t>phosphorylation de protéines spécifiques sur certains de leurs résidus sérine et/ou thréonine</w:t>
      </w:r>
    </w:p>
    <w:p w:rsidR="001909F2" w:rsidRPr="00A913DC" w:rsidRDefault="001909F2" w:rsidP="007F2C15">
      <w:pPr>
        <w:pStyle w:val="Paragraphedeliste"/>
        <w:numPr>
          <w:ilvl w:val="0"/>
          <w:numId w:val="4"/>
        </w:num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sidRPr="00A913DC">
        <w:rPr>
          <w:rFonts w:asciiTheme="majorBidi" w:hAnsiTheme="majorBidi" w:cstheme="majorBidi"/>
          <w:b/>
          <w:bCs/>
          <w:sz w:val="24"/>
          <w:szCs w:val="24"/>
        </w:rPr>
        <w:t>Activation de la PKA</w:t>
      </w:r>
    </w:p>
    <w:p w:rsidR="001909F2" w:rsidRPr="00A913DC" w:rsidRDefault="001909F2" w:rsidP="007F2C1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 xml:space="preserve"> La protéine kinase A est composée de 4 sous-unités  : deux sous-unités catalytiques (C) et deux sous-unités régulatrices (R). </w:t>
      </w:r>
    </w:p>
    <w:p w:rsidR="001909F2" w:rsidRPr="00A913DC" w:rsidRDefault="001909F2" w:rsidP="0059019D">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Les gènes cibles de la PKA contiennent, au niveau de leur région régulatrice, une séquence d'ADN appelée CRE (</w:t>
      </w:r>
      <w:r w:rsidRPr="00A913DC">
        <w:rPr>
          <w:rFonts w:asciiTheme="majorBidi" w:hAnsiTheme="majorBidi" w:cstheme="majorBidi"/>
          <w:b/>
          <w:bCs/>
          <w:i/>
          <w:iCs/>
          <w:sz w:val="24"/>
          <w:szCs w:val="24"/>
        </w:rPr>
        <w:t>C</w:t>
      </w:r>
      <w:r w:rsidRPr="00A913DC">
        <w:rPr>
          <w:rFonts w:asciiTheme="majorBidi" w:hAnsiTheme="majorBidi" w:cstheme="majorBidi"/>
          <w:i/>
          <w:iCs/>
          <w:sz w:val="24"/>
          <w:szCs w:val="24"/>
        </w:rPr>
        <w:t xml:space="preserve">yclic AMP </w:t>
      </w:r>
      <w:r w:rsidRPr="00A913DC">
        <w:rPr>
          <w:rFonts w:asciiTheme="majorBidi" w:hAnsiTheme="majorBidi" w:cstheme="majorBidi"/>
          <w:b/>
          <w:bCs/>
          <w:i/>
          <w:iCs/>
          <w:sz w:val="24"/>
          <w:szCs w:val="24"/>
        </w:rPr>
        <w:t>R</w:t>
      </w:r>
      <w:r w:rsidRPr="00A913DC">
        <w:rPr>
          <w:rFonts w:asciiTheme="majorBidi" w:hAnsiTheme="majorBidi" w:cstheme="majorBidi"/>
          <w:i/>
          <w:iCs/>
          <w:sz w:val="24"/>
          <w:szCs w:val="24"/>
        </w:rPr>
        <w:t xml:space="preserve">esponse </w:t>
      </w:r>
      <w:r w:rsidRPr="00A913DC">
        <w:rPr>
          <w:rFonts w:asciiTheme="majorBidi" w:hAnsiTheme="majorBidi" w:cstheme="majorBidi"/>
          <w:b/>
          <w:bCs/>
          <w:i/>
          <w:iCs/>
          <w:sz w:val="24"/>
          <w:szCs w:val="24"/>
        </w:rPr>
        <w:t>E</w:t>
      </w:r>
      <w:r w:rsidRPr="00A913DC">
        <w:rPr>
          <w:rFonts w:asciiTheme="majorBidi" w:hAnsiTheme="majorBidi" w:cstheme="majorBidi"/>
          <w:i/>
          <w:iCs/>
          <w:sz w:val="24"/>
          <w:szCs w:val="24"/>
        </w:rPr>
        <w:t>lement</w:t>
      </w:r>
      <w:r w:rsidRPr="00A913DC">
        <w:rPr>
          <w:rFonts w:asciiTheme="majorBidi" w:hAnsiTheme="majorBidi" w:cstheme="majorBidi"/>
          <w:sz w:val="24"/>
          <w:szCs w:val="24"/>
        </w:rPr>
        <w:t>). Dans ce cas, les sous-unités catalytiques C de la PKA activée, entrent dans le noyau où elles phosphorylent un facteur de transcription appelé CREB (</w:t>
      </w:r>
      <w:r w:rsidRPr="00A913DC">
        <w:rPr>
          <w:rFonts w:asciiTheme="majorBidi" w:hAnsiTheme="majorBidi" w:cstheme="majorBidi"/>
          <w:b/>
          <w:bCs/>
          <w:i/>
          <w:iCs/>
          <w:sz w:val="24"/>
          <w:szCs w:val="24"/>
        </w:rPr>
        <w:t>CRE</w:t>
      </w:r>
      <w:r w:rsidRPr="00A913DC">
        <w:rPr>
          <w:rFonts w:asciiTheme="majorBidi" w:hAnsiTheme="majorBidi" w:cstheme="majorBidi"/>
          <w:i/>
          <w:iCs/>
          <w:sz w:val="24"/>
          <w:szCs w:val="24"/>
        </w:rPr>
        <w:t>-</w:t>
      </w:r>
      <w:r w:rsidRPr="00A913DC">
        <w:rPr>
          <w:rFonts w:asciiTheme="majorBidi" w:hAnsiTheme="majorBidi" w:cstheme="majorBidi"/>
          <w:b/>
          <w:bCs/>
          <w:i/>
          <w:iCs/>
          <w:sz w:val="24"/>
          <w:szCs w:val="24"/>
        </w:rPr>
        <w:t>B</w:t>
      </w:r>
      <w:r w:rsidRPr="00A913DC">
        <w:rPr>
          <w:rFonts w:asciiTheme="majorBidi" w:hAnsiTheme="majorBidi" w:cstheme="majorBidi"/>
          <w:i/>
          <w:iCs/>
          <w:sz w:val="24"/>
          <w:szCs w:val="24"/>
        </w:rPr>
        <w:t>inding protein</w:t>
      </w:r>
      <w:r w:rsidRPr="00A913DC">
        <w:rPr>
          <w:rFonts w:asciiTheme="majorBidi" w:hAnsiTheme="majorBidi" w:cstheme="majorBidi"/>
          <w:sz w:val="24"/>
          <w:szCs w:val="24"/>
        </w:rPr>
        <w:t>). Le CREB phosphorylé reconnaît et sefixe sur la séquence CRE, puis recrute un coactivateur de transcription CBP (</w:t>
      </w:r>
      <w:r w:rsidRPr="00A913DC">
        <w:rPr>
          <w:rFonts w:asciiTheme="majorBidi" w:hAnsiTheme="majorBidi" w:cstheme="majorBidi"/>
          <w:b/>
          <w:bCs/>
          <w:i/>
          <w:iCs/>
          <w:sz w:val="24"/>
          <w:szCs w:val="24"/>
        </w:rPr>
        <w:t>C</w:t>
      </w:r>
      <w:r w:rsidRPr="00A913DC">
        <w:rPr>
          <w:rFonts w:asciiTheme="majorBidi" w:hAnsiTheme="majorBidi" w:cstheme="majorBidi"/>
          <w:i/>
          <w:iCs/>
          <w:sz w:val="24"/>
          <w:szCs w:val="24"/>
        </w:rPr>
        <w:t>REB-</w:t>
      </w:r>
      <w:r w:rsidRPr="00A913DC">
        <w:rPr>
          <w:rFonts w:asciiTheme="majorBidi" w:hAnsiTheme="majorBidi" w:cstheme="majorBidi"/>
          <w:b/>
          <w:bCs/>
          <w:i/>
          <w:iCs/>
          <w:sz w:val="24"/>
          <w:szCs w:val="24"/>
        </w:rPr>
        <w:t>B</w:t>
      </w:r>
      <w:r w:rsidRPr="00A913DC">
        <w:rPr>
          <w:rFonts w:asciiTheme="majorBidi" w:hAnsiTheme="majorBidi" w:cstheme="majorBidi"/>
          <w:i/>
          <w:iCs/>
          <w:sz w:val="24"/>
          <w:szCs w:val="24"/>
        </w:rPr>
        <w:t xml:space="preserve">inding </w:t>
      </w:r>
      <w:r w:rsidRPr="00A913DC">
        <w:rPr>
          <w:rFonts w:asciiTheme="majorBidi" w:hAnsiTheme="majorBidi" w:cstheme="majorBidi"/>
          <w:b/>
          <w:bCs/>
          <w:i/>
          <w:iCs/>
          <w:sz w:val="24"/>
          <w:szCs w:val="24"/>
        </w:rPr>
        <w:t>P</w:t>
      </w:r>
      <w:r w:rsidRPr="00A913DC">
        <w:rPr>
          <w:rFonts w:asciiTheme="majorBidi" w:hAnsiTheme="majorBidi" w:cstheme="majorBidi"/>
          <w:i/>
          <w:iCs/>
          <w:sz w:val="24"/>
          <w:szCs w:val="24"/>
        </w:rPr>
        <w:t>rotein</w:t>
      </w:r>
      <w:r w:rsidRPr="00A913DC">
        <w:rPr>
          <w:rFonts w:asciiTheme="majorBidi" w:hAnsiTheme="majorBidi" w:cstheme="majorBidi"/>
          <w:sz w:val="24"/>
          <w:szCs w:val="24"/>
        </w:rPr>
        <w:t>) ;ce qui permet de moduler la transcription de ces gènes.</w:t>
      </w:r>
    </w:p>
    <w:p w:rsidR="001909F2" w:rsidRPr="00A913DC" w:rsidRDefault="001909F2" w:rsidP="007F2C15">
      <w:pPr>
        <w:pStyle w:val="Paragraphedeliste"/>
        <w:numPr>
          <w:ilvl w:val="0"/>
          <w:numId w:val="4"/>
        </w:numPr>
        <w:autoSpaceDE w:val="0"/>
        <w:autoSpaceDN w:val="0"/>
        <w:adjustRightInd w:val="0"/>
        <w:spacing w:before="100" w:beforeAutospacing="1" w:after="100" w:afterAutospacing="1" w:line="360" w:lineRule="auto"/>
        <w:rPr>
          <w:rFonts w:ascii="Cambria-Italic" w:hAnsi="Cambria-Italic" w:cs="Cambria-Italic"/>
          <w:b/>
          <w:bCs/>
          <w:i/>
          <w:iCs/>
          <w:sz w:val="24"/>
          <w:szCs w:val="24"/>
        </w:rPr>
      </w:pPr>
      <w:r w:rsidRPr="00A913DC">
        <w:rPr>
          <w:rFonts w:ascii="Cambria-Italic" w:hAnsi="Cambria-Italic" w:cs="Cambria-Italic"/>
          <w:b/>
          <w:bCs/>
          <w:i/>
          <w:iCs/>
          <w:sz w:val="24"/>
          <w:szCs w:val="24"/>
        </w:rPr>
        <w:t>Effets de toxines</w:t>
      </w:r>
    </w:p>
    <w:p w:rsidR="001909F2" w:rsidRPr="00A913DC" w:rsidRDefault="001909F2" w:rsidP="007F2C1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Certaines toxines comme celles responsables du choléra et de la coqueluche, affectent le</w:t>
      </w:r>
    </w:p>
    <w:p w:rsidR="001909F2" w:rsidRPr="00A913DC" w:rsidRDefault="001909F2" w:rsidP="007F2C1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fonctionnement des protéines G par ADP-ribosylation. L'ADP-ribose est transféré à partir du NAD+ intracellulaire vers la sous-unité α.</w:t>
      </w:r>
    </w:p>
    <w:p w:rsidR="001909F2" w:rsidRPr="00A913DC" w:rsidRDefault="001909F2" w:rsidP="007F2C15">
      <w:pPr>
        <w:pStyle w:val="Paragraphedeliste"/>
        <w:numPr>
          <w:ilvl w:val="0"/>
          <w:numId w:val="2"/>
        </w:numPr>
        <w:autoSpaceDE w:val="0"/>
        <w:autoSpaceDN w:val="0"/>
        <w:adjustRightInd w:val="0"/>
        <w:spacing w:before="100" w:beforeAutospacing="1" w:after="100" w:afterAutospacing="1" w:line="360" w:lineRule="auto"/>
        <w:jc w:val="both"/>
        <w:rPr>
          <w:rFonts w:ascii="Calibri" w:hAnsi="Calibri" w:cs="Calibri"/>
          <w:sz w:val="24"/>
          <w:szCs w:val="24"/>
        </w:rPr>
      </w:pPr>
      <w:r w:rsidRPr="00A913DC">
        <w:rPr>
          <w:rFonts w:asciiTheme="majorBidi" w:hAnsiTheme="majorBidi" w:cstheme="majorBidi"/>
          <w:sz w:val="24"/>
          <w:szCs w:val="24"/>
        </w:rPr>
        <w:lastRenderedPageBreak/>
        <w:t xml:space="preserve">La </w:t>
      </w:r>
      <w:r w:rsidRPr="00A913DC">
        <w:rPr>
          <w:rFonts w:asciiTheme="majorBidi" w:hAnsiTheme="majorBidi" w:cstheme="majorBidi"/>
          <w:b/>
          <w:bCs/>
          <w:sz w:val="24"/>
          <w:szCs w:val="24"/>
        </w:rPr>
        <w:t xml:space="preserve">toxine du choléra </w:t>
      </w:r>
      <w:r w:rsidRPr="00A913DC">
        <w:rPr>
          <w:rFonts w:asciiTheme="majorBidi" w:hAnsiTheme="majorBidi" w:cstheme="majorBidi"/>
          <w:sz w:val="24"/>
          <w:szCs w:val="24"/>
        </w:rPr>
        <w:t xml:space="preserve">libérée par la bactérie </w:t>
      </w:r>
      <w:r w:rsidRPr="00A913DC">
        <w:rPr>
          <w:rFonts w:asciiTheme="majorBidi" w:hAnsiTheme="majorBidi" w:cstheme="majorBidi"/>
          <w:i/>
          <w:iCs/>
          <w:sz w:val="24"/>
          <w:szCs w:val="24"/>
        </w:rPr>
        <w:t>Vibrio cholerae</w:t>
      </w:r>
      <w:r w:rsidRPr="00A913DC">
        <w:rPr>
          <w:rFonts w:asciiTheme="majorBidi" w:hAnsiTheme="majorBidi" w:cstheme="majorBidi"/>
          <w:sz w:val="24"/>
          <w:szCs w:val="24"/>
        </w:rPr>
        <w:t>, est une enzyme qui modifie la sous-unité αs de la protéine Gs, de telle sorte qu’elle ne peut plus hydrolyser son GTP lorsqu'elle est sous forme α.GTP (fig.28). Par conséquent, elle reste irréversiblement activée et stimule constamment l’adénylyl-cyclase. La concentration élevée en AMPc qui en résulte, entraîne dans les cellules épithéliales de l’intestin, de grandes pertes de sels et d’eau provoquant diarrhée et déshydratation caractéristiques du choléra.</w:t>
      </w:r>
    </w:p>
    <w:p w:rsidR="007C1C8A" w:rsidRDefault="001909F2" w:rsidP="0059019D">
      <w:pPr>
        <w:pStyle w:val="Paragraphedeliste"/>
        <w:numPr>
          <w:ilvl w:val="0"/>
          <w:numId w:val="2"/>
        </w:num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b/>
          <w:bCs/>
          <w:sz w:val="24"/>
          <w:szCs w:val="24"/>
        </w:rPr>
        <w:t xml:space="preserve">La toxine de la coqueluche </w:t>
      </w:r>
      <w:r w:rsidRPr="00A913DC">
        <w:rPr>
          <w:rFonts w:asciiTheme="majorBidi" w:hAnsiTheme="majorBidi" w:cstheme="majorBidi"/>
          <w:sz w:val="24"/>
          <w:szCs w:val="24"/>
        </w:rPr>
        <w:t xml:space="preserve">libérée par la bactérie </w:t>
      </w:r>
      <w:r w:rsidRPr="00A913DC">
        <w:rPr>
          <w:rFonts w:asciiTheme="majorBidi" w:hAnsiTheme="majorBidi" w:cstheme="majorBidi"/>
          <w:i/>
          <w:iCs/>
          <w:sz w:val="24"/>
          <w:szCs w:val="24"/>
        </w:rPr>
        <w:t>Bordetella pertussis</w:t>
      </w:r>
      <w:r w:rsidRPr="00A913DC">
        <w:rPr>
          <w:rFonts w:asciiTheme="majorBidi" w:hAnsiTheme="majorBidi" w:cstheme="majorBidi"/>
          <w:sz w:val="24"/>
          <w:szCs w:val="24"/>
        </w:rPr>
        <w:t>, entraîne une inactivation irréversible de la protéine Gi suite à une ADP-ribosylation au niveau C-terminal de la sous-unité αi. La protéine Gi ne peut pas faire de couplage avec le récepteur et reste alors bloquée à l’état inactif. Elle ne peut plus inhiber l’adénylyl-cyclase et par conséquent, la concentration en AMPc augmente. Quand l’infection   atteint les voies respiratoires, les cellules épithéliales pulmonaires sécrètent en abondance des fluides et du mucus causant la toux caractéristique de la co</w:t>
      </w:r>
      <w:r w:rsidR="007C1C8A" w:rsidRPr="007C1C8A">
        <w:rPr>
          <w:rFonts w:asciiTheme="majorBidi" w:hAnsiTheme="majorBidi" w:cstheme="majorBidi"/>
          <w:sz w:val="24"/>
          <w:szCs w:val="24"/>
        </w:rPr>
        <w:t>queluche.</w:t>
      </w:r>
    </w:p>
    <w:p w:rsidR="007C1C8A" w:rsidRDefault="007C1C8A" w:rsidP="00C35288">
      <w:pPr>
        <w:pStyle w:val="Paragraphedeliste"/>
        <w:autoSpaceDE w:val="0"/>
        <w:autoSpaceDN w:val="0"/>
        <w:adjustRightInd w:val="0"/>
        <w:spacing w:before="100" w:beforeAutospacing="1" w:after="100" w:afterAutospacing="1" w:line="360" w:lineRule="auto"/>
        <w:ind w:left="0"/>
        <w:jc w:val="center"/>
        <w:rPr>
          <w:rFonts w:asciiTheme="majorBidi" w:hAnsiTheme="majorBidi" w:cstheme="majorBidi"/>
          <w:b/>
          <w:bCs/>
          <w:sz w:val="24"/>
          <w:szCs w:val="24"/>
        </w:rPr>
      </w:pPr>
      <w:r w:rsidRPr="007C1C8A">
        <w:rPr>
          <w:noProof/>
          <w:lang w:eastAsia="fr-FR"/>
        </w:rPr>
        <w:drawing>
          <wp:inline distT="0" distB="0" distL="0" distR="0">
            <wp:extent cx="5754370" cy="4775835"/>
            <wp:effectExtent l="19050" t="19050" r="0" b="5715"/>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54370" cy="4775835"/>
                    </a:xfrm>
                    <a:prstGeom prst="rect">
                      <a:avLst/>
                    </a:prstGeom>
                    <a:noFill/>
                    <a:ln w="9525">
                      <a:solidFill>
                        <a:schemeClr val="tx1"/>
                      </a:solidFill>
                      <a:miter lim="800000"/>
                      <a:headEnd/>
                      <a:tailEnd/>
                    </a:ln>
                  </pic:spPr>
                </pic:pic>
              </a:graphicData>
            </a:graphic>
          </wp:inline>
        </w:drawing>
      </w:r>
    </w:p>
    <w:p w:rsidR="001909F2" w:rsidRPr="007C1C8A" w:rsidRDefault="00C37007" w:rsidP="007C1C8A">
      <w:pPr>
        <w:pStyle w:val="Paragraphedeliste"/>
        <w:autoSpaceDE w:val="0"/>
        <w:autoSpaceDN w:val="0"/>
        <w:adjustRightInd w:val="0"/>
        <w:spacing w:before="100" w:beforeAutospacing="1" w:after="100" w:afterAutospacing="1" w:line="360" w:lineRule="auto"/>
        <w:jc w:val="center"/>
        <w:rPr>
          <w:rFonts w:asciiTheme="majorBidi" w:hAnsiTheme="majorBidi" w:cstheme="majorBidi"/>
          <w:sz w:val="24"/>
          <w:szCs w:val="24"/>
        </w:rPr>
      </w:pPr>
      <w:r w:rsidRPr="00A913DC">
        <w:rPr>
          <w:rFonts w:asciiTheme="majorBidi" w:hAnsiTheme="majorBidi" w:cstheme="majorBidi"/>
          <w:b/>
          <w:bCs/>
          <w:sz w:val="24"/>
          <w:szCs w:val="24"/>
        </w:rPr>
        <w:lastRenderedPageBreak/>
        <w:t>Figure</w:t>
      </w:r>
      <w:r w:rsidR="0079412D" w:rsidRPr="00A913DC">
        <w:rPr>
          <w:rFonts w:asciiTheme="majorBidi" w:hAnsiTheme="majorBidi" w:cstheme="majorBidi"/>
          <w:b/>
          <w:bCs/>
          <w:sz w:val="24"/>
          <w:szCs w:val="24"/>
        </w:rPr>
        <w:t xml:space="preserve"> 18 : </w:t>
      </w:r>
      <w:r w:rsidR="0061315A">
        <w:rPr>
          <w:rFonts w:asciiTheme="majorBidi" w:hAnsiTheme="majorBidi" w:cstheme="majorBidi"/>
          <w:sz w:val="24"/>
          <w:szCs w:val="24"/>
        </w:rPr>
        <w:t xml:space="preserve">La cascade des amplifications déclenchées par l’activation de l’adényl cyclase et la production d’AMP cyclique </w:t>
      </w:r>
      <w:r w:rsidR="0061315A" w:rsidRPr="0061315A">
        <w:rPr>
          <w:rFonts w:asciiTheme="majorBidi" w:hAnsiTheme="majorBidi" w:cstheme="majorBidi"/>
          <w:b/>
          <w:bCs/>
          <w:sz w:val="24"/>
          <w:szCs w:val="24"/>
        </w:rPr>
        <w:t>(Cau et Se</w:t>
      </w:r>
      <w:r w:rsidR="0061315A">
        <w:rPr>
          <w:rFonts w:asciiTheme="majorBidi" w:hAnsiTheme="majorBidi" w:cstheme="majorBidi"/>
          <w:b/>
          <w:bCs/>
          <w:sz w:val="24"/>
          <w:szCs w:val="24"/>
        </w:rPr>
        <w:t>ï</w:t>
      </w:r>
      <w:r w:rsidR="0061315A" w:rsidRPr="0061315A">
        <w:rPr>
          <w:rFonts w:asciiTheme="majorBidi" w:hAnsiTheme="majorBidi" w:cstheme="majorBidi"/>
          <w:b/>
          <w:bCs/>
          <w:sz w:val="24"/>
          <w:szCs w:val="24"/>
        </w:rPr>
        <w:t>te, 2007)</w:t>
      </w:r>
    </w:p>
    <w:p w:rsidR="001909F2" w:rsidRPr="00A913DC" w:rsidRDefault="005110D2" w:rsidP="0059019D">
      <w:pPr>
        <w:autoSpaceDE w:val="0"/>
        <w:autoSpaceDN w:val="0"/>
        <w:adjustRightInd w:val="0"/>
        <w:spacing w:before="100" w:beforeAutospacing="1" w:after="100" w:afterAutospacing="1" w:line="360" w:lineRule="auto"/>
        <w:rPr>
          <w:rFonts w:ascii="Cambria" w:hAnsi="Cambria" w:cs="Cambria"/>
          <w:b/>
          <w:bCs/>
          <w:sz w:val="24"/>
          <w:szCs w:val="24"/>
        </w:rPr>
      </w:pPr>
      <w:r w:rsidRPr="00A913DC">
        <w:rPr>
          <w:rFonts w:ascii="Cambria" w:hAnsi="Cambria" w:cs="Cambria"/>
          <w:b/>
          <w:bCs/>
          <w:sz w:val="24"/>
          <w:szCs w:val="24"/>
        </w:rPr>
        <w:t>III.2.</w:t>
      </w:r>
      <w:r w:rsidR="001909F2" w:rsidRPr="00A913DC">
        <w:rPr>
          <w:rFonts w:ascii="Cambria" w:hAnsi="Cambria" w:cs="Cambria"/>
          <w:b/>
          <w:bCs/>
          <w:sz w:val="24"/>
          <w:szCs w:val="24"/>
        </w:rPr>
        <w:t xml:space="preserve"> Voie de la phospholipase C</w:t>
      </w:r>
      <w:r w:rsidR="00B066AE" w:rsidRPr="00A913DC">
        <w:rPr>
          <w:rFonts w:ascii="Cambria" w:hAnsi="Cambria" w:cs="Cambria"/>
          <w:b/>
          <w:bCs/>
          <w:sz w:val="24"/>
          <w:szCs w:val="24"/>
        </w:rPr>
        <w:t xml:space="preserve"> –Ca</w:t>
      </w:r>
      <w:r w:rsidR="00B066AE" w:rsidRPr="00A913DC">
        <w:rPr>
          <w:rFonts w:ascii="Cambria" w:hAnsi="Cambria" w:cs="Cambria"/>
          <w:b/>
          <w:bCs/>
          <w:sz w:val="24"/>
          <w:szCs w:val="24"/>
          <w:vertAlign w:val="superscript"/>
        </w:rPr>
        <w:t>++</w:t>
      </w:r>
    </w:p>
    <w:p w:rsidR="001909F2" w:rsidRPr="00A913DC" w:rsidRDefault="001909F2" w:rsidP="007F2C1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Plusieurs RCPG exercent leur effet à travers des protéines G (de la famille Gq) qui activent la phospholipase C (PLC-β) de manière semblable que Gs active l'adénylyl cyclase.</w:t>
      </w:r>
    </w:p>
    <w:p w:rsidR="001909F2" w:rsidRPr="00A913DC" w:rsidRDefault="001909F2" w:rsidP="007F2C1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Les phospholipases sont des enzymes qui hydrolysent les liaisons esters des phospholipides. La phospholipase C</w:t>
      </w:r>
      <w:r w:rsidR="00B066AE" w:rsidRPr="00A913DC">
        <w:rPr>
          <w:rFonts w:asciiTheme="majorBidi" w:hAnsiTheme="majorBidi" w:cstheme="majorBidi"/>
          <w:sz w:val="24"/>
          <w:szCs w:val="24"/>
        </w:rPr>
        <w:t xml:space="preserve"> (PLC)</w:t>
      </w:r>
      <w:r w:rsidRPr="00A913DC">
        <w:rPr>
          <w:rFonts w:asciiTheme="majorBidi" w:hAnsiTheme="majorBidi" w:cstheme="majorBidi"/>
          <w:sz w:val="24"/>
          <w:szCs w:val="24"/>
        </w:rPr>
        <w:t>, activée par la sous-unité Gαq, catalyse la réaction d'hydrolyse du PIP</w:t>
      </w:r>
      <w:r w:rsidRPr="00A913DC">
        <w:rPr>
          <w:rFonts w:asciiTheme="majorBidi" w:hAnsiTheme="majorBidi" w:cstheme="majorBidi"/>
          <w:sz w:val="24"/>
          <w:szCs w:val="24"/>
          <w:vertAlign w:val="subscript"/>
        </w:rPr>
        <w:t>2</w:t>
      </w:r>
      <w:r w:rsidRPr="00A913DC">
        <w:rPr>
          <w:rFonts w:asciiTheme="majorBidi" w:hAnsiTheme="majorBidi" w:cstheme="majorBidi"/>
          <w:sz w:val="24"/>
          <w:szCs w:val="24"/>
        </w:rPr>
        <w:t>(phosphatidyl inositol biphosphate)</w:t>
      </w:r>
      <w:r w:rsidR="00B066AE" w:rsidRPr="00A913DC">
        <w:rPr>
          <w:rFonts w:asciiTheme="majorBidi" w:hAnsiTheme="majorBidi" w:cstheme="majorBidi"/>
          <w:sz w:val="24"/>
          <w:szCs w:val="24"/>
        </w:rPr>
        <w:t xml:space="preserve"> présent dans  le feuillet interne de la membrane plasmique</w:t>
      </w:r>
      <w:r w:rsidRPr="00A913DC">
        <w:rPr>
          <w:rFonts w:asciiTheme="majorBidi" w:hAnsiTheme="majorBidi" w:cstheme="majorBidi"/>
          <w:sz w:val="24"/>
          <w:szCs w:val="24"/>
        </w:rPr>
        <w:t xml:space="preserve"> en</w:t>
      </w:r>
      <w:r w:rsidR="00B066AE" w:rsidRPr="00A913DC">
        <w:rPr>
          <w:rFonts w:asciiTheme="majorBidi" w:hAnsiTheme="majorBidi" w:cstheme="majorBidi"/>
          <w:sz w:val="24"/>
          <w:szCs w:val="24"/>
        </w:rPr>
        <w:t xml:space="preserve"> deux second messager :L’</w:t>
      </w:r>
      <w:r w:rsidRPr="00A913DC">
        <w:rPr>
          <w:rFonts w:asciiTheme="majorBidi" w:hAnsiTheme="majorBidi" w:cstheme="majorBidi"/>
          <w:sz w:val="24"/>
          <w:szCs w:val="24"/>
        </w:rPr>
        <w:t>IP</w:t>
      </w:r>
      <w:r w:rsidRPr="00A913DC">
        <w:rPr>
          <w:rFonts w:asciiTheme="majorBidi" w:hAnsiTheme="majorBidi" w:cstheme="majorBidi"/>
          <w:sz w:val="24"/>
          <w:szCs w:val="24"/>
          <w:vertAlign w:val="subscript"/>
        </w:rPr>
        <w:t>3</w:t>
      </w:r>
      <w:r w:rsidRPr="00A913DC">
        <w:rPr>
          <w:rFonts w:asciiTheme="majorBidi" w:hAnsiTheme="majorBidi" w:cstheme="majorBidi"/>
          <w:sz w:val="24"/>
          <w:szCs w:val="24"/>
        </w:rPr>
        <w:t xml:space="preserve"> (inositol</w:t>
      </w:r>
      <w:r w:rsidR="00B066AE" w:rsidRPr="00A913DC">
        <w:rPr>
          <w:rFonts w:asciiTheme="majorBidi" w:hAnsiTheme="majorBidi" w:cstheme="majorBidi"/>
          <w:sz w:val="24"/>
          <w:szCs w:val="24"/>
        </w:rPr>
        <w:t xml:space="preserve"> 1,4,5-tri</w:t>
      </w:r>
      <w:r w:rsidRPr="00A913DC">
        <w:rPr>
          <w:rFonts w:asciiTheme="majorBidi" w:hAnsiTheme="majorBidi" w:cstheme="majorBidi"/>
          <w:sz w:val="24"/>
          <w:szCs w:val="24"/>
        </w:rPr>
        <w:t>-phosphate) et</w:t>
      </w:r>
      <w:r w:rsidR="00B066AE" w:rsidRPr="00A913DC">
        <w:rPr>
          <w:rFonts w:asciiTheme="majorBidi" w:hAnsiTheme="majorBidi" w:cstheme="majorBidi"/>
          <w:sz w:val="24"/>
          <w:szCs w:val="24"/>
        </w:rPr>
        <w:t xml:space="preserve"> le</w:t>
      </w:r>
      <w:r w:rsidRPr="00A913DC">
        <w:rPr>
          <w:rFonts w:asciiTheme="majorBidi" w:hAnsiTheme="majorBidi" w:cstheme="majorBidi"/>
          <w:sz w:val="24"/>
          <w:szCs w:val="24"/>
        </w:rPr>
        <w:t xml:space="preserve"> DAG (diacylglycérol)</w:t>
      </w:r>
    </w:p>
    <w:p w:rsidR="00B066AE" w:rsidRPr="00A913DC" w:rsidRDefault="00B066AE" w:rsidP="007F2C1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Ces deux messager stimulent en aval deux voie de signalisation en cascade</w:t>
      </w:r>
      <w:r w:rsidR="0073490F" w:rsidRPr="00A913DC">
        <w:rPr>
          <w:rFonts w:asciiTheme="majorBidi" w:hAnsiTheme="majorBidi" w:cstheme="majorBidi"/>
          <w:sz w:val="24"/>
          <w:szCs w:val="24"/>
        </w:rPr>
        <w:t> : celle de la protéine-kinase C et celle de la mobilisation du Ca</w:t>
      </w:r>
      <w:r w:rsidR="0073490F" w:rsidRPr="00A913DC">
        <w:rPr>
          <w:rFonts w:asciiTheme="majorBidi" w:hAnsiTheme="majorBidi" w:cstheme="majorBidi"/>
          <w:sz w:val="24"/>
          <w:szCs w:val="24"/>
          <w:vertAlign w:val="superscript"/>
        </w:rPr>
        <w:t>++</w:t>
      </w:r>
      <w:r w:rsidR="0073490F" w:rsidRPr="00A913DC">
        <w:rPr>
          <w:rFonts w:asciiTheme="majorBidi" w:hAnsiTheme="majorBidi" w:cstheme="majorBidi"/>
          <w:sz w:val="24"/>
          <w:szCs w:val="24"/>
        </w:rPr>
        <w:t>.</w:t>
      </w:r>
    </w:p>
    <w:p w:rsidR="00B066AE" w:rsidRPr="00A913DC" w:rsidRDefault="0073490F" w:rsidP="007F2C1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 xml:space="preserve">         Ils existe deux forme de PLC : la PLC-β et la PLCγ . La PLC-β est activée par une protéine G. La PLC γ contient des domaines SH2 lui permettant de s’associer à un récepteur de type tyrosine kinase.</w:t>
      </w:r>
      <w:r w:rsidR="002D74E1" w:rsidRPr="00A913DC">
        <w:rPr>
          <w:rFonts w:asciiTheme="majorBidi" w:hAnsiTheme="majorBidi" w:cstheme="majorBidi"/>
          <w:sz w:val="24"/>
          <w:szCs w:val="24"/>
        </w:rPr>
        <w:t xml:space="preserve"> La phosphorylation de la tyrosine augmente l’activité  de la PLC-γ qui à son tour stimule la dégradation du PIP </w:t>
      </w:r>
      <w:r w:rsidR="002D74E1" w:rsidRPr="00A913DC">
        <w:rPr>
          <w:rFonts w:asciiTheme="majorBidi" w:hAnsiTheme="majorBidi" w:cstheme="majorBidi"/>
          <w:sz w:val="24"/>
          <w:szCs w:val="24"/>
          <w:vertAlign w:val="subscript"/>
        </w:rPr>
        <w:t>2</w:t>
      </w:r>
      <w:r w:rsidR="002D74E1" w:rsidRPr="00A913DC">
        <w:rPr>
          <w:rFonts w:asciiTheme="majorBidi" w:hAnsiTheme="majorBidi" w:cstheme="majorBidi"/>
          <w:sz w:val="24"/>
          <w:szCs w:val="24"/>
        </w:rPr>
        <w:t>.</w:t>
      </w:r>
    </w:p>
    <w:p w:rsidR="001909F2" w:rsidRPr="00A913DC" w:rsidRDefault="001909F2" w:rsidP="007F2C15">
      <w:pPr>
        <w:pStyle w:val="Paragraphedeliste"/>
        <w:numPr>
          <w:ilvl w:val="0"/>
          <w:numId w:val="1"/>
        </w:num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Le DAG, qui reste enchâssé dans la membrane, va acti</w:t>
      </w:r>
      <w:r w:rsidR="002D74E1" w:rsidRPr="00A913DC">
        <w:rPr>
          <w:rFonts w:asciiTheme="majorBidi" w:hAnsiTheme="majorBidi" w:cstheme="majorBidi"/>
          <w:sz w:val="24"/>
          <w:szCs w:val="24"/>
        </w:rPr>
        <w:t>ver la protéine kinase C (PKC) une sérine thréonine kinase qui active d’autres cibles intracellulaire.</w:t>
      </w:r>
    </w:p>
    <w:p w:rsidR="001909F2" w:rsidRDefault="001909F2" w:rsidP="007F2C15">
      <w:pPr>
        <w:pStyle w:val="Paragraphedeliste"/>
        <w:numPr>
          <w:ilvl w:val="0"/>
          <w:numId w:val="1"/>
        </w:numPr>
        <w:autoSpaceDE w:val="0"/>
        <w:autoSpaceDN w:val="0"/>
        <w:adjustRightInd w:val="0"/>
        <w:spacing w:before="100" w:beforeAutospacing="1" w:after="100" w:afterAutospacing="1" w:line="360" w:lineRule="auto"/>
        <w:jc w:val="both"/>
        <w:rPr>
          <w:rFonts w:ascii="Calibri" w:hAnsi="Calibri" w:cs="Calibri"/>
          <w:sz w:val="24"/>
          <w:szCs w:val="24"/>
        </w:rPr>
      </w:pPr>
      <w:r w:rsidRPr="00A913DC">
        <w:rPr>
          <w:rFonts w:asciiTheme="majorBidi" w:hAnsiTheme="majorBidi" w:cstheme="majorBidi"/>
          <w:sz w:val="24"/>
          <w:szCs w:val="24"/>
        </w:rPr>
        <w:t>L'IP</w:t>
      </w:r>
      <w:r w:rsidRPr="00A913DC">
        <w:rPr>
          <w:rFonts w:asciiTheme="majorBidi" w:hAnsiTheme="majorBidi" w:cstheme="majorBidi"/>
          <w:sz w:val="24"/>
          <w:szCs w:val="24"/>
          <w:vertAlign w:val="subscript"/>
        </w:rPr>
        <w:t>3</w:t>
      </w:r>
      <w:r w:rsidRPr="00A913DC">
        <w:rPr>
          <w:rFonts w:asciiTheme="majorBidi" w:hAnsiTheme="majorBidi" w:cstheme="majorBidi"/>
          <w:sz w:val="24"/>
          <w:szCs w:val="24"/>
        </w:rPr>
        <w:t>, molécule soluble dans l'eau, va diffuser à travers le cytoplasme pour agir au niveau de récepteurs qui lui sont spécifiques, situés dans la membrane du réticulum endoplasmique. Il active ainsi l'ouverture de canaux à Ca2+ au niveau de cette structure, favorisant la libération de Ca2+ et son accumulation dans le cytoplasme. Les ions calcium libérés, dans le cas de la PKC, jouent un rôle dans le déplacement de cette enzyme du cytosol vers la membrane plasmique où elle est activée par le DAG</w:t>
      </w:r>
      <w:r w:rsidRPr="00A913DC">
        <w:rPr>
          <w:rFonts w:ascii="Calibri" w:hAnsi="Calibri" w:cs="Calibri"/>
          <w:sz w:val="24"/>
          <w:szCs w:val="24"/>
        </w:rPr>
        <w:t>.</w:t>
      </w:r>
    </w:p>
    <w:p w:rsidR="004E65DA" w:rsidRDefault="004E65DA" w:rsidP="007F2C15">
      <w:pPr>
        <w:autoSpaceDE w:val="0"/>
        <w:autoSpaceDN w:val="0"/>
        <w:adjustRightInd w:val="0"/>
        <w:spacing w:before="100" w:beforeAutospacing="1" w:after="100" w:afterAutospacing="1" w:line="360" w:lineRule="auto"/>
        <w:jc w:val="both"/>
        <w:rPr>
          <w:rFonts w:ascii="Calibri" w:hAnsi="Calibri" w:cs="Calibri"/>
          <w:sz w:val="24"/>
          <w:szCs w:val="24"/>
        </w:rPr>
      </w:pPr>
    </w:p>
    <w:p w:rsidR="004E65DA" w:rsidRDefault="004E65DA" w:rsidP="007F2C15">
      <w:pPr>
        <w:autoSpaceDE w:val="0"/>
        <w:autoSpaceDN w:val="0"/>
        <w:adjustRightInd w:val="0"/>
        <w:spacing w:before="100" w:beforeAutospacing="1" w:after="100" w:afterAutospacing="1" w:line="360" w:lineRule="auto"/>
        <w:jc w:val="both"/>
        <w:rPr>
          <w:rFonts w:ascii="Calibri" w:hAnsi="Calibri" w:cs="Calibri"/>
          <w:sz w:val="24"/>
          <w:szCs w:val="24"/>
        </w:rPr>
      </w:pPr>
    </w:p>
    <w:p w:rsidR="004E65DA" w:rsidRDefault="004E65DA" w:rsidP="007F2C15">
      <w:pPr>
        <w:autoSpaceDE w:val="0"/>
        <w:autoSpaceDN w:val="0"/>
        <w:adjustRightInd w:val="0"/>
        <w:spacing w:before="100" w:beforeAutospacing="1" w:after="100" w:afterAutospacing="1" w:line="360" w:lineRule="auto"/>
        <w:jc w:val="both"/>
        <w:rPr>
          <w:rFonts w:ascii="Calibri" w:hAnsi="Calibri" w:cs="Calibri"/>
          <w:sz w:val="24"/>
          <w:szCs w:val="24"/>
        </w:rPr>
      </w:pPr>
      <w:r w:rsidRPr="004E65DA">
        <w:rPr>
          <w:rFonts w:ascii="Calibri" w:hAnsi="Calibri" w:cs="Calibri"/>
          <w:noProof/>
          <w:sz w:val="24"/>
          <w:szCs w:val="24"/>
          <w:lang w:eastAsia="fr-FR"/>
        </w:rPr>
        <w:lastRenderedPageBreak/>
        <w:drawing>
          <wp:inline distT="0" distB="0" distL="0" distR="0">
            <wp:extent cx="5760085" cy="4659630"/>
            <wp:effectExtent l="19050" t="19050" r="0" b="762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760085" cy="4659630"/>
                    </a:xfrm>
                    <a:prstGeom prst="rect">
                      <a:avLst/>
                    </a:prstGeom>
                    <a:noFill/>
                    <a:ln w="9525">
                      <a:solidFill>
                        <a:schemeClr val="tx1"/>
                      </a:solidFill>
                      <a:miter lim="800000"/>
                      <a:headEnd/>
                      <a:tailEnd/>
                    </a:ln>
                  </pic:spPr>
                </pic:pic>
              </a:graphicData>
            </a:graphic>
          </wp:inline>
        </w:drawing>
      </w:r>
    </w:p>
    <w:p w:rsidR="00064E1C" w:rsidRPr="0059019D" w:rsidRDefault="004E65DA" w:rsidP="0059019D">
      <w:pPr>
        <w:autoSpaceDE w:val="0"/>
        <w:autoSpaceDN w:val="0"/>
        <w:adjustRightInd w:val="0"/>
        <w:spacing w:before="100" w:beforeAutospacing="1" w:after="100" w:afterAutospacing="1" w:line="360" w:lineRule="auto"/>
        <w:jc w:val="center"/>
        <w:rPr>
          <w:rFonts w:asciiTheme="majorBidi" w:hAnsiTheme="majorBidi" w:cstheme="majorBidi"/>
          <w:sz w:val="24"/>
          <w:szCs w:val="24"/>
        </w:rPr>
      </w:pPr>
      <w:r w:rsidRPr="00A913DC">
        <w:rPr>
          <w:rFonts w:asciiTheme="majorBidi" w:hAnsiTheme="majorBidi" w:cstheme="majorBidi"/>
          <w:b/>
          <w:bCs/>
          <w:sz w:val="24"/>
          <w:szCs w:val="24"/>
        </w:rPr>
        <w:t xml:space="preserve">Figure </w:t>
      </w:r>
      <w:r>
        <w:rPr>
          <w:rFonts w:asciiTheme="majorBidi" w:hAnsiTheme="majorBidi" w:cstheme="majorBidi"/>
          <w:b/>
          <w:bCs/>
          <w:sz w:val="24"/>
          <w:szCs w:val="24"/>
        </w:rPr>
        <w:t xml:space="preserve"> 19</w:t>
      </w:r>
      <w:r w:rsidRPr="00A913DC">
        <w:rPr>
          <w:rFonts w:asciiTheme="majorBidi" w:hAnsiTheme="majorBidi" w:cstheme="majorBidi"/>
          <w:b/>
          <w:bCs/>
          <w:sz w:val="24"/>
          <w:szCs w:val="24"/>
        </w:rPr>
        <w:t xml:space="preserve"> :</w:t>
      </w:r>
      <w:r>
        <w:rPr>
          <w:rFonts w:asciiTheme="majorBidi" w:hAnsiTheme="majorBidi" w:cstheme="majorBidi"/>
          <w:sz w:val="24"/>
          <w:szCs w:val="24"/>
        </w:rPr>
        <w:t xml:space="preserve">La voie d’activation protéine G, phospholipase  C, phosphoinositide </w:t>
      </w:r>
      <w:r w:rsidRPr="0061315A">
        <w:rPr>
          <w:rFonts w:asciiTheme="majorBidi" w:hAnsiTheme="majorBidi" w:cstheme="majorBidi"/>
          <w:b/>
          <w:bCs/>
          <w:sz w:val="24"/>
          <w:szCs w:val="24"/>
        </w:rPr>
        <w:t>(Cau et Se</w:t>
      </w:r>
      <w:r>
        <w:rPr>
          <w:rFonts w:asciiTheme="majorBidi" w:hAnsiTheme="majorBidi" w:cstheme="majorBidi"/>
          <w:b/>
          <w:bCs/>
          <w:sz w:val="24"/>
          <w:szCs w:val="24"/>
        </w:rPr>
        <w:t>ï</w:t>
      </w:r>
      <w:r w:rsidRPr="0061315A">
        <w:rPr>
          <w:rFonts w:asciiTheme="majorBidi" w:hAnsiTheme="majorBidi" w:cstheme="majorBidi"/>
          <w:b/>
          <w:bCs/>
          <w:sz w:val="24"/>
          <w:szCs w:val="24"/>
        </w:rPr>
        <w:t>te, 2007)</w:t>
      </w:r>
    </w:p>
    <w:p w:rsidR="00064E1C" w:rsidRPr="00A913DC" w:rsidRDefault="005110D2" w:rsidP="007F2C15">
      <w:pPr>
        <w:autoSpaceDE w:val="0"/>
        <w:autoSpaceDN w:val="0"/>
        <w:adjustRightInd w:val="0"/>
        <w:spacing w:before="100" w:beforeAutospacing="1" w:after="100" w:afterAutospacing="1" w:line="360" w:lineRule="auto"/>
        <w:rPr>
          <w:rFonts w:asciiTheme="majorBidi" w:hAnsiTheme="majorBidi" w:cstheme="majorBidi"/>
          <w:b/>
          <w:bCs/>
          <w:sz w:val="24"/>
          <w:szCs w:val="24"/>
        </w:rPr>
      </w:pPr>
      <w:r w:rsidRPr="00A913DC">
        <w:rPr>
          <w:rFonts w:asciiTheme="majorBidi" w:hAnsiTheme="majorBidi" w:cstheme="majorBidi"/>
          <w:b/>
          <w:bCs/>
          <w:sz w:val="24"/>
          <w:szCs w:val="24"/>
        </w:rPr>
        <w:t>III.3. La voie du GMP</w:t>
      </w:r>
      <w:r w:rsidRPr="00A913DC">
        <w:rPr>
          <w:rFonts w:asciiTheme="majorBidi" w:hAnsiTheme="majorBidi" w:cstheme="majorBidi"/>
          <w:b/>
          <w:bCs/>
          <w:sz w:val="24"/>
          <w:szCs w:val="24"/>
          <w:vertAlign w:val="subscript"/>
        </w:rPr>
        <w:t>C </w:t>
      </w:r>
      <w:r w:rsidRPr="00A913DC">
        <w:rPr>
          <w:rFonts w:asciiTheme="majorBidi" w:hAnsiTheme="majorBidi" w:cstheme="majorBidi"/>
          <w:b/>
          <w:bCs/>
          <w:sz w:val="24"/>
          <w:szCs w:val="24"/>
        </w:rPr>
        <w:t>:</w:t>
      </w:r>
    </w:p>
    <w:p w:rsidR="005110D2" w:rsidRDefault="009158EC" w:rsidP="004349C9">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9158EC">
        <w:rPr>
          <w:rFonts w:asciiTheme="majorBidi" w:hAnsiTheme="majorBidi" w:cstheme="majorBidi"/>
          <w:sz w:val="24"/>
          <w:szCs w:val="24"/>
        </w:rPr>
        <w:t>Dans la transmission  des signaux visuels chez les vertébrés</w:t>
      </w:r>
      <w:r>
        <w:rPr>
          <w:rFonts w:asciiTheme="majorBidi" w:hAnsiTheme="majorBidi" w:cstheme="majorBidi"/>
          <w:sz w:val="24"/>
          <w:szCs w:val="24"/>
        </w:rPr>
        <w:t>, le fonctionnement</w:t>
      </w:r>
      <w:r w:rsidR="005F4822">
        <w:rPr>
          <w:rFonts w:asciiTheme="majorBidi" w:hAnsiTheme="majorBidi" w:cstheme="majorBidi"/>
          <w:sz w:val="24"/>
          <w:szCs w:val="24"/>
        </w:rPr>
        <w:t xml:space="preserve"> de canaux cationiques (Na</w:t>
      </w:r>
      <w:r w:rsidR="005F4822">
        <w:rPr>
          <w:rFonts w:asciiTheme="majorBidi" w:hAnsiTheme="majorBidi" w:cstheme="majorBidi"/>
          <w:sz w:val="24"/>
          <w:szCs w:val="24"/>
          <w:vertAlign w:val="superscript"/>
        </w:rPr>
        <w:t>+</w:t>
      </w:r>
      <w:r w:rsidR="005F4822">
        <w:rPr>
          <w:rFonts w:asciiTheme="majorBidi" w:hAnsiTheme="majorBidi" w:cstheme="majorBidi"/>
          <w:sz w:val="24"/>
          <w:szCs w:val="24"/>
        </w:rPr>
        <w:t>, Ca</w:t>
      </w:r>
      <w:r w:rsidR="005F4822">
        <w:rPr>
          <w:rFonts w:asciiTheme="majorBidi" w:hAnsiTheme="majorBidi" w:cstheme="majorBidi"/>
          <w:sz w:val="24"/>
          <w:szCs w:val="24"/>
          <w:vertAlign w:val="superscript"/>
        </w:rPr>
        <w:t>++</w:t>
      </w:r>
      <w:r w:rsidR="005F4822">
        <w:rPr>
          <w:rFonts w:asciiTheme="majorBidi" w:hAnsiTheme="majorBidi" w:cstheme="majorBidi"/>
          <w:sz w:val="24"/>
          <w:szCs w:val="24"/>
        </w:rPr>
        <w:t>), responsables de la génération et de la propagation du potentiel d’action dans ces cellules, est sous le contrôle du GMPcyclique : ces canaux sont dits cationiques GMP</w:t>
      </w:r>
      <w:r w:rsidR="005F4822">
        <w:rPr>
          <w:rFonts w:asciiTheme="majorBidi" w:hAnsiTheme="majorBidi" w:cstheme="majorBidi"/>
          <w:sz w:val="24"/>
          <w:szCs w:val="24"/>
          <w:vertAlign w:val="subscript"/>
        </w:rPr>
        <w:t xml:space="preserve">C </w:t>
      </w:r>
      <w:r w:rsidR="005F4822">
        <w:rPr>
          <w:rFonts w:asciiTheme="majorBidi" w:hAnsiTheme="majorBidi" w:cstheme="majorBidi"/>
          <w:sz w:val="24"/>
          <w:szCs w:val="24"/>
        </w:rPr>
        <w:t>dépendants.</w:t>
      </w:r>
    </w:p>
    <w:p w:rsidR="005F4822" w:rsidRDefault="005F4822" w:rsidP="004349C9">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 xml:space="preserve">       La concentration de ce  nucléotide dépend de sa synthèse rapide (par une guanylate cyclase</w:t>
      </w:r>
      <w:r w:rsidR="004349C9">
        <w:rPr>
          <w:rFonts w:asciiTheme="majorBidi" w:hAnsiTheme="majorBidi" w:cstheme="majorBidi"/>
          <w:sz w:val="24"/>
          <w:szCs w:val="24"/>
        </w:rPr>
        <w:t>) et de sa dégradation rapide (</w:t>
      </w:r>
      <w:r>
        <w:rPr>
          <w:rFonts w:asciiTheme="majorBidi" w:hAnsiTheme="majorBidi" w:cstheme="majorBidi"/>
          <w:sz w:val="24"/>
          <w:szCs w:val="24"/>
        </w:rPr>
        <w:t>par une phosphodiestérase).</w:t>
      </w:r>
    </w:p>
    <w:p w:rsidR="00557075" w:rsidRDefault="00136E4C" w:rsidP="004349C9">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4349C9">
        <w:rPr>
          <w:rFonts w:asciiTheme="majorBidi" w:hAnsiTheme="majorBidi" w:cstheme="majorBidi"/>
          <w:b/>
          <w:bCs/>
          <w:sz w:val="24"/>
          <w:szCs w:val="24"/>
        </w:rPr>
        <w:t>a)</w:t>
      </w:r>
      <w:r w:rsidR="006F6C8C">
        <w:rPr>
          <w:rFonts w:asciiTheme="majorBidi" w:hAnsiTheme="majorBidi" w:cstheme="majorBidi"/>
          <w:sz w:val="24"/>
          <w:szCs w:val="24"/>
        </w:rPr>
        <w:t xml:space="preserve">Cette voie a été particulièrement étudiée dans le cas de la cellule photoréceptrice  de la rétine, de type bâtonnet. Cette cellule est responsable de la vision monochromatique en </w:t>
      </w:r>
      <w:r w:rsidR="006F6C8C">
        <w:rPr>
          <w:rFonts w:asciiTheme="majorBidi" w:hAnsiTheme="majorBidi" w:cstheme="majorBidi"/>
          <w:sz w:val="24"/>
          <w:szCs w:val="24"/>
        </w:rPr>
        <w:lastRenderedPageBreak/>
        <w:t xml:space="preserve">luminosité faible, alors que le deuxième </w:t>
      </w:r>
      <w:r w:rsidR="00557075">
        <w:rPr>
          <w:rFonts w:asciiTheme="majorBidi" w:hAnsiTheme="majorBidi" w:cstheme="majorBidi"/>
          <w:sz w:val="24"/>
          <w:szCs w:val="24"/>
        </w:rPr>
        <w:t>type de cellule photoréceptrice, le cône, participe à la vision des couleurs en lumière forte :</w:t>
      </w:r>
    </w:p>
    <w:p w:rsidR="00557075" w:rsidRDefault="00557075" w:rsidP="004349C9">
      <w:pPr>
        <w:pStyle w:val="Paragraphedeliste"/>
        <w:numPr>
          <w:ilvl w:val="0"/>
          <w:numId w:val="8"/>
        </w:num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Le s</w:t>
      </w:r>
      <w:r w:rsidR="0095387A">
        <w:rPr>
          <w:rFonts w:asciiTheme="majorBidi" w:hAnsiTheme="majorBidi" w:cstheme="majorBidi"/>
          <w:sz w:val="24"/>
          <w:szCs w:val="24"/>
        </w:rPr>
        <w:t>e</w:t>
      </w:r>
      <w:r>
        <w:rPr>
          <w:rFonts w:asciiTheme="majorBidi" w:hAnsiTheme="majorBidi" w:cstheme="majorBidi"/>
          <w:sz w:val="24"/>
          <w:szCs w:val="24"/>
        </w:rPr>
        <w:t xml:space="preserve">gment </w:t>
      </w:r>
      <w:r w:rsidR="0095387A">
        <w:rPr>
          <w:rFonts w:asciiTheme="majorBidi" w:hAnsiTheme="majorBidi" w:cstheme="majorBidi"/>
          <w:sz w:val="24"/>
          <w:szCs w:val="24"/>
        </w:rPr>
        <w:t xml:space="preserve">externe </w:t>
      </w:r>
      <w:r w:rsidR="004349C9">
        <w:rPr>
          <w:rFonts w:asciiTheme="majorBidi" w:hAnsiTheme="majorBidi" w:cstheme="majorBidi"/>
          <w:sz w:val="24"/>
          <w:szCs w:val="24"/>
        </w:rPr>
        <w:t>des bâtonnets est formé de disques empilés (1 000 par cellules environ</w:t>
      </w:r>
      <w:r w:rsidR="0095387A">
        <w:rPr>
          <w:rFonts w:asciiTheme="majorBidi" w:hAnsiTheme="majorBidi" w:cstheme="majorBidi"/>
          <w:sz w:val="24"/>
          <w:szCs w:val="24"/>
        </w:rPr>
        <w:t>) qui contiennent une molécule photosensible, la rhodopsine.</w:t>
      </w:r>
    </w:p>
    <w:p w:rsidR="0095387A" w:rsidRDefault="0095387A" w:rsidP="004349C9">
      <w:pPr>
        <w:pStyle w:val="Paragraphedeliste"/>
        <w:numPr>
          <w:ilvl w:val="0"/>
          <w:numId w:val="8"/>
        </w:num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La membrane plasmique entourant le segment externe contient des canaux cationiques GMP cyclique –dépendants, canaux qui sont ouverts dans l’obscurité par des molécules de GMP</w:t>
      </w:r>
      <w:r>
        <w:rPr>
          <w:rFonts w:asciiTheme="majorBidi" w:hAnsiTheme="majorBidi" w:cstheme="majorBidi"/>
          <w:sz w:val="24"/>
          <w:szCs w:val="24"/>
          <w:vertAlign w:val="subscript"/>
        </w:rPr>
        <w:t>C</w:t>
      </w:r>
      <w:r>
        <w:rPr>
          <w:rFonts w:asciiTheme="majorBidi" w:hAnsiTheme="majorBidi" w:cstheme="majorBidi"/>
          <w:sz w:val="24"/>
          <w:szCs w:val="24"/>
        </w:rPr>
        <w:t xml:space="preserve"> qui sont fixées sur leur face cytosolique.</w:t>
      </w:r>
    </w:p>
    <w:p w:rsidR="00136E4C" w:rsidRDefault="00136E4C" w:rsidP="004349C9">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4349C9">
        <w:rPr>
          <w:rFonts w:asciiTheme="majorBidi" w:hAnsiTheme="majorBidi" w:cstheme="majorBidi"/>
          <w:b/>
          <w:bCs/>
          <w:sz w:val="24"/>
          <w:szCs w:val="24"/>
        </w:rPr>
        <w:t>b)</w:t>
      </w:r>
      <w:r>
        <w:rPr>
          <w:rFonts w:asciiTheme="majorBidi" w:hAnsiTheme="majorBidi" w:cstheme="majorBidi"/>
          <w:sz w:val="24"/>
          <w:szCs w:val="24"/>
        </w:rPr>
        <w:t xml:space="preserve"> La </w:t>
      </w:r>
      <w:r w:rsidR="004349C9">
        <w:rPr>
          <w:rFonts w:asciiTheme="majorBidi" w:hAnsiTheme="majorBidi" w:cstheme="majorBidi"/>
          <w:sz w:val="24"/>
          <w:szCs w:val="24"/>
        </w:rPr>
        <w:t>lumière</w:t>
      </w:r>
      <w:r>
        <w:rPr>
          <w:rFonts w:asciiTheme="majorBidi" w:hAnsiTheme="majorBidi" w:cstheme="majorBidi"/>
          <w:sz w:val="24"/>
          <w:szCs w:val="24"/>
        </w:rPr>
        <w:t xml:space="preserve"> active la rhodopsine :</w:t>
      </w:r>
    </w:p>
    <w:p w:rsidR="00136E4C" w:rsidRDefault="00136E4C" w:rsidP="004349C9">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349C9">
        <w:rPr>
          <w:rFonts w:asciiTheme="majorBidi" w:hAnsiTheme="majorBidi" w:cstheme="majorBidi"/>
          <w:sz w:val="24"/>
          <w:szCs w:val="24"/>
        </w:rPr>
        <w:t>C</w:t>
      </w:r>
      <w:r>
        <w:rPr>
          <w:rFonts w:asciiTheme="majorBidi" w:hAnsiTheme="majorBidi" w:cstheme="majorBidi"/>
          <w:sz w:val="24"/>
          <w:szCs w:val="24"/>
        </w:rPr>
        <w:t xml:space="preserve">’est une chromoprotéine à 7 domainetransmembranaire, comportant une fraction protéique, l’opsine, et un chromophore absorbeur de </w:t>
      </w:r>
      <w:r w:rsidR="009E0AB6">
        <w:rPr>
          <w:rFonts w:asciiTheme="majorBidi" w:hAnsiTheme="majorBidi" w:cstheme="majorBidi"/>
          <w:sz w:val="24"/>
          <w:szCs w:val="24"/>
        </w:rPr>
        <w:t>ph</w:t>
      </w:r>
      <w:r>
        <w:rPr>
          <w:rFonts w:asciiTheme="majorBidi" w:hAnsiTheme="majorBidi" w:cstheme="majorBidi"/>
          <w:sz w:val="24"/>
          <w:szCs w:val="24"/>
        </w:rPr>
        <w:t>oton</w:t>
      </w:r>
      <w:r w:rsidR="009E0AB6">
        <w:rPr>
          <w:rFonts w:asciiTheme="majorBidi" w:hAnsiTheme="majorBidi" w:cstheme="majorBidi"/>
          <w:sz w:val="24"/>
          <w:szCs w:val="24"/>
        </w:rPr>
        <w:t>s, le 11-cis-rétinal.</w:t>
      </w:r>
    </w:p>
    <w:p w:rsidR="00AC10FE" w:rsidRDefault="00AC10FE" w:rsidP="004349C9">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-L’</w:t>
      </w:r>
      <w:r w:rsidR="004349C9">
        <w:rPr>
          <w:rFonts w:asciiTheme="majorBidi" w:hAnsiTheme="majorBidi" w:cstheme="majorBidi"/>
          <w:sz w:val="24"/>
          <w:szCs w:val="24"/>
        </w:rPr>
        <w:t>énergie</w:t>
      </w:r>
      <w:r>
        <w:rPr>
          <w:rFonts w:asciiTheme="majorBidi" w:hAnsiTheme="majorBidi" w:cstheme="majorBidi"/>
          <w:sz w:val="24"/>
          <w:szCs w:val="24"/>
        </w:rPr>
        <w:t xml:space="preserve"> d’un photon isomérise le rétinal et active l’opsine. Ce processus photochimique provoque une modification de la conformation tridimensionnelle de l’opsine en un temps très</w:t>
      </w:r>
      <w:r w:rsidR="004349C9">
        <w:rPr>
          <w:rFonts w:asciiTheme="majorBidi" w:hAnsiTheme="majorBidi" w:cstheme="majorBidi"/>
          <w:sz w:val="24"/>
          <w:szCs w:val="24"/>
        </w:rPr>
        <w:t xml:space="preserve"> court (10 ms).</w:t>
      </w:r>
    </w:p>
    <w:p w:rsidR="00AC10FE" w:rsidRDefault="00AC10FE" w:rsidP="004349C9">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4349C9">
        <w:rPr>
          <w:rFonts w:asciiTheme="majorBidi" w:hAnsiTheme="majorBidi" w:cstheme="majorBidi"/>
          <w:b/>
          <w:bCs/>
          <w:sz w:val="24"/>
          <w:szCs w:val="24"/>
        </w:rPr>
        <w:t>c)</w:t>
      </w:r>
      <w:r>
        <w:rPr>
          <w:rFonts w:asciiTheme="majorBidi" w:hAnsiTheme="majorBidi" w:cstheme="majorBidi"/>
          <w:sz w:val="24"/>
          <w:szCs w:val="24"/>
        </w:rPr>
        <w:t xml:space="preserve"> Une protéine G trimérique,  la transducine est activée par la rhodopsine stimulée </w:t>
      </w:r>
      <w:r w:rsidR="006914F9">
        <w:rPr>
          <w:rFonts w:asciiTheme="majorBidi" w:hAnsiTheme="majorBidi" w:cstheme="majorBidi"/>
          <w:sz w:val="24"/>
          <w:szCs w:val="24"/>
        </w:rPr>
        <w:t xml:space="preserve">par  le photon de </w:t>
      </w:r>
      <w:r w:rsidR="004349C9">
        <w:rPr>
          <w:rFonts w:asciiTheme="majorBidi" w:hAnsiTheme="majorBidi" w:cstheme="majorBidi"/>
          <w:sz w:val="24"/>
          <w:szCs w:val="24"/>
        </w:rPr>
        <w:t>lumière</w:t>
      </w:r>
      <w:r w:rsidR="006914F9">
        <w:rPr>
          <w:rFonts w:asciiTheme="majorBidi" w:hAnsiTheme="majorBidi" w:cstheme="majorBidi"/>
          <w:sz w:val="24"/>
          <w:szCs w:val="24"/>
        </w:rPr>
        <w:t> :</w:t>
      </w:r>
    </w:p>
    <w:p w:rsidR="006914F9" w:rsidRDefault="006914F9" w:rsidP="004349C9">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-La sous-unité α de la transducine se dépare du dimére βγ.</w:t>
      </w:r>
    </w:p>
    <w:p w:rsidR="00126EF3" w:rsidRDefault="006914F9" w:rsidP="004349C9">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-La sous-unité α active une phosphodiester du GMP cyclique</w:t>
      </w:r>
    </w:p>
    <w:p w:rsidR="006914F9" w:rsidRDefault="00126EF3" w:rsidP="004349C9">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4349C9">
        <w:rPr>
          <w:rFonts w:asciiTheme="majorBidi" w:hAnsiTheme="majorBidi" w:cstheme="majorBidi"/>
          <w:b/>
          <w:bCs/>
          <w:sz w:val="24"/>
          <w:szCs w:val="24"/>
        </w:rPr>
        <w:t>d)</w:t>
      </w:r>
      <w:r w:rsidR="004349C9">
        <w:rPr>
          <w:rFonts w:asciiTheme="majorBidi" w:hAnsiTheme="majorBidi" w:cstheme="majorBidi"/>
          <w:sz w:val="24"/>
          <w:szCs w:val="24"/>
        </w:rPr>
        <w:t>L</w:t>
      </w:r>
      <w:r>
        <w:rPr>
          <w:rFonts w:asciiTheme="majorBidi" w:hAnsiTheme="majorBidi" w:cstheme="majorBidi"/>
          <w:sz w:val="24"/>
          <w:szCs w:val="24"/>
        </w:rPr>
        <w:t>’hydrolyse du GMP</w:t>
      </w:r>
      <w:r>
        <w:rPr>
          <w:rFonts w:asciiTheme="majorBidi" w:hAnsiTheme="majorBidi" w:cstheme="majorBidi"/>
          <w:sz w:val="24"/>
          <w:szCs w:val="24"/>
          <w:vertAlign w:val="subscript"/>
        </w:rPr>
        <w:t>C</w:t>
      </w:r>
      <w:r>
        <w:rPr>
          <w:rFonts w:asciiTheme="majorBidi" w:hAnsiTheme="majorBidi" w:cstheme="majorBidi"/>
          <w:sz w:val="24"/>
          <w:szCs w:val="24"/>
        </w:rPr>
        <w:t xml:space="preserve"> fait chuter  sa concentration </w:t>
      </w:r>
      <w:r w:rsidR="000B25B7">
        <w:rPr>
          <w:rFonts w:asciiTheme="majorBidi" w:hAnsiTheme="majorBidi" w:cstheme="majorBidi"/>
          <w:sz w:val="24"/>
          <w:szCs w:val="24"/>
        </w:rPr>
        <w:t>cytosolique :</w:t>
      </w:r>
    </w:p>
    <w:p w:rsidR="000B25B7" w:rsidRDefault="000B25B7" w:rsidP="004349C9">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-Les canaux cationiques se ferment, ce qui induit l’hyperpolarisation membranaire et inhibe la transmission  synaptique du photorécepteur  aux neurones rétinien</w:t>
      </w:r>
      <w:r w:rsidR="00D01B54">
        <w:rPr>
          <w:rFonts w:asciiTheme="majorBidi" w:hAnsiTheme="majorBidi" w:cstheme="majorBidi"/>
          <w:sz w:val="24"/>
          <w:szCs w:val="24"/>
        </w:rPr>
        <w:t>s</w:t>
      </w:r>
    </w:p>
    <w:p w:rsidR="00D01B54" w:rsidRDefault="00D01B54" w:rsidP="004349C9">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-Le signal lumineux a été transformé  en signal électrique.</w:t>
      </w:r>
    </w:p>
    <w:p w:rsidR="00064E1C" w:rsidRPr="00982E70" w:rsidRDefault="00D01B54" w:rsidP="00982E70">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-Le phénomène d’amplification du signal est considérable dans le cas de la vision.</w:t>
      </w:r>
      <w:r w:rsidR="004349C9">
        <w:rPr>
          <w:rFonts w:asciiTheme="majorBidi" w:hAnsiTheme="majorBidi" w:cstheme="majorBidi"/>
          <w:sz w:val="24"/>
          <w:szCs w:val="24"/>
        </w:rPr>
        <w:t>un seul photon absorbé aboutit à l’hydrolise de 500 molécules de GMP</w:t>
      </w:r>
      <w:r w:rsidR="004349C9">
        <w:rPr>
          <w:rFonts w:asciiTheme="majorBidi" w:hAnsiTheme="majorBidi" w:cstheme="majorBidi"/>
          <w:sz w:val="24"/>
          <w:szCs w:val="24"/>
          <w:vertAlign w:val="subscript"/>
        </w:rPr>
        <w:t>C</w:t>
      </w:r>
      <w:r w:rsidR="004349C9">
        <w:rPr>
          <w:rFonts w:asciiTheme="majorBidi" w:hAnsiTheme="majorBidi" w:cstheme="majorBidi"/>
          <w:sz w:val="24"/>
          <w:szCs w:val="24"/>
        </w:rPr>
        <w:t xml:space="preserve"> et la férmeture de 250 canaux cation</w:t>
      </w:r>
      <w:r w:rsidR="00982E70">
        <w:rPr>
          <w:rFonts w:asciiTheme="majorBidi" w:hAnsiTheme="majorBidi" w:cstheme="majorBidi"/>
          <w:sz w:val="24"/>
          <w:szCs w:val="24"/>
        </w:rPr>
        <w:t>iques. Au total, en une seconde, cette cascade aboutit à l’hydrolyse de 10</w:t>
      </w:r>
      <w:r w:rsidR="00982E70">
        <w:rPr>
          <w:rFonts w:asciiTheme="majorBidi" w:hAnsiTheme="majorBidi" w:cstheme="majorBidi"/>
          <w:sz w:val="24"/>
          <w:szCs w:val="24"/>
          <w:vertAlign w:val="superscript"/>
        </w:rPr>
        <w:t>5</w:t>
      </w:r>
      <w:r w:rsidR="00982E70">
        <w:rPr>
          <w:rFonts w:asciiTheme="majorBidi" w:hAnsiTheme="majorBidi" w:cstheme="majorBidi"/>
          <w:sz w:val="24"/>
          <w:szCs w:val="24"/>
        </w:rPr>
        <w:t xml:space="preserve"> molécules de GMP</w:t>
      </w:r>
      <w:r w:rsidR="00982E70">
        <w:rPr>
          <w:rFonts w:asciiTheme="majorBidi" w:hAnsiTheme="majorBidi" w:cstheme="majorBidi"/>
          <w:sz w:val="24"/>
          <w:szCs w:val="24"/>
          <w:vertAlign w:val="subscript"/>
        </w:rPr>
        <w:t>C</w:t>
      </w:r>
      <w:r w:rsidR="00982E70">
        <w:rPr>
          <w:rFonts w:asciiTheme="majorBidi" w:hAnsiTheme="majorBidi" w:cstheme="majorBidi"/>
          <w:sz w:val="24"/>
          <w:szCs w:val="24"/>
        </w:rPr>
        <w:t xml:space="preserve"> par quantum de lumière.</w:t>
      </w:r>
    </w:p>
    <w:p w:rsidR="00064E1C" w:rsidRPr="00A913DC" w:rsidRDefault="005110D2" w:rsidP="0059019D">
      <w:pPr>
        <w:autoSpaceDE w:val="0"/>
        <w:autoSpaceDN w:val="0"/>
        <w:adjustRightInd w:val="0"/>
        <w:spacing w:before="100" w:beforeAutospacing="1" w:after="100" w:afterAutospacing="1" w:line="360" w:lineRule="auto"/>
        <w:rPr>
          <w:rFonts w:asciiTheme="majorBidi" w:hAnsiTheme="majorBidi" w:cstheme="majorBidi"/>
          <w:b/>
          <w:bCs/>
          <w:sz w:val="24"/>
          <w:szCs w:val="24"/>
        </w:rPr>
      </w:pPr>
      <w:r w:rsidRPr="00A913DC">
        <w:rPr>
          <w:rFonts w:asciiTheme="majorBidi" w:hAnsiTheme="majorBidi" w:cstheme="majorBidi"/>
          <w:b/>
          <w:bCs/>
          <w:noProof/>
          <w:sz w:val="24"/>
          <w:szCs w:val="24"/>
          <w:lang w:eastAsia="fr-FR"/>
        </w:rPr>
        <w:lastRenderedPageBreak/>
        <w:drawing>
          <wp:inline distT="0" distB="0" distL="0" distR="0">
            <wp:extent cx="5760085" cy="3745230"/>
            <wp:effectExtent l="19050" t="19050" r="0" b="7620"/>
            <wp:docPr id="2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760085" cy="3745230"/>
                    </a:xfrm>
                    <a:prstGeom prst="rect">
                      <a:avLst/>
                    </a:prstGeom>
                    <a:noFill/>
                    <a:ln w="9525">
                      <a:solidFill>
                        <a:schemeClr val="tx1"/>
                      </a:solidFill>
                      <a:miter lim="800000"/>
                      <a:headEnd/>
                      <a:tailEnd/>
                    </a:ln>
                  </pic:spPr>
                </pic:pic>
              </a:graphicData>
            </a:graphic>
          </wp:inline>
        </w:drawing>
      </w:r>
    </w:p>
    <w:p w:rsidR="005110D2" w:rsidRPr="0059019D" w:rsidRDefault="004E65DA" w:rsidP="0059019D">
      <w:pPr>
        <w:tabs>
          <w:tab w:val="left" w:pos="3265"/>
        </w:tabs>
        <w:autoSpaceDE w:val="0"/>
        <w:autoSpaceDN w:val="0"/>
        <w:adjustRightInd w:val="0"/>
        <w:spacing w:before="100" w:beforeAutospacing="1" w:after="100" w:afterAutospacing="1" w:line="360" w:lineRule="auto"/>
        <w:jc w:val="center"/>
        <w:rPr>
          <w:rFonts w:asciiTheme="majorBidi" w:hAnsiTheme="majorBidi" w:cstheme="majorBidi"/>
          <w:strike/>
          <w:sz w:val="24"/>
          <w:szCs w:val="24"/>
        </w:rPr>
      </w:pPr>
      <w:r>
        <w:rPr>
          <w:rFonts w:asciiTheme="majorBidi" w:hAnsiTheme="majorBidi" w:cstheme="majorBidi"/>
          <w:b/>
          <w:bCs/>
          <w:sz w:val="24"/>
          <w:szCs w:val="24"/>
        </w:rPr>
        <w:t>Figure 20</w:t>
      </w:r>
      <w:r w:rsidR="005110D2" w:rsidRPr="00A913DC">
        <w:rPr>
          <w:rFonts w:asciiTheme="majorBidi" w:hAnsiTheme="majorBidi" w:cstheme="majorBidi"/>
          <w:b/>
          <w:bCs/>
          <w:sz w:val="24"/>
          <w:szCs w:val="24"/>
        </w:rPr>
        <w:t xml:space="preserve"> : </w:t>
      </w:r>
      <w:r w:rsidR="005110D2" w:rsidRPr="004E65DA">
        <w:rPr>
          <w:rFonts w:asciiTheme="majorBidi" w:hAnsiTheme="majorBidi" w:cstheme="majorBidi"/>
          <w:sz w:val="24"/>
          <w:szCs w:val="24"/>
        </w:rPr>
        <w:t>La voie du GMP</w:t>
      </w:r>
      <w:r w:rsidR="005110D2" w:rsidRPr="004E65DA">
        <w:rPr>
          <w:rFonts w:asciiTheme="majorBidi" w:hAnsiTheme="majorBidi" w:cstheme="majorBidi"/>
          <w:sz w:val="24"/>
          <w:szCs w:val="24"/>
          <w:vertAlign w:val="subscript"/>
        </w:rPr>
        <w:t>C</w:t>
      </w:r>
      <w:r w:rsidRPr="004E65DA">
        <w:rPr>
          <w:rFonts w:asciiTheme="majorBidi" w:hAnsiTheme="majorBidi" w:cstheme="majorBidi"/>
          <w:sz w:val="24"/>
          <w:szCs w:val="24"/>
          <w:vertAlign w:val="subscript"/>
        </w:rPr>
        <w:t> </w:t>
      </w:r>
      <w:r w:rsidRPr="004E65DA">
        <w:rPr>
          <w:rFonts w:asciiTheme="majorBidi" w:hAnsiTheme="majorBidi" w:cstheme="majorBidi"/>
          <w:sz w:val="24"/>
          <w:szCs w:val="24"/>
        </w:rPr>
        <w:t xml:space="preserve">(phénomène  de transduction du signal et son amplification </w:t>
      </w:r>
      <w:r>
        <w:rPr>
          <w:rFonts w:asciiTheme="majorBidi" w:hAnsiTheme="majorBidi" w:cstheme="majorBidi"/>
          <w:sz w:val="24"/>
          <w:szCs w:val="24"/>
        </w:rPr>
        <w:t>a</w:t>
      </w:r>
      <w:r w:rsidRPr="004E65DA">
        <w:rPr>
          <w:rFonts w:asciiTheme="majorBidi" w:hAnsiTheme="majorBidi" w:cstheme="majorBidi"/>
          <w:sz w:val="24"/>
          <w:szCs w:val="24"/>
        </w:rPr>
        <w:t>près la réception d’un seul photon delumière</w:t>
      </w:r>
      <w:r>
        <w:rPr>
          <w:rFonts w:asciiTheme="majorBidi" w:hAnsiTheme="majorBidi" w:cstheme="majorBidi"/>
          <w:sz w:val="24"/>
          <w:szCs w:val="24"/>
        </w:rPr>
        <w:t>)</w:t>
      </w:r>
      <w:r w:rsidRPr="0061315A">
        <w:rPr>
          <w:rFonts w:asciiTheme="majorBidi" w:hAnsiTheme="majorBidi" w:cstheme="majorBidi"/>
          <w:b/>
          <w:bCs/>
          <w:sz w:val="24"/>
          <w:szCs w:val="24"/>
        </w:rPr>
        <w:t>(Cau et Se</w:t>
      </w:r>
      <w:r>
        <w:rPr>
          <w:rFonts w:asciiTheme="majorBidi" w:hAnsiTheme="majorBidi" w:cstheme="majorBidi"/>
          <w:b/>
          <w:bCs/>
          <w:sz w:val="24"/>
          <w:szCs w:val="24"/>
        </w:rPr>
        <w:t>ï</w:t>
      </w:r>
      <w:r w:rsidRPr="0061315A">
        <w:rPr>
          <w:rFonts w:asciiTheme="majorBidi" w:hAnsiTheme="majorBidi" w:cstheme="majorBidi"/>
          <w:b/>
          <w:bCs/>
          <w:sz w:val="24"/>
          <w:szCs w:val="24"/>
        </w:rPr>
        <w:t>te, 2007)</w:t>
      </w:r>
    </w:p>
    <w:p w:rsidR="001909F2" w:rsidRPr="00A913DC" w:rsidRDefault="005110D2" w:rsidP="0059019D">
      <w:pPr>
        <w:autoSpaceDE w:val="0"/>
        <w:autoSpaceDN w:val="0"/>
        <w:adjustRightInd w:val="0"/>
        <w:spacing w:before="100" w:beforeAutospacing="1" w:after="100" w:afterAutospacing="1" w:line="360" w:lineRule="auto"/>
        <w:rPr>
          <w:rFonts w:asciiTheme="majorBidi" w:hAnsiTheme="majorBidi" w:cstheme="majorBidi"/>
          <w:b/>
          <w:bCs/>
          <w:sz w:val="24"/>
          <w:szCs w:val="24"/>
        </w:rPr>
      </w:pPr>
      <w:r w:rsidRPr="00A913DC">
        <w:rPr>
          <w:rFonts w:asciiTheme="majorBidi" w:hAnsiTheme="majorBidi" w:cstheme="majorBidi"/>
          <w:b/>
          <w:bCs/>
          <w:sz w:val="24"/>
          <w:szCs w:val="24"/>
        </w:rPr>
        <w:t xml:space="preserve">III.4. </w:t>
      </w:r>
      <w:r w:rsidR="007F3A09" w:rsidRPr="00A913DC">
        <w:rPr>
          <w:rFonts w:asciiTheme="majorBidi" w:hAnsiTheme="majorBidi" w:cstheme="majorBidi"/>
          <w:b/>
          <w:bCs/>
          <w:sz w:val="24"/>
          <w:szCs w:val="24"/>
        </w:rPr>
        <w:t xml:space="preserve">La voie Ca </w:t>
      </w:r>
      <w:r w:rsidR="007F3A09" w:rsidRPr="00A913DC">
        <w:rPr>
          <w:rFonts w:asciiTheme="majorBidi" w:hAnsiTheme="majorBidi" w:cstheme="majorBidi"/>
          <w:b/>
          <w:bCs/>
          <w:sz w:val="24"/>
          <w:szCs w:val="24"/>
          <w:vertAlign w:val="superscript"/>
        </w:rPr>
        <w:t>++</w:t>
      </w:r>
      <w:r w:rsidR="007F3A09" w:rsidRPr="00A913DC">
        <w:rPr>
          <w:rFonts w:asciiTheme="majorBidi" w:hAnsiTheme="majorBidi" w:cstheme="majorBidi"/>
          <w:b/>
          <w:bCs/>
          <w:sz w:val="24"/>
          <w:szCs w:val="24"/>
        </w:rPr>
        <w:t>- calmoduline</w:t>
      </w:r>
    </w:p>
    <w:p w:rsidR="001909F2" w:rsidRPr="00A913DC" w:rsidRDefault="00203EA1" w:rsidP="007F2C1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Alors que le second messager de type diacylgcérol</w:t>
      </w:r>
      <w:r w:rsidR="00D67B79" w:rsidRPr="00A913DC">
        <w:rPr>
          <w:rFonts w:asciiTheme="majorBidi" w:hAnsiTheme="majorBidi" w:cstheme="majorBidi"/>
          <w:sz w:val="24"/>
          <w:szCs w:val="24"/>
        </w:rPr>
        <w:t xml:space="preserve"> reste associé à la m</w:t>
      </w:r>
      <w:r w:rsidRPr="00A913DC">
        <w:rPr>
          <w:rFonts w:asciiTheme="majorBidi" w:hAnsiTheme="majorBidi" w:cstheme="majorBidi"/>
          <w:sz w:val="24"/>
          <w:szCs w:val="24"/>
        </w:rPr>
        <w:t xml:space="preserve">embrane </w:t>
      </w:r>
      <w:r w:rsidR="00D67B79" w:rsidRPr="00A913DC">
        <w:rPr>
          <w:rFonts w:asciiTheme="majorBidi" w:hAnsiTheme="majorBidi" w:cstheme="majorBidi"/>
          <w:sz w:val="24"/>
          <w:szCs w:val="24"/>
        </w:rPr>
        <w:t>plasmique, l’autre second messager de type IP</w:t>
      </w:r>
      <w:r w:rsidR="00D67B79" w:rsidRPr="00A913DC">
        <w:rPr>
          <w:rFonts w:asciiTheme="majorBidi" w:hAnsiTheme="majorBidi" w:cstheme="majorBidi"/>
          <w:sz w:val="24"/>
          <w:szCs w:val="24"/>
          <w:vertAlign w:val="subscript"/>
        </w:rPr>
        <w:t xml:space="preserve">3, </w:t>
      </w:r>
      <w:r w:rsidR="00D67B79" w:rsidRPr="00A913DC">
        <w:rPr>
          <w:rFonts w:asciiTheme="majorBidi" w:hAnsiTheme="majorBidi" w:cstheme="majorBidi"/>
          <w:sz w:val="24"/>
          <w:szCs w:val="24"/>
        </w:rPr>
        <w:t>dérivé du PIP</w:t>
      </w:r>
      <w:r w:rsidR="00D67B79" w:rsidRPr="00A913DC">
        <w:rPr>
          <w:rFonts w:asciiTheme="majorBidi" w:hAnsiTheme="majorBidi" w:cstheme="majorBidi"/>
          <w:sz w:val="24"/>
          <w:szCs w:val="24"/>
          <w:vertAlign w:val="subscript"/>
        </w:rPr>
        <w:t>2</w:t>
      </w:r>
      <w:r w:rsidR="00D67B79" w:rsidRPr="00A913DC">
        <w:rPr>
          <w:rFonts w:asciiTheme="majorBidi" w:hAnsiTheme="majorBidi" w:cstheme="majorBidi"/>
          <w:sz w:val="24"/>
          <w:szCs w:val="24"/>
        </w:rPr>
        <w:t xml:space="preserve"> est libéré dans le cytosol pour activer des pompes ioniques et mobiliser le Ca</w:t>
      </w:r>
      <w:r w:rsidR="00D67B79" w:rsidRPr="00A913DC">
        <w:rPr>
          <w:rFonts w:asciiTheme="majorBidi" w:hAnsiTheme="majorBidi" w:cstheme="majorBidi"/>
          <w:sz w:val="24"/>
          <w:szCs w:val="24"/>
          <w:vertAlign w:val="superscript"/>
        </w:rPr>
        <w:t>++</w:t>
      </w:r>
      <w:r w:rsidR="00D67B79" w:rsidRPr="00A913DC">
        <w:rPr>
          <w:rFonts w:asciiTheme="majorBidi" w:hAnsiTheme="majorBidi" w:cstheme="majorBidi"/>
          <w:sz w:val="24"/>
          <w:szCs w:val="24"/>
        </w:rPr>
        <w:t xml:space="preserve"> à partir de ces sites de  stockage intracellulaire. De fortes concentration  de Ca</w:t>
      </w:r>
      <w:r w:rsidR="00D67B79" w:rsidRPr="00A913DC">
        <w:rPr>
          <w:rFonts w:asciiTheme="majorBidi" w:hAnsiTheme="majorBidi" w:cstheme="majorBidi"/>
          <w:sz w:val="24"/>
          <w:szCs w:val="24"/>
          <w:vertAlign w:val="superscript"/>
        </w:rPr>
        <w:t>++</w:t>
      </w:r>
      <w:r w:rsidR="00D67B79" w:rsidRPr="00A913DC">
        <w:rPr>
          <w:rFonts w:asciiTheme="majorBidi" w:hAnsiTheme="majorBidi" w:cstheme="majorBidi"/>
          <w:sz w:val="24"/>
          <w:szCs w:val="24"/>
        </w:rPr>
        <w:t xml:space="preserve"> dans le cytosol </w:t>
      </w:r>
      <w:r w:rsidR="00230C26" w:rsidRPr="00A913DC">
        <w:rPr>
          <w:rFonts w:asciiTheme="majorBidi" w:hAnsiTheme="majorBidi" w:cstheme="majorBidi"/>
          <w:sz w:val="24"/>
          <w:szCs w:val="24"/>
        </w:rPr>
        <w:t>( d’un niveau de base de 0,1µM pour atteindre une concentration de 1,0µM après libération dans le cytosol) activent plusieurs protéines –kinase et  phosphatase Ca</w:t>
      </w:r>
      <w:r w:rsidR="00230C26" w:rsidRPr="00A913DC">
        <w:rPr>
          <w:rFonts w:asciiTheme="majorBidi" w:hAnsiTheme="majorBidi" w:cstheme="majorBidi"/>
          <w:sz w:val="24"/>
          <w:szCs w:val="24"/>
          <w:vertAlign w:val="superscript"/>
        </w:rPr>
        <w:t xml:space="preserve">++ </w:t>
      </w:r>
      <w:r w:rsidR="00230C26" w:rsidRPr="00A913DC">
        <w:rPr>
          <w:rFonts w:asciiTheme="majorBidi" w:hAnsiTheme="majorBidi" w:cstheme="majorBidi"/>
          <w:sz w:val="24"/>
          <w:szCs w:val="24"/>
        </w:rPr>
        <w:t xml:space="preserve"> dépendantes.</w:t>
      </w:r>
    </w:p>
    <w:p w:rsidR="001909F2" w:rsidRPr="0059019D" w:rsidRDefault="00230C26" w:rsidP="0059019D">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La calmoduline est une protéine Ca</w:t>
      </w:r>
      <w:r w:rsidRPr="00A913DC">
        <w:rPr>
          <w:rFonts w:asciiTheme="majorBidi" w:hAnsiTheme="majorBidi" w:cstheme="majorBidi"/>
          <w:sz w:val="24"/>
          <w:szCs w:val="24"/>
          <w:vertAlign w:val="superscript"/>
        </w:rPr>
        <w:t>++</w:t>
      </w:r>
      <w:r w:rsidRPr="00A913DC">
        <w:rPr>
          <w:rFonts w:asciiTheme="majorBidi" w:hAnsiTheme="majorBidi" w:cstheme="majorBidi"/>
          <w:sz w:val="24"/>
          <w:szCs w:val="24"/>
        </w:rPr>
        <w:t xml:space="preserve"> dépendante activée lorsque la concentration de Ca </w:t>
      </w:r>
      <w:r w:rsidRPr="00A913DC">
        <w:rPr>
          <w:rFonts w:asciiTheme="majorBidi" w:hAnsiTheme="majorBidi" w:cstheme="majorBidi"/>
          <w:sz w:val="24"/>
          <w:szCs w:val="24"/>
          <w:vertAlign w:val="superscript"/>
        </w:rPr>
        <w:t>++</w:t>
      </w:r>
      <w:r w:rsidRPr="00A913DC">
        <w:rPr>
          <w:rFonts w:asciiTheme="majorBidi" w:hAnsiTheme="majorBidi" w:cstheme="majorBidi"/>
          <w:sz w:val="24"/>
          <w:szCs w:val="24"/>
        </w:rPr>
        <w:t xml:space="preserve"> atteint 0,5µM. Les complexes Ca</w:t>
      </w:r>
      <w:r w:rsidRPr="00A913DC">
        <w:rPr>
          <w:rFonts w:asciiTheme="majorBidi" w:hAnsiTheme="majorBidi" w:cstheme="majorBidi"/>
          <w:sz w:val="24"/>
          <w:szCs w:val="24"/>
          <w:vertAlign w:val="superscript"/>
        </w:rPr>
        <w:t>++</w:t>
      </w:r>
      <w:r w:rsidRPr="00A913DC">
        <w:rPr>
          <w:rFonts w:asciiTheme="majorBidi" w:hAnsiTheme="majorBidi" w:cstheme="majorBidi"/>
          <w:sz w:val="24"/>
          <w:szCs w:val="24"/>
        </w:rPr>
        <w:t>-Calmoduline se fixe sur de nombreuses protéines cibles du cytosol pour réguler des réponses cellulaires. On notera  que le Ca</w:t>
      </w:r>
      <w:r w:rsidRPr="00A913DC">
        <w:rPr>
          <w:rFonts w:asciiTheme="majorBidi" w:hAnsiTheme="majorBidi" w:cstheme="majorBidi"/>
          <w:sz w:val="24"/>
          <w:szCs w:val="24"/>
          <w:vertAlign w:val="superscript"/>
        </w:rPr>
        <w:t xml:space="preserve">++ </w:t>
      </w:r>
      <w:r w:rsidRPr="00A913DC">
        <w:rPr>
          <w:rFonts w:asciiTheme="majorBidi" w:hAnsiTheme="majorBidi" w:cstheme="majorBidi"/>
          <w:sz w:val="24"/>
          <w:szCs w:val="24"/>
        </w:rPr>
        <w:t xml:space="preserve"> est un second messager important et que sa concentration intracellulaire peut etre augmentée non seulement par libération à partir des lieux de stockage intracellulaire mais également par pénétratin de calcium dans la cellule à partir du milieu extracellulaire.</w:t>
      </w:r>
    </w:p>
    <w:p w:rsidR="007F3A09" w:rsidRPr="0059019D" w:rsidRDefault="00386AB5" w:rsidP="0059019D">
      <w:pPr>
        <w:autoSpaceDE w:val="0"/>
        <w:autoSpaceDN w:val="0"/>
        <w:adjustRightInd w:val="0"/>
        <w:spacing w:before="100" w:beforeAutospacing="1" w:after="100" w:afterAutospacing="1" w:line="360" w:lineRule="auto"/>
        <w:rPr>
          <w:rFonts w:asciiTheme="majorBidi" w:hAnsiTheme="majorBidi" w:cstheme="majorBidi"/>
          <w:b/>
          <w:bCs/>
          <w:sz w:val="24"/>
          <w:szCs w:val="24"/>
        </w:rPr>
      </w:pPr>
      <w:r w:rsidRPr="00A913DC">
        <w:rPr>
          <w:rFonts w:asciiTheme="majorBidi" w:hAnsiTheme="majorBidi" w:cstheme="majorBidi"/>
          <w:b/>
          <w:bCs/>
          <w:sz w:val="24"/>
          <w:szCs w:val="24"/>
        </w:rPr>
        <w:lastRenderedPageBreak/>
        <w:t xml:space="preserve">III.5. </w:t>
      </w:r>
      <w:r w:rsidR="007F3A09" w:rsidRPr="00A913DC">
        <w:rPr>
          <w:rFonts w:asciiTheme="majorBidi" w:hAnsiTheme="majorBidi" w:cstheme="majorBidi"/>
          <w:b/>
          <w:bCs/>
          <w:sz w:val="24"/>
          <w:szCs w:val="24"/>
        </w:rPr>
        <w:t>La voie de signalisation</w:t>
      </w:r>
      <w:r w:rsidR="00900C40" w:rsidRPr="00A913DC">
        <w:rPr>
          <w:rFonts w:asciiTheme="majorBidi" w:hAnsiTheme="majorBidi" w:cstheme="majorBidi"/>
          <w:b/>
          <w:bCs/>
          <w:sz w:val="24"/>
          <w:szCs w:val="24"/>
        </w:rPr>
        <w:t xml:space="preserve"> du facteur de transcription </w:t>
      </w:r>
      <w:r w:rsidR="007F3A09" w:rsidRPr="00A913DC">
        <w:rPr>
          <w:rFonts w:asciiTheme="majorBidi" w:hAnsiTheme="majorBidi" w:cstheme="majorBidi"/>
          <w:b/>
          <w:bCs/>
          <w:sz w:val="24"/>
          <w:szCs w:val="24"/>
        </w:rPr>
        <w:t xml:space="preserve"> NF-</w:t>
      </w:r>
      <w:r w:rsidR="007F3A09" w:rsidRPr="00A913DC">
        <w:rPr>
          <w:rFonts w:asciiTheme="majorBidi" w:hAnsiTheme="majorBidi" w:cstheme="majorBidi"/>
          <w:sz w:val="24"/>
          <w:szCs w:val="24"/>
        </w:rPr>
        <w:t>κ</w:t>
      </w:r>
      <w:r w:rsidR="007F3A09" w:rsidRPr="00A913DC">
        <w:rPr>
          <w:rFonts w:asciiTheme="majorBidi" w:hAnsiTheme="majorBidi" w:cstheme="majorBidi"/>
          <w:b/>
          <w:bCs/>
          <w:sz w:val="24"/>
          <w:szCs w:val="24"/>
        </w:rPr>
        <w:t>B</w:t>
      </w:r>
    </w:p>
    <w:p w:rsidR="007F3A09" w:rsidRPr="00A913DC" w:rsidRDefault="007F3A09" w:rsidP="007F2C15">
      <w:pPr>
        <w:autoSpaceDE w:val="0"/>
        <w:autoSpaceDN w:val="0"/>
        <w:adjustRightInd w:val="0"/>
        <w:spacing w:before="100" w:beforeAutospacing="1" w:after="100" w:afterAutospacing="1" w:line="360" w:lineRule="auto"/>
        <w:jc w:val="both"/>
        <w:rPr>
          <w:rFonts w:ascii="HelveticaNeue-Roman" w:hAnsi="HelveticaNeue-Roman" w:cs="HelveticaNeue-Roman"/>
          <w:b/>
          <w:bCs/>
          <w:sz w:val="24"/>
          <w:szCs w:val="24"/>
        </w:rPr>
      </w:pPr>
      <w:r w:rsidRPr="00A913DC">
        <w:rPr>
          <w:rFonts w:asciiTheme="majorBidi" w:hAnsiTheme="majorBidi" w:cstheme="majorBidi"/>
          <w:sz w:val="24"/>
          <w:szCs w:val="24"/>
        </w:rPr>
        <w:t>Le facteur nucléaire NF-κB est une famille composée de 5 protéines fixant l'ADN et qui régulent l'expression d'un grand nombre de gènes impliqués dans des fonctions biologiques diverses telles que l'immunité, l'inflammation, le développement et l'apoptose. Elles se composent d'homodimères et d'hétérodimères qui sont séquestrés en l'absence d'activation dans le cytoplasme en s'associant à des protéines inhibitrices de NF-κB (IκB).</w:t>
      </w:r>
      <w:r w:rsidRPr="00A913DC">
        <w:rPr>
          <w:rFonts w:asciiTheme="majorBidi" w:hAnsiTheme="majorBidi" w:cstheme="majorBidi"/>
          <w:b/>
          <w:bCs/>
          <w:sz w:val="24"/>
          <w:szCs w:val="24"/>
        </w:rPr>
        <w:t>( Herbein, 2010)</w:t>
      </w:r>
    </w:p>
    <w:p w:rsidR="007F3A09" w:rsidRPr="0059019D" w:rsidRDefault="00386AB5" w:rsidP="0059019D">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sidRPr="00A913DC">
        <w:rPr>
          <w:rFonts w:asciiTheme="majorBidi" w:hAnsiTheme="majorBidi" w:cstheme="majorBidi"/>
          <w:b/>
          <w:bCs/>
          <w:sz w:val="24"/>
          <w:szCs w:val="24"/>
        </w:rPr>
        <w:t xml:space="preserve">III.5.1. </w:t>
      </w:r>
      <w:r w:rsidR="00203EA1" w:rsidRPr="00A913DC">
        <w:rPr>
          <w:rFonts w:asciiTheme="majorBidi" w:hAnsiTheme="majorBidi" w:cstheme="majorBidi"/>
          <w:b/>
          <w:bCs/>
          <w:sz w:val="24"/>
          <w:szCs w:val="24"/>
        </w:rPr>
        <w:t>Les composants de la voie de signalisation NF-</w:t>
      </w:r>
      <w:r w:rsidR="00203EA1" w:rsidRPr="00A913DC">
        <w:rPr>
          <w:rFonts w:asciiTheme="majorBidi" w:hAnsiTheme="majorBidi" w:cstheme="majorBidi"/>
          <w:sz w:val="24"/>
          <w:szCs w:val="24"/>
        </w:rPr>
        <w:t>κ</w:t>
      </w:r>
      <w:r w:rsidR="00203EA1" w:rsidRPr="00A913DC">
        <w:rPr>
          <w:rFonts w:asciiTheme="majorBidi" w:hAnsiTheme="majorBidi" w:cstheme="majorBidi"/>
          <w:b/>
          <w:bCs/>
          <w:sz w:val="24"/>
          <w:szCs w:val="24"/>
        </w:rPr>
        <w:t>B</w:t>
      </w:r>
    </w:p>
    <w:p w:rsidR="007F3A09" w:rsidRPr="0059019D" w:rsidRDefault="007F3A09" w:rsidP="0059019D">
      <w:pPr>
        <w:autoSpaceDE w:val="0"/>
        <w:autoSpaceDN w:val="0"/>
        <w:adjustRightInd w:val="0"/>
        <w:spacing w:before="100" w:beforeAutospacing="1" w:after="100" w:afterAutospacing="1" w:line="360" w:lineRule="auto"/>
        <w:jc w:val="both"/>
        <w:rPr>
          <w:rFonts w:ascii="HelveticaNeue-Roman" w:hAnsi="HelveticaNeue-Roman" w:cs="HelveticaNeue-Roman"/>
          <w:b/>
          <w:bCs/>
          <w:sz w:val="24"/>
          <w:szCs w:val="24"/>
        </w:rPr>
      </w:pPr>
      <w:r w:rsidRPr="00A913DC">
        <w:rPr>
          <w:rFonts w:asciiTheme="majorBidi" w:hAnsiTheme="majorBidi" w:cstheme="majorBidi"/>
          <w:sz w:val="24"/>
          <w:szCs w:val="24"/>
        </w:rPr>
        <w:t xml:space="preserve">       Ainsi la voie de signalisation de NF-κB est constituée de dimères NF-κB, de protéines IκB, de complexes IKK et de protéines adaptatrices intracellulaires notamment de la famille des TRAFs (TNF receptor associated factors)</w:t>
      </w:r>
      <w:r w:rsidRPr="00A913DC">
        <w:rPr>
          <w:rFonts w:asciiTheme="majorBidi" w:hAnsiTheme="majorBidi" w:cstheme="majorBidi"/>
          <w:b/>
          <w:bCs/>
          <w:sz w:val="24"/>
          <w:szCs w:val="24"/>
        </w:rPr>
        <w:t>( Herbein, 2010).</w:t>
      </w:r>
    </w:p>
    <w:p w:rsidR="007F3A09" w:rsidRPr="0059019D" w:rsidRDefault="007F3A09" w:rsidP="0059019D">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 xml:space="preserve">           La famille NF-κB est composées de 5 membres chez les mammifères : p65 (RelA), RelB, c-Rel, p50 (NF-κB1) et p52 (NF-κB2). Les membres de la famille NF-κB partagent un domaine homologue Rel (RHD) au niveau de leur extémité N-terminale qui permet la fixation à l'ADN et la formation d'homo ou d'hétérodimères. Les membres de la famille de NF-κB diffèrent au niveau de leur extrémité C-terminale et en fonction de leur mode de synthèse. RelA/p65, RelB et c-Rel possèdent un domaine de transactivation (TAD) qui est nécessaire à l'action transcriptionnelle de NF-κB et sont synthétisées sous leur forme mature. Au contraire, NF-κB1/p50 et NF-κB/p52 ne possèdent pas de domaine de transactivation et sont synthétisées par protéolyse à partir de leur précurseur polypeptidique p105 et p100, respectivement. La protéolyse de p105 en p50 est constitutive, tandis que celle de p100 en p52 est étroitement régulée et inductible</w:t>
      </w:r>
      <w:r w:rsidRPr="00A913DC">
        <w:rPr>
          <w:rFonts w:asciiTheme="majorBidi" w:hAnsiTheme="majorBidi" w:cstheme="majorBidi"/>
          <w:b/>
          <w:bCs/>
          <w:sz w:val="24"/>
          <w:szCs w:val="24"/>
        </w:rPr>
        <w:t>.</w:t>
      </w:r>
    </w:p>
    <w:p w:rsidR="00982E70" w:rsidRPr="0059019D" w:rsidRDefault="007F3A09" w:rsidP="005D317F">
      <w:pPr>
        <w:autoSpaceDE w:val="0"/>
        <w:autoSpaceDN w:val="0"/>
        <w:adjustRightInd w:val="0"/>
        <w:spacing w:before="100" w:beforeAutospacing="1" w:after="100" w:afterAutospacing="1" w:line="360" w:lineRule="auto"/>
        <w:rPr>
          <w:rFonts w:asciiTheme="majorBidi" w:hAnsiTheme="majorBidi" w:cstheme="majorBidi"/>
          <w:sz w:val="24"/>
          <w:szCs w:val="24"/>
        </w:rPr>
      </w:pPr>
      <w:r w:rsidRPr="00A913DC">
        <w:rPr>
          <w:rFonts w:asciiTheme="majorBidi" w:hAnsiTheme="majorBidi" w:cstheme="majorBidi"/>
          <w:sz w:val="24"/>
          <w:szCs w:val="24"/>
        </w:rPr>
        <w:t>Les membres de la famille IκB sont des protéines structurellement proches qui possèdent des motifs répétés</w:t>
      </w:r>
      <w:r w:rsidR="00386AB5" w:rsidRPr="00A913DC">
        <w:rPr>
          <w:rFonts w:asciiTheme="majorBidi" w:hAnsiTheme="majorBidi" w:cstheme="majorBidi"/>
          <w:sz w:val="24"/>
          <w:szCs w:val="24"/>
        </w:rPr>
        <w:t xml:space="preserve">. </w:t>
      </w:r>
    </w:p>
    <w:p w:rsidR="007F3A09" w:rsidRPr="0059019D" w:rsidRDefault="00386AB5" w:rsidP="0059019D">
      <w:pPr>
        <w:autoSpaceDE w:val="0"/>
        <w:autoSpaceDN w:val="0"/>
        <w:adjustRightInd w:val="0"/>
        <w:spacing w:before="100" w:beforeAutospacing="1" w:after="100" w:afterAutospacing="1" w:line="360" w:lineRule="auto"/>
        <w:rPr>
          <w:rFonts w:asciiTheme="majorBidi" w:hAnsiTheme="majorBidi" w:cstheme="majorBidi"/>
          <w:sz w:val="24"/>
          <w:szCs w:val="24"/>
        </w:rPr>
      </w:pPr>
      <w:r w:rsidRPr="00A913DC">
        <w:rPr>
          <w:rFonts w:asciiTheme="majorBidi" w:hAnsiTheme="majorBidi" w:cstheme="majorBidi"/>
          <w:b/>
          <w:bCs/>
          <w:sz w:val="24"/>
          <w:szCs w:val="24"/>
        </w:rPr>
        <w:t xml:space="preserve">III.5.2. </w:t>
      </w:r>
      <w:r w:rsidR="007F3A09" w:rsidRPr="00A913DC">
        <w:rPr>
          <w:rFonts w:asciiTheme="majorBidi" w:hAnsiTheme="majorBidi" w:cstheme="majorBidi"/>
          <w:b/>
          <w:bCs/>
          <w:sz w:val="24"/>
          <w:szCs w:val="24"/>
        </w:rPr>
        <w:t>Voie classique ou canonique d'activation de NF-</w:t>
      </w:r>
      <w:r w:rsidR="007F3A09" w:rsidRPr="00A913DC">
        <w:rPr>
          <w:rFonts w:asciiTheme="majorBidi" w:hAnsiTheme="majorBidi" w:cstheme="majorBidi"/>
          <w:sz w:val="24"/>
          <w:szCs w:val="24"/>
        </w:rPr>
        <w:t>κ</w:t>
      </w:r>
      <w:r w:rsidR="007F3A09" w:rsidRPr="00A913DC">
        <w:rPr>
          <w:rFonts w:asciiTheme="majorBidi" w:hAnsiTheme="majorBidi" w:cstheme="majorBidi"/>
          <w:b/>
          <w:bCs/>
          <w:sz w:val="24"/>
          <w:szCs w:val="24"/>
        </w:rPr>
        <w:t>B</w:t>
      </w:r>
    </w:p>
    <w:p w:rsidR="007F3A09" w:rsidRPr="0059019D" w:rsidRDefault="007F3A09" w:rsidP="0059019D">
      <w:pPr>
        <w:autoSpaceDE w:val="0"/>
        <w:autoSpaceDN w:val="0"/>
        <w:adjustRightInd w:val="0"/>
        <w:spacing w:before="100" w:beforeAutospacing="1" w:after="100" w:afterAutospacing="1" w:line="360" w:lineRule="auto"/>
        <w:jc w:val="both"/>
        <w:rPr>
          <w:rFonts w:asciiTheme="majorBidi" w:hAnsiTheme="majorBidi" w:cstheme="majorBidi"/>
          <w:color w:val="231F20"/>
          <w:sz w:val="24"/>
          <w:szCs w:val="24"/>
        </w:rPr>
      </w:pPr>
      <w:r w:rsidRPr="00A913DC">
        <w:rPr>
          <w:rFonts w:asciiTheme="majorBidi" w:hAnsiTheme="majorBidi" w:cstheme="majorBidi"/>
          <w:color w:val="231F20"/>
          <w:sz w:val="24"/>
          <w:szCs w:val="24"/>
        </w:rPr>
        <w:t xml:space="preserve">La voie classique ou canonique est activée par de nombreux stimuli comme les cytokines inflammatoires, les produits bactériens ou viraux, le stress, les radicaux libres dérivés de </w:t>
      </w:r>
      <w:r w:rsidRPr="00A913DC">
        <w:rPr>
          <w:rFonts w:asciiTheme="majorBidi" w:hAnsiTheme="majorBidi" w:cstheme="majorBidi"/>
          <w:color w:val="231F20"/>
          <w:sz w:val="24"/>
          <w:szCs w:val="24"/>
        </w:rPr>
        <w:lastRenderedPageBreak/>
        <w:t>l’oxygène, les ultraviolets et les rayonnements ionisants, ect…Ces signaux induisent la dégradation de IκBα et l’accumulation nucléaire, essentiellement, du dimère RelA-p50 qui régule l’expression de gènes impliqués dans la réponse immunitaire et la mort cellulaire.</w:t>
      </w:r>
    </w:p>
    <w:p w:rsidR="007F3A09" w:rsidRPr="0059019D" w:rsidRDefault="00386AB5" w:rsidP="0059019D">
      <w:pPr>
        <w:autoSpaceDE w:val="0"/>
        <w:autoSpaceDN w:val="0"/>
        <w:adjustRightInd w:val="0"/>
        <w:spacing w:before="100" w:beforeAutospacing="1" w:after="100" w:afterAutospacing="1" w:line="360" w:lineRule="auto"/>
        <w:rPr>
          <w:rFonts w:asciiTheme="majorBidi" w:hAnsiTheme="majorBidi" w:cstheme="majorBidi"/>
          <w:b/>
          <w:bCs/>
          <w:sz w:val="24"/>
          <w:szCs w:val="24"/>
        </w:rPr>
      </w:pPr>
      <w:r w:rsidRPr="00A913DC">
        <w:rPr>
          <w:rFonts w:asciiTheme="majorBidi" w:hAnsiTheme="majorBidi" w:cstheme="majorBidi"/>
          <w:b/>
          <w:bCs/>
          <w:sz w:val="24"/>
          <w:szCs w:val="24"/>
        </w:rPr>
        <w:t xml:space="preserve">III.5.3. </w:t>
      </w:r>
      <w:r w:rsidR="007F3A09" w:rsidRPr="00A913DC">
        <w:rPr>
          <w:rFonts w:asciiTheme="majorBidi" w:hAnsiTheme="majorBidi" w:cstheme="majorBidi"/>
          <w:b/>
          <w:bCs/>
          <w:sz w:val="24"/>
          <w:szCs w:val="24"/>
        </w:rPr>
        <w:t>Voie non classique ou alternative  (non canonique) d'activation de NF-</w:t>
      </w:r>
      <w:r w:rsidR="007F3A09" w:rsidRPr="00A913DC">
        <w:rPr>
          <w:rFonts w:asciiTheme="majorBidi" w:hAnsiTheme="majorBidi" w:cstheme="majorBidi"/>
          <w:sz w:val="24"/>
          <w:szCs w:val="24"/>
        </w:rPr>
        <w:t>κ</w:t>
      </w:r>
      <w:r w:rsidR="007F3A09" w:rsidRPr="00A913DC">
        <w:rPr>
          <w:rFonts w:asciiTheme="majorBidi" w:hAnsiTheme="majorBidi" w:cstheme="majorBidi"/>
          <w:b/>
          <w:bCs/>
          <w:sz w:val="24"/>
          <w:szCs w:val="24"/>
        </w:rPr>
        <w:t>B</w:t>
      </w:r>
    </w:p>
    <w:p w:rsidR="001909F2" w:rsidRPr="0059019D" w:rsidRDefault="007F3A09" w:rsidP="0059019D">
      <w:pPr>
        <w:autoSpaceDE w:val="0"/>
        <w:autoSpaceDN w:val="0"/>
        <w:adjustRightInd w:val="0"/>
        <w:spacing w:before="100" w:beforeAutospacing="1" w:after="100" w:afterAutospacing="1" w:line="360" w:lineRule="auto"/>
        <w:jc w:val="both"/>
        <w:rPr>
          <w:rFonts w:asciiTheme="majorBidi" w:hAnsiTheme="majorBidi" w:cstheme="majorBidi"/>
          <w:color w:val="231F20"/>
          <w:sz w:val="24"/>
          <w:szCs w:val="24"/>
        </w:rPr>
      </w:pPr>
      <w:r w:rsidRPr="00A913DC">
        <w:rPr>
          <w:rFonts w:asciiTheme="majorBidi" w:hAnsiTheme="majorBidi" w:cstheme="majorBidi"/>
          <w:color w:val="231F20"/>
          <w:sz w:val="24"/>
          <w:szCs w:val="24"/>
        </w:rPr>
        <w:t xml:space="preserve">Est activée par des récepteurs impliqués dans l’organogenèse des tissues lymphoïdes et le développement des lymphocytes comme le récepteur à la lymphotoxine-β‚ ou encore le récepteur au facteur activateur des lymphocytes B (BAFF </w:t>
      </w:r>
      <w:r w:rsidRPr="00A913DC">
        <w:rPr>
          <w:rFonts w:asciiTheme="majorBidi" w:hAnsiTheme="majorBidi" w:cstheme="majorBidi"/>
          <w:i/>
          <w:iCs/>
          <w:color w:val="231F20"/>
          <w:sz w:val="24"/>
          <w:szCs w:val="24"/>
        </w:rPr>
        <w:t>ou B cell-activating factor</w:t>
      </w:r>
      <w:r w:rsidRPr="00A913DC">
        <w:rPr>
          <w:rFonts w:asciiTheme="majorBidi" w:hAnsiTheme="majorBidi" w:cstheme="majorBidi"/>
          <w:color w:val="231F20"/>
          <w:sz w:val="24"/>
          <w:szCs w:val="24"/>
        </w:rPr>
        <w:t>)</w:t>
      </w:r>
    </w:p>
    <w:p w:rsidR="009C6984" w:rsidRPr="0059019D" w:rsidRDefault="00386AB5" w:rsidP="0059019D">
      <w:pPr>
        <w:autoSpaceDE w:val="0"/>
        <w:autoSpaceDN w:val="0"/>
        <w:adjustRightInd w:val="0"/>
        <w:spacing w:before="100" w:beforeAutospacing="1" w:after="100" w:afterAutospacing="1" w:line="360" w:lineRule="auto"/>
        <w:rPr>
          <w:rFonts w:asciiTheme="majorBidi" w:hAnsiTheme="majorBidi" w:cstheme="majorBidi"/>
          <w:b/>
          <w:bCs/>
          <w:sz w:val="24"/>
          <w:szCs w:val="24"/>
        </w:rPr>
      </w:pPr>
      <w:r w:rsidRPr="00A913DC">
        <w:rPr>
          <w:rFonts w:asciiTheme="majorBidi" w:hAnsiTheme="majorBidi" w:cstheme="majorBidi"/>
          <w:b/>
          <w:bCs/>
          <w:sz w:val="24"/>
          <w:szCs w:val="24"/>
        </w:rPr>
        <w:t>III. 6.</w:t>
      </w:r>
      <w:r w:rsidR="009C6984" w:rsidRPr="00A913DC">
        <w:rPr>
          <w:rFonts w:asciiTheme="majorBidi" w:hAnsiTheme="majorBidi" w:cstheme="majorBidi"/>
          <w:b/>
          <w:bCs/>
          <w:sz w:val="24"/>
          <w:szCs w:val="24"/>
        </w:rPr>
        <w:t>La voie des MAP kinases (MAPK)</w:t>
      </w:r>
    </w:p>
    <w:p w:rsidR="009C6984" w:rsidRPr="0059019D" w:rsidRDefault="009C6984" w:rsidP="0059019D">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sidRPr="00A913DC">
        <w:rPr>
          <w:rFonts w:asciiTheme="majorBidi" w:hAnsiTheme="majorBidi" w:cstheme="majorBidi"/>
          <w:sz w:val="24"/>
          <w:szCs w:val="24"/>
        </w:rPr>
        <w:t xml:space="preserve">        La voie des MAP kinases (« mitogen activated protein kinases ») constitue l'une des voies principales de transmission des signaux de prolifération apportés par les facteurs de croissance tels le NGF (“nerve growth factor”). </w:t>
      </w:r>
    </w:p>
    <w:p w:rsidR="009C6984" w:rsidRPr="00A913DC" w:rsidRDefault="009C6984" w:rsidP="0059019D">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A913DC">
        <w:rPr>
          <w:rFonts w:ascii="Times New Roman" w:hAnsi="Times New Roman" w:cs="Times New Roman"/>
          <w:sz w:val="24"/>
          <w:szCs w:val="24"/>
        </w:rPr>
        <w:t>Les MAP (Mitogen-Activated Protein) kinases font partie de la superfamille des protéines kinases. Ce sont des protéines ubiquitaires et d’importants médiateurs impliqués dans la transduction des signaux extracellulaires de la membrane plasmique au noyau</w:t>
      </w:r>
      <w:r w:rsidRPr="00A913DC">
        <w:rPr>
          <w:rFonts w:ascii="Times New Roman" w:hAnsi="Times New Roman" w:cs="Times New Roman"/>
          <w:b/>
          <w:bCs/>
          <w:sz w:val="24"/>
          <w:szCs w:val="24"/>
        </w:rPr>
        <w:t>.</w:t>
      </w:r>
    </w:p>
    <w:p w:rsidR="009C6984" w:rsidRPr="00A913DC" w:rsidRDefault="009C6984" w:rsidP="0059019D">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 xml:space="preserve"> Les MAP kinases sont des protéines qui possèdent une activité kinasique qui phosphoryle des sérine/thréonines en réponse à des stimuli extracellulaires tels que des mitogènes et qui ainsi régulent des activités cellulaires variées telles que l’expression génique, la mitose, la différenciation, la prolifération et la survie cellulaires et son corollaire, l’apoptose ou mort cellulaire programmée </w:t>
      </w:r>
    </w:p>
    <w:p w:rsidR="009C6984" w:rsidRPr="0059019D" w:rsidRDefault="009C6984" w:rsidP="0059019D">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A913DC">
        <w:rPr>
          <w:rFonts w:ascii="Times New Roman" w:hAnsi="Times New Roman" w:cs="Times New Roman"/>
          <w:sz w:val="24"/>
          <w:szCs w:val="24"/>
        </w:rPr>
        <w:t xml:space="preserve">          Les MAP kinases sont activées par divers types de signaux, parmi lesquels des mitogènes, des cytokines, les antigènes des lymphocytes T, des phéromones, des esters de phorbol ou encore les UV (A, B, C), des radiations ionisantes, un stress osmotique, un choc thermique, un stress oxydant ; elles initient une variété de réponses cellulaires</w:t>
      </w:r>
      <w:r w:rsidRPr="00A913DC">
        <w:rPr>
          <w:rFonts w:ascii="Times New Roman" w:hAnsi="Times New Roman" w:cs="Times New Roman"/>
          <w:b/>
          <w:bCs/>
          <w:sz w:val="24"/>
          <w:szCs w:val="24"/>
        </w:rPr>
        <w:t>.</w:t>
      </w:r>
    </w:p>
    <w:p w:rsidR="009C6984" w:rsidRPr="0059019D" w:rsidRDefault="009C6984" w:rsidP="0059019D">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sidRPr="00A913DC">
        <w:rPr>
          <w:rFonts w:asciiTheme="majorBidi" w:hAnsiTheme="majorBidi" w:cstheme="majorBidi"/>
          <w:sz w:val="24"/>
          <w:szCs w:val="24"/>
        </w:rPr>
        <w:t xml:space="preserve">       La voie des MAPKs peut être activée par une grande variété de stimuli externes ou internes mais le schéma classique d’activation de cette voie fait intervenir la fixation d’un ligand à son récepteur membranaire. Cette fixation induit une modification de la conformation du récepteur qui conduit à la phosphorylation du récepteur lui-même ou de protéines qui lui </w:t>
      </w:r>
      <w:r w:rsidRPr="00A913DC">
        <w:rPr>
          <w:rFonts w:asciiTheme="majorBidi" w:hAnsiTheme="majorBidi" w:cstheme="majorBidi"/>
          <w:sz w:val="24"/>
          <w:szCs w:val="24"/>
        </w:rPr>
        <w:lastRenderedPageBreak/>
        <w:t>sont associées. Ceci conduit généralement à l’activation directe ou indirecte de protéines de la famille des protéines G, qui sont couplées au récepteur ou bien sous forme libre comme la protéine Ras</w:t>
      </w:r>
      <w:r w:rsidRPr="00A913DC">
        <w:rPr>
          <w:rFonts w:asciiTheme="majorBidi" w:hAnsiTheme="majorBidi" w:cstheme="majorBidi"/>
          <w:b/>
          <w:bCs/>
          <w:sz w:val="24"/>
          <w:szCs w:val="24"/>
        </w:rPr>
        <w:t>.</w:t>
      </w:r>
    </w:p>
    <w:p w:rsidR="009C6984" w:rsidRPr="0059019D" w:rsidRDefault="009C6984" w:rsidP="0059019D">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A913DC">
        <w:rPr>
          <w:rFonts w:ascii="Times New Roman" w:hAnsi="Times New Roman" w:cs="Times New Roman"/>
          <w:sz w:val="24"/>
          <w:szCs w:val="24"/>
        </w:rPr>
        <w:t xml:space="preserve">        Une caractéristique de toutes les MAP kinases est leur activation par </w:t>
      </w:r>
      <w:r w:rsidRPr="00A913DC">
        <w:rPr>
          <w:rFonts w:ascii="Times New Roman" w:hAnsi="Times New Roman" w:cs="Times New Roman"/>
          <w:b/>
          <w:bCs/>
          <w:sz w:val="24"/>
          <w:szCs w:val="24"/>
        </w:rPr>
        <w:t xml:space="preserve">double phosphorylation </w:t>
      </w:r>
      <w:r w:rsidRPr="00A913DC">
        <w:rPr>
          <w:rFonts w:ascii="Times New Roman" w:hAnsi="Times New Roman" w:cs="Times New Roman"/>
          <w:sz w:val="24"/>
          <w:szCs w:val="24"/>
        </w:rPr>
        <w:t xml:space="preserve">au niveau des résidus Tyrosine et Thréonine présents dans un </w:t>
      </w:r>
      <w:r w:rsidRPr="00A913DC">
        <w:rPr>
          <w:rFonts w:ascii="Times New Roman" w:hAnsi="Times New Roman" w:cs="Times New Roman"/>
          <w:b/>
          <w:bCs/>
          <w:sz w:val="24"/>
          <w:szCs w:val="24"/>
        </w:rPr>
        <w:t xml:space="preserve">motif consensus Thr-X-Tyr </w:t>
      </w:r>
      <w:r w:rsidRPr="00A913DC">
        <w:rPr>
          <w:rFonts w:ascii="Times New Roman" w:hAnsi="Times New Roman" w:cs="Times New Roman"/>
          <w:sz w:val="24"/>
          <w:szCs w:val="24"/>
        </w:rPr>
        <w:t xml:space="preserve">(X = Glu, Gly ou Pro). Les MAP kinases sont finement régulées par des phosphatases qui, par déphosphorylation d’un seul résidu, les inactivent. En réponse à des stimuli extérieurs, elles régulent l’activité transcriptionnelle de plusieurs facteurs de transcription </w:t>
      </w:r>
      <w:r w:rsidRPr="00A913DC">
        <w:rPr>
          <w:rFonts w:ascii="Times New Roman" w:hAnsi="Times New Roman" w:cs="Times New Roman"/>
          <w:i/>
          <w:iCs/>
          <w:sz w:val="24"/>
          <w:szCs w:val="24"/>
        </w:rPr>
        <w:t xml:space="preserve">via </w:t>
      </w:r>
      <w:r w:rsidRPr="00A913DC">
        <w:rPr>
          <w:rFonts w:ascii="Times New Roman" w:hAnsi="Times New Roman" w:cs="Times New Roman"/>
          <w:sz w:val="24"/>
          <w:szCs w:val="24"/>
        </w:rPr>
        <w:t>des phosphorylations sur des sites régulateurs activateurs ou inhibiteurs, et permettent ainsi l’expression d’une grande variété de gènes</w:t>
      </w:r>
      <w:r w:rsidRPr="00A913DC">
        <w:rPr>
          <w:rFonts w:ascii="Times New Roman" w:hAnsi="Times New Roman" w:cs="Times New Roman"/>
          <w:b/>
          <w:bCs/>
          <w:sz w:val="24"/>
          <w:szCs w:val="24"/>
        </w:rPr>
        <w:t>.</w:t>
      </w:r>
    </w:p>
    <w:p w:rsidR="009C6984" w:rsidRPr="00A913DC" w:rsidRDefault="009C6984" w:rsidP="007F2C1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 xml:space="preserve">      L’activation du récepteur et des protéines associées se situe en amont de la cascade des MAPKs qui est constituée de trois kinases : une MAPK kinase kinase (MAP3K) activée par des stimuli extracellulaires, qui phosphoryle et active une MAPK kinase (MAP2K ou MKK) sur ses résidus sérine et thréonine, qui à son tour, active la MAPK kinase par le biais de la phosphorylation de ses résidus sérine et thréonine. Cette dernière, transloquée dans le noyau cellulaire, phosphoryle alors les facteurs de transcription qui activent la transcription de l'ensemble des gènes responsables de la réplication de l 'ADN et de la mise en route du cycle </w:t>
      </w:r>
    </w:p>
    <w:p w:rsidR="009C6984" w:rsidRPr="0059019D" w:rsidRDefault="009C6984" w:rsidP="0059019D">
      <w:pPr>
        <w:autoSpaceDE w:val="0"/>
        <w:autoSpaceDN w:val="0"/>
        <w:adjustRightInd w:val="0"/>
        <w:spacing w:before="100" w:beforeAutospacing="1" w:after="100" w:afterAutospacing="1" w:line="360" w:lineRule="auto"/>
        <w:jc w:val="both"/>
        <w:rPr>
          <w:rFonts w:ascii="Minion-Regular" w:hAnsi="Minion-Regular" w:cs="Minion-Regular"/>
          <w:color w:val="231F20"/>
          <w:sz w:val="24"/>
          <w:szCs w:val="24"/>
        </w:rPr>
      </w:pPr>
      <w:r w:rsidRPr="00A913DC">
        <w:rPr>
          <w:rFonts w:asciiTheme="majorBidi" w:hAnsiTheme="majorBidi" w:cstheme="majorBidi"/>
          <w:sz w:val="24"/>
          <w:szCs w:val="24"/>
        </w:rPr>
        <w:t xml:space="preserve">cellulaire (ADN polymérases, cyclines, </w:t>
      </w:r>
      <w:r w:rsidR="0059019D">
        <w:rPr>
          <w:rFonts w:asciiTheme="majorBidi" w:hAnsiTheme="majorBidi" w:cstheme="majorBidi"/>
          <w:sz w:val="24"/>
          <w:szCs w:val="24"/>
        </w:rPr>
        <w:t>etc</w:t>
      </w:r>
      <w:r w:rsidRPr="00A913DC">
        <w:rPr>
          <w:rFonts w:asciiTheme="majorBidi" w:hAnsiTheme="majorBidi" w:cstheme="majorBidi"/>
          <w:sz w:val="24"/>
          <w:szCs w:val="24"/>
        </w:rPr>
        <w:t xml:space="preserve">).  </w:t>
      </w:r>
    </w:p>
    <w:p w:rsidR="009C6984" w:rsidRPr="00A913DC" w:rsidRDefault="009C6984" w:rsidP="0059019D">
      <w:pPr>
        <w:autoSpaceDE w:val="0"/>
        <w:autoSpaceDN w:val="0"/>
        <w:adjustRightInd w:val="0"/>
        <w:spacing w:before="100" w:beforeAutospacing="1" w:after="100" w:afterAutospacing="1" w:line="360" w:lineRule="auto"/>
        <w:jc w:val="both"/>
        <w:rPr>
          <w:rFonts w:ascii="Minion-Regular" w:hAnsi="Minion-Regular" w:cs="Minion-Regular"/>
          <w:color w:val="231F20"/>
          <w:sz w:val="24"/>
          <w:szCs w:val="24"/>
        </w:rPr>
      </w:pPr>
      <w:r w:rsidRPr="00A913DC">
        <w:rPr>
          <w:rFonts w:asciiTheme="majorBidi" w:hAnsiTheme="majorBidi" w:cstheme="majorBidi"/>
          <w:sz w:val="24"/>
          <w:szCs w:val="24"/>
        </w:rPr>
        <w:t xml:space="preserve">      Les MAPKs se divisent en trois sous-familles  </w:t>
      </w:r>
      <w:r w:rsidRPr="00A913DC">
        <w:rPr>
          <w:rFonts w:asciiTheme="majorBidi" w:hAnsiTheme="majorBidi" w:cstheme="majorBidi"/>
          <w:color w:val="231F20"/>
          <w:sz w:val="24"/>
          <w:szCs w:val="24"/>
        </w:rPr>
        <w:t>définies par les derniers éléments de la cascade qui comportent tous plusieurs isoformes, sont les voies des kinases ERK1 et ERK2 (</w:t>
      </w:r>
      <w:r w:rsidRPr="00A913DC">
        <w:rPr>
          <w:rFonts w:asciiTheme="majorBidi" w:hAnsiTheme="majorBidi" w:cstheme="majorBidi"/>
          <w:i/>
          <w:iCs/>
          <w:color w:val="231F20"/>
          <w:sz w:val="24"/>
          <w:szCs w:val="24"/>
        </w:rPr>
        <w:t>extracellular signal-regulated kinases</w:t>
      </w:r>
      <w:r w:rsidRPr="00A913DC">
        <w:rPr>
          <w:rFonts w:asciiTheme="majorBidi" w:hAnsiTheme="majorBidi" w:cstheme="majorBidi"/>
          <w:color w:val="231F20"/>
          <w:sz w:val="24"/>
          <w:szCs w:val="24"/>
        </w:rPr>
        <w:t xml:space="preserve">), de p38 MAP kinases (avec 4 isoformes dénommés α, β, γ et δ) et de </w:t>
      </w:r>
      <w:r w:rsidRPr="00A913DC">
        <w:rPr>
          <w:rFonts w:asciiTheme="majorBidi" w:hAnsiTheme="majorBidi" w:cstheme="majorBidi"/>
          <w:i/>
          <w:iCs/>
          <w:color w:val="231F20"/>
          <w:sz w:val="24"/>
          <w:szCs w:val="24"/>
        </w:rPr>
        <w:t xml:space="preserve">C-Jun N-terminal kinases </w:t>
      </w:r>
      <w:r w:rsidRPr="00A913DC">
        <w:rPr>
          <w:rFonts w:asciiTheme="majorBidi" w:hAnsiTheme="majorBidi" w:cstheme="majorBidi"/>
          <w:color w:val="231F20"/>
          <w:sz w:val="24"/>
          <w:szCs w:val="24"/>
        </w:rPr>
        <w:t>(JNK1, JNK2 et JNK3).</w:t>
      </w:r>
    </w:p>
    <w:p w:rsidR="0059019D" w:rsidRDefault="006E1D60" w:rsidP="00982E70">
      <w:pPr>
        <w:autoSpaceDE w:val="0"/>
        <w:autoSpaceDN w:val="0"/>
        <w:adjustRightInd w:val="0"/>
        <w:spacing w:before="100" w:beforeAutospacing="1" w:after="100" w:afterAutospacing="1" w:line="360" w:lineRule="auto"/>
        <w:jc w:val="both"/>
        <w:rPr>
          <w:rFonts w:asciiTheme="majorBidi" w:hAnsiTheme="majorBidi" w:cstheme="majorBidi"/>
          <w:color w:val="231F20"/>
          <w:sz w:val="24"/>
          <w:szCs w:val="24"/>
        </w:rPr>
      </w:pPr>
      <w:r w:rsidRPr="00A913DC">
        <w:rPr>
          <w:rFonts w:asciiTheme="majorBidi" w:hAnsiTheme="majorBidi" w:cstheme="majorBidi"/>
          <w:color w:val="231F20"/>
          <w:sz w:val="24"/>
          <w:szCs w:val="24"/>
        </w:rPr>
        <w:t>Les MAP kinases ont une expression ubiquitaire et sont impliquées dans de nombreux processus biologiques. ERK1 et ERK2 régulent habituellement la prolifération, la survie et la différenciation cellulaires. Les MAP kinases p38 et c-JUN sont impliquées dans la réponse inflammatoire, la mort cellulaire, le remodelage de la matrice extracellulaire, …etc.</w:t>
      </w:r>
    </w:p>
    <w:p w:rsidR="005D317F" w:rsidRDefault="005D317F" w:rsidP="00982E70">
      <w:pPr>
        <w:autoSpaceDE w:val="0"/>
        <w:autoSpaceDN w:val="0"/>
        <w:adjustRightInd w:val="0"/>
        <w:spacing w:before="100" w:beforeAutospacing="1" w:after="100" w:afterAutospacing="1" w:line="360" w:lineRule="auto"/>
        <w:jc w:val="both"/>
        <w:rPr>
          <w:rFonts w:asciiTheme="majorBidi" w:hAnsiTheme="majorBidi" w:cstheme="majorBidi"/>
          <w:color w:val="231F20"/>
          <w:sz w:val="24"/>
          <w:szCs w:val="24"/>
        </w:rPr>
      </w:pPr>
    </w:p>
    <w:p w:rsidR="005D317F" w:rsidRPr="0059019D" w:rsidRDefault="005D317F" w:rsidP="00982E70">
      <w:pPr>
        <w:autoSpaceDE w:val="0"/>
        <w:autoSpaceDN w:val="0"/>
        <w:adjustRightInd w:val="0"/>
        <w:spacing w:before="100" w:beforeAutospacing="1" w:after="100" w:afterAutospacing="1" w:line="360" w:lineRule="auto"/>
        <w:jc w:val="both"/>
        <w:rPr>
          <w:rFonts w:asciiTheme="majorBidi" w:hAnsiTheme="majorBidi" w:cstheme="majorBidi"/>
          <w:color w:val="231F20"/>
          <w:sz w:val="24"/>
          <w:szCs w:val="24"/>
        </w:rPr>
      </w:pPr>
    </w:p>
    <w:p w:rsidR="009C6984" w:rsidRPr="0059019D" w:rsidRDefault="00386AB5" w:rsidP="0059019D">
      <w:pPr>
        <w:autoSpaceDE w:val="0"/>
        <w:autoSpaceDN w:val="0"/>
        <w:adjustRightInd w:val="0"/>
        <w:spacing w:before="100" w:beforeAutospacing="1" w:after="100" w:afterAutospacing="1" w:line="360" w:lineRule="auto"/>
        <w:rPr>
          <w:rFonts w:asciiTheme="majorBidi" w:hAnsiTheme="majorBidi" w:cstheme="majorBidi"/>
          <w:b/>
          <w:bCs/>
          <w:sz w:val="24"/>
          <w:szCs w:val="24"/>
        </w:rPr>
      </w:pPr>
      <w:r w:rsidRPr="00A913DC">
        <w:rPr>
          <w:rFonts w:asciiTheme="majorBidi" w:hAnsiTheme="majorBidi" w:cstheme="majorBidi"/>
          <w:b/>
          <w:bCs/>
          <w:sz w:val="24"/>
          <w:szCs w:val="24"/>
        </w:rPr>
        <w:t xml:space="preserve">III.6.1. </w:t>
      </w:r>
      <w:r w:rsidR="00756DF5" w:rsidRPr="00A913DC">
        <w:rPr>
          <w:rFonts w:asciiTheme="majorBidi" w:hAnsiTheme="majorBidi" w:cstheme="majorBidi"/>
          <w:b/>
          <w:bCs/>
          <w:sz w:val="24"/>
          <w:szCs w:val="24"/>
        </w:rPr>
        <w:t>La voie Ras/MAPK</w:t>
      </w:r>
      <w:r w:rsidR="009C6984" w:rsidRPr="00A913DC">
        <w:rPr>
          <w:rFonts w:asciiTheme="majorBidi" w:hAnsiTheme="majorBidi" w:cstheme="majorBidi"/>
          <w:b/>
          <w:bCs/>
          <w:sz w:val="24"/>
          <w:szCs w:val="24"/>
        </w:rPr>
        <w:t xml:space="preserve"> ou voie ERK1/2</w:t>
      </w:r>
    </w:p>
    <w:p w:rsidR="00386AB5" w:rsidRPr="0059019D" w:rsidRDefault="007B29E8" w:rsidP="0059019D">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Avant de développer l</w:t>
      </w:r>
      <w:r w:rsidR="006E1D60" w:rsidRPr="00A913DC">
        <w:rPr>
          <w:rFonts w:asciiTheme="majorBidi" w:hAnsiTheme="majorBidi" w:cstheme="majorBidi"/>
          <w:sz w:val="24"/>
          <w:szCs w:val="24"/>
        </w:rPr>
        <w:t>a voie de signalisation R</w:t>
      </w:r>
      <w:r w:rsidRPr="00A913DC">
        <w:rPr>
          <w:rFonts w:asciiTheme="majorBidi" w:hAnsiTheme="majorBidi" w:cstheme="majorBidi"/>
          <w:sz w:val="24"/>
          <w:szCs w:val="24"/>
        </w:rPr>
        <w:t>as/MAPK</w:t>
      </w:r>
      <w:r w:rsidR="006E1D60" w:rsidRPr="00A913DC">
        <w:rPr>
          <w:rFonts w:asciiTheme="majorBidi" w:hAnsiTheme="majorBidi" w:cstheme="majorBidi"/>
          <w:sz w:val="24"/>
          <w:szCs w:val="24"/>
        </w:rPr>
        <w:t>, nous nous intéresserons tout d’abord, à la protéine Ras qui est le principal acteur dans l’activation de cette</w:t>
      </w:r>
      <w:r w:rsidR="00756DF5" w:rsidRPr="00A913DC">
        <w:rPr>
          <w:rFonts w:asciiTheme="majorBidi" w:hAnsiTheme="majorBidi" w:cstheme="majorBidi"/>
          <w:sz w:val="24"/>
          <w:szCs w:val="24"/>
        </w:rPr>
        <w:t xml:space="preserve"> voie, puis ensuite, nous nous intéresserons </w:t>
      </w:r>
      <w:r w:rsidRPr="00A913DC">
        <w:rPr>
          <w:rFonts w:asciiTheme="majorBidi" w:hAnsiTheme="majorBidi" w:cstheme="majorBidi"/>
          <w:sz w:val="24"/>
          <w:szCs w:val="24"/>
        </w:rPr>
        <w:t>aux autres voies</w:t>
      </w:r>
      <w:r w:rsidR="00756DF5" w:rsidRPr="00A913DC">
        <w:rPr>
          <w:rFonts w:asciiTheme="majorBidi" w:hAnsiTheme="majorBidi" w:cstheme="majorBidi"/>
          <w:sz w:val="24"/>
          <w:szCs w:val="24"/>
        </w:rPr>
        <w:t xml:space="preserve"> de signalisation.</w:t>
      </w:r>
    </w:p>
    <w:p w:rsidR="00386AB5" w:rsidRPr="00A913DC" w:rsidRDefault="00386AB5" w:rsidP="0059019D">
      <w:pPr>
        <w:pStyle w:val="Default"/>
        <w:spacing w:before="100" w:beforeAutospacing="1" w:after="100" w:afterAutospacing="1" w:line="360" w:lineRule="auto"/>
        <w:jc w:val="both"/>
        <w:rPr>
          <w:b/>
          <w:bCs/>
        </w:rPr>
      </w:pPr>
      <w:r w:rsidRPr="00A913DC">
        <w:rPr>
          <w:rFonts w:asciiTheme="majorBidi" w:hAnsiTheme="majorBidi" w:cstheme="majorBidi"/>
          <w:b/>
          <w:bCs/>
          <w:color w:val="auto"/>
        </w:rPr>
        <w:t>III.6.1.1.</w:t>
      </w:r>
      <w:r w:rsidR="00756DF5" w:rsidRPr="00A913DC">
        <w:rPr>
          <w:b/>
          <w:bCs/>
        </w:rPr>
        <w:t xml:space="preserve">Présentation de la famille Ras </w:t>
      </w:r>
    </w:p>
    <w:p w:rsidR="00756DF5" w:rsidRPr="00A913DC" w:rsidRDefault="00756DF5" w:rsidP="0059019D">
      <w:pPr>
        <w:pStyle w:val="Default"/>
        <w:spacing w:before="100" w:beforeAutospacing="1" w:after="100" w:afterAutospacing="1" w:line="360" w:lineRule="auto"/>
        <w:ind w:firstLine="440"/>
        <w:jc w:val="both"/>
      </w:pPr>
      <w:r w:rsidRPr="00A913DC">
        <w:t xml:space="preserve">La superfamille des protéines Ras est une famille de petites GTPase (Guanosine triphosphate hydrolase) comprenant une vingtaine de membres répartis en plusieurs sous- familles. Ce sont des petites protéines monomériques capables de lier du GDP ou du GTP, qui ont été très conservées au cours de l'évolution. Chez l’homme, environ 150 de ces petites protéines de signalisation sont exprimées et servent à réguler la croissance, la mobilité cellulaire, la morphogenèse et le trafic membranaire. Cette superfamille comprend 5 sous-groupes: Ras, Rho, Ran, Rab et Arf qui sont associées à des fonctions spécifiques. </w:t>
      </w:r>
    </w:p>
    <w:p w:rsidR="00C15A17" w:rsidRPr="00A913DC" w:rsidRDefault="00756DF5" w:rsidP="007F2C15">
      <w:pPr>
        <w:pStyle w:val="Paragraphedeliste"/>
        <w:numPr>
          <w:ilvl w:val="0"/>
          <w:numId w:val="5"/>
        </w:numPr>
        <w:autoSpaceDE w:val="0"/>
        <w:autoSpaceDN w:val="0"/>
        <w:adjustRightInd w:val="0"/>
        <w:spacing w:before="100" w:beforeAutospacing="1" w:after="100" w:afterAutospacing="1" w:line="360" w:lineRule="auto"/>
        <w:rPr>
          <w:rFonts w:asciiTheme="majorBidi" w:hAnsiTheme="majorBidi" w:cstheme="majorBidi"/>
          <w:b/>
          <w:bCs/>
          <w:sz w:val="24"/>
          <w:szCs w:val="24"/>
        </w:rPr>
      </w:pPr>
      <w:r w:rsidRPr="00A913DC">
        <w:rPr>
          <w:rFonts w:asciiTheme="majorBidi" w:hAnsiTheme="majorBidi" w:cstheme="majorBidi"/>
          <w:b/>
          <w:bCs/>
          <w:sz w:val="24"/>
          <w:szCs w:val="24"/>
        </w:rPr>
        <w:t xml:space="preserve">La famille Ras: </w:t>
      </w:r>
    </w:p>
    <w:p w:rsidR="00704BCB" w:rsidRPr="00A913DC" w:rsidRDefault="00756DF5" w:rsidP="0059019D">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La famille Ras (Ras sarcoma) est composée de 36 membres. Ras activé interagit avec de nombreux effecteurs qui régulent des voies de signalisation, qui contrôlent l’expression du gène et la régulation de la prolifération cellulaire, ainsi que la différenciation et la survie. La voie des MAPK demeure la voie de signalisation passant par Ras la mieux identifiée</w:t>
      </w:r>
      <w:r w:rsidR="00C15A17" w:rsidRPr="00A913DC">
        <w:rPr>
          <w:rFonts w:asciiTheme="majorBidi" w:hAnsiTheme="majorBidi" w:cstheme="majorBidi"/>
          <w:sz w:val="24"/>
          <w:szCs w:val="24"/>
        </w:rPr>
        <w:t>.</w:t>
      </w:r>
    </w:p>
    <w:p w:rsidR="00C15A17" w:rsidRPr="00A913DC" w:rsidRDefault="00704BCB" w:rsidP="007F2C15">
      <w:pPr>
        <w:pStyle w:val="Default"/>
        <w:numPr>
          <w:ilvl w:val="0"/>
          <w:numId w:val="5"/>
        </w:numPr>
        <w:spacing w:before="100" w:beforeAutospacing="1" w:after="100" w:afterAutospacing="1" w:line="360" w:lineRule="auto"/>
        <w:jc w:val="both"/>
        <w:rPr>
          <w:b/>
          <w:bCs/>
        </w:rPr>
      </w:pPr>
      <w:r w:rsidRPr="00A913DC">
        <w:rPr>
          <w:b/>
          <w:bCs/>
        </w:rPr>
        <w:t xml:space="preserve">La famille des Rho: </w:t>
      </w:r>
    </w:p>
    <w:p w:rsidR="00C15A17" w:rsidRPr="00A913DC" w:rsidRDefault="00704BCB" w:rsidP="0059019D">
      <w:pPr>
        <w:pStyle w:val="Default"/>
        <w:spacing w:before="100" w:beforeAutospacing="1" w:after="100" w:afterAutospacing="1" w:line="360" w:lineRule="auto"/>
        <w:jc w:val="both"/>
        <w:rPr>
          <w:rFonts w:ascii="Arial" w:hAnsi="Arial" w:cs="Arial"/>
        </w:rPr>
      </w:pPr>
      <w:r w:rsidRPr="00A913DC">
        <w:t>Les protéines de cette famille régulent l’organisation de l’actine, la progression du cycle cellul</w:t>
      </w:r>
      <w:r w:rsidR="00C15A17" w:rsidRPr="00A913DC">
        <w:t>aire et l’expression de gène</w:t>
      </w:r>
      <w:r w:rsidRPr="00A913DC">
        <w:t xml:space="preserve">. Vingt membres ont été identifiés, dont RhoA, Rac1 et Cdc42 étant les plus étudiés. Certaines de ces protéines sont membranaires et d’autres sont principalement cytoplasmiques. Ainsi, la protéine RhoB est localisée sur les endosomes et la protéine Cdc42 sur le réticulum endoplasmique. Leur localisation peut dépendre de leur interaction avec d’autres protéines comme les GDI (guanine nucleotide dissociation inhibitors) et cette localisation peut être régulée au cours du cycle des GTPases. Bien que les protéines Miro aient été en premier décrites comme des protéines Rho, il est apparu que ces </w:t>
      </w:r>
      <w:r w:rsidRPr="00A913DC">
        <w:lastRenderedPageBreak/>
        <w:t>protéines constituent un groupe à part en</w:t>
      </w:r>
      <w:r w:rsidR="00C15A17" w:rsidRPr="00A913DC">
        <w:t>tière</w:t>
      </w:r>
      <w:r w:rsidRPr="00A913DC">
        <w:t xml:space="preserve">. Les protéines Miro sont localisées au niveau de la mitochondrie </w:t>
      </w:r>
      <w:r w:rsidRPr="00A913DC">
        <w:rPr>
          <w:rFonts w:ascii="Arial" w:hAnsi="Arial" w:cs="Arial"/>
        </w:rPr>
        <w:t xml:space="preserve">. </w:t>
      </w:r>
    </w:p>
    <w:p w:rsidR="00C15A17" w:rsidRPr="00A913DC" w:rsidRDefault="00704BCB" w:rsidP="007F2C15">
      <w:pPr>
        <w:pStyle w:val="Default"/>
        <w:numPr>
          <w:ilvl w:val="0"/>
          <w:numId w:val="5"/>
        </w:numPr>
        <w:spacing w:before="100" w:beforeAutospacing="1" w:after="100" w:afterAutospacing="1" w:line="360" w:lineRule="auto"/>
        <w:jc w:val="both"/>
        <w:rPr>
          <w:b/>
          <w:bCs/>
        </w:rPr>
      </w:pPr>
      <w:r w:rsidRPr="00A913DC">
        <w:rPr>
          <w:b/>
          <w:bCs/>
        </w:rPr>
        <w:t xml:space="preserve">La famille Rab: </w:t>
      </w:r>
    </w:p>
    <w:p w:rsidR="00C15A17" w:rsidRPr="00A913DC" w:rsidRDefault="00704BCB" w:rsidP="0059019D">
      <w:pPr>
        <w:pStyle w:val="Default"/>
        <w:spacing w:before="100" w:beforeAutospacing="1" w:after="100" w:afterAutospacing="1" w:line="360" w:lineRule="auto"/>
        <w:ind w:firstLine="700"/>
        <w:jc w:val="both"/>
      </w:pPr>
      <w:r w:rsidRPr="00A913DC">
        <w:t>Les protéines Rab (Ras-like proteins in brain) comprennent 61 membres. Elles régulent le transport vésic</w:t>
      </w:r>
      <w:r w:rsidR="00C15A17" w:rsidRPr="00A913DC">
        <w:t>ulaire et sécrétoire</w:t>
      </w:r>
      <w:r w:rsidRPr="00A913DC">
        <w:t>. Les protéines Rab vont être localisées dans des compartiments spécifiques selon l</w:t>
      </w:r>
      <w:r w:rsidR="00C15A17" w:rsidRPr="00A913DC">
        <w:t>eurs fonctions</w:t>
      </w:r>
      <w:r w:rsidRPr="00A913DC">
        <w:t xml:space="preserve">. Rab5 est localisée dans les endosomes précoces et régulent le transport médié par des vésicules recouvertes de clathrine. </w:t>
      </w:r>
    </w:p>
    <w:p w:rsidR="00C15A17" w:rsidRPr="00A913DC" w:rsidRDefault="00704BCB" w:rsidP="007F2C15">
      <w:pPr>
        <w:pStyle w:val="Default"/>
        <w:numPr>
          <w:ilvl w:val="0"/>
          <w:numId w:val="5"/>
        </w:numPr>
        <w:spacing w:before="100" w:beforeAutospacing="1" w:after="100" w:afterAutospacing="1" w:line="360" w:lineRule="auto"/>
        <w:jc w:val="both"/>
        <w:rPr>
          <w:b/>
          <w:bCs/>
        </w:rPr>
      </w:pPr>
      <w:r w:rsidRPr="00A913DC">
        <w:rPr>
          <w:b/>
          <w:bCs/>
        </w:rPr>
        <w:t xml:space="preserve">La famille Ran: </w:t>
      </w:r>
    </w:p>
    <w:p w:rsidR="00D977D5" w:rsidRPr="00A913DC" w:rsidRDefault="00704BCB" w:rsidP="0059019D">
      <w:pPr>
        <w:pStyle w:val="Default"/>
        <w:spacing w:before="100" w:beforeAutospacing="1" w:after="100" w:afterAutospacing="1" w:line="360" w:lineRule="auto"/>
        <w:ind w:firstLine="700"/>
        <w:jc w:val="both"/>
      </w:pPr>
      <w:r w:rsidRPr="00A913DC">
        <w:t>Les protéines Ran (Ras-like nuclear) sont les protéines GTPases les plus abondantes dans les cellules et les mieux connues de part leur fonction essentielle dans le transport nucléocytoplasmique des A</w:t>
      </w:r>
      <w:r w:rsidR="00D977D5" w:rsidRPr="00A913DC">
        <w:t>RN et des protéines</w:t>
      </w:r>
      <w:r w:rsidRPr="00A913DC">
        <w:t>. La protéine Ran-GTP nucléaire interagit avec les importines, les exportines ou avec des protéines cargo. Ces protéines interviennent dans la réplication de l’ADN et dans l’assemblage de l’envel</w:t>
      </w:r>
      <w:r w:rsidR="00D977D5" w:rsidRPr="00A913DC">
        <w:t>oppe nucléaire</w:t>
      </w:r>
      <w:r w:rsidRPr="00A913DC">
        <w:t xml:space="preserve">. </w:t>
      </w:r>
    </w:p>
    <w:p w:rsidR="00D977D5" w:rsidRPr="00A913DC" w:rsidRDefault="00704BCB" w:rsidP="007F2C15">
      <w:pPr>
        <w:pStyle w:val="Paragraphedeliste"/>
        <w:numPr>
          <w:ilvl w:val="0"/>
          <w:numId w:val="5"/>
        </w:numPr>
        <w:autoSpaceDE w:val="0"/>
        <w:autoSpaceDN w:val="0"/>
        <w:adjustRightInd w:val="0"/>
        <w:spacing w:before="100" w:beforeAutospacing="1" w:after="100" w:afterAutospacing="1" w:line="360" w:lineRule="auto"/>
        <w:rPr>
          <w:rFonts w:asciiTheme="majorBidi" w:hAnsiTheme="majorBidi" w:cstheme="majorBidi"/>
          <w:b/>
          <w:bCs/>
          <w:sz w:val="24"/>
          <w:szCs w:val="24"/>
        </w:rPr>
      </w:pPr>
      <w:r w:rsidRPr="00A913DC">
        <w:rPr>
          <w:rFonts w:asciiTheme="majorBidi" w:hAnsiTheme="majorBidi" w:cstheme="majorBidi"/>
          <w:b/>
          <w:bCs/>
          <w:sz w:val="24"/>
          <w:szCs w:val="24"/>
        </w:rPr>
        <w:t xml:space="preserve">La famille Arf: </w:t>
      </w:r>
    </w:p>
    <w:p w:rsidR="00756DF5" w:rsidRPr="0059019D" w:rsidRDefault="00704BCB" w:rsidP="0059019D">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 xml:space="preserve">Les protéines de la famille Arf (ADP ribosylation factor) sont impliquées dans la régulation du transport vésiculaire. La protéine Arf1 est la </w:t>
      </w:r>
      <w:r w:rsidR="00D977D5" w:rsidRPr="00A913DC">
        <w:rPr>
          <w:rFonts w:asciiTheme="majorBidi" w:hAnsiTheme="majorBidi" w:cstheme="majorBidi"/>
          <w:sz w:val="24"/>
          <w:szCs w:val="24"/>
        </w:rPr>
        <w:t>mieux caractérisée</w:t>
      </w:r>
      <w:r w:rsidRPr="00A913DC">
        <w:rPr>
          <w:rFonts w:asciiTheme="majorBidi" w:hAnsiTheme="majorBidi" w:cstheme="majorBidi"/>
          <w:sz w:val="24"/>
          <w:szCs w:val="24"/>
        </w:rPr>
        <w:t>.</w:t>
      </w:r>
    </w:p>
    <w:p w:rsidR="00A24C55" w:rsidRPr="0059019D" w:rsidRDefault="00A913DC" w:rsidP="0059019D">
      <w:pPr>
        <w:autoSpaceDE w:val="0"/>
        <w:autoSpaceDN w:val="0"/>
        <w:adjustRightInd w:val="0"/>
        <w:spacing w:before="100" w:beforeAutospacing="1" w:after="100" w:afterAutospacing="1" w:line="360" w:lineRule="auto"/>
        <w:rPr>
          <w:rFonts w:asciiTheme="majorBidi" w:hAnsiTheme="majorBidi" w:cstheme="majorBidi"/>
          <w:b/>
          <w:bCs/>
          <w:sz w:val="24"/>
          <w:szCs w:val="24"/>
        </w:rPr>
      </w:pPr>
      <w:r>
        <w:rPr>
          <w:rFonts w:asciiTheme="majorBidi" w:hAnsiTheme="majorBidi" w:cstheme="majorBidi"/>
          <w:b/>
          <w:bCs/>
          <w:sz w:val="24"/>
          <w:szCs w:val="24"/>
        </w:rPr>
        <w:t xml:space="preserve">III.6.1.2. </w:t>
      </w:r>
      <w:r w:rsidR="00704BCB" w:rsidRPr="00A913DC">
        <w:rPr>
          <w:rFonts w:asciiTheme="majorBidi" w:hAnsiTheme="majorBidi" w:cstheme="majorBidi"/>
          <w:b/>
          <w:bCs/>
          <w:sz w:val="24"/>
          <w:szCs w:val="24"/>
        </w:rPr>
        <w:t>Régulation de l’activation de Ras :</w:t>
      </w:r>
    </w:p>
    <w:p w:rsidR="00A24C55" w:rsidRPr="00982E70" w:rsidRDefault="00704BCB" w:rsidP="00982E70">
      <w:pPr>
        <w:pStyle w:val="Default"/>
        <w:spacing w:before="100" w:beforeAutospacing="1" w:after="100" w:afterAutospacing="1" w:line="360" w:lineRule="auto"/>
        <w:ind w:firstLine="440"/>
        <w:jc w:val="both"/>
      </w:pPr>
      <w:r w:rsidRPr="00A913DC">
        <w:t>Les petites protéines G existent sous deux états conformationnels dépendants de la nature du nucléotide fixé et correspondant à des états fonctionnels différents de la protéine, la forme liée au GTP étant active alors que la forme liée au GDP est inactive. Seule la forme active est capable de fi</w:t>
      </w:r>
      <w:r w:rsidR="00D977D5" w:rsidRPr="00A913DC">
        <w:t>xer les effecteurs</w:t>
      </w:r>
      <w:r w:rsidRPr="00A913DC">
        <w:t xml:space="preserve">. Le passage entre ces </w:t>
      </w:r>
      <w:r w:rsidRPr="00982E70">
        <w:t xml:space="preserve">deux états est extrêmement contrôlé et régulé par des voies différentes (le cycle des GTPases) </w:t>
      </w:r>
      <w:r w:rsidR="00982E70" w:rsidRPr="00982E70">
        <w:t>(figure 12</w:t>
      </w:r>
      <w:r w:rsidRPr="00982E70">
        <w:t>).</w:t>
      </w:r>
      <w:r w:rsidRPr="00A913DC">
        <w:t xml:space="preserve"> Ce cycle est régulé par deux classes de protéines : les protéines GAP (GTPases Activating proteins), favorisant l’activité GTPasique des petites protéines G, permet la formation de la forme inactive lié au GDPet les protéines GEF (Guanine Exchange Factor) qui permettent la formation de la forme active liée</w:t>
      </w:r>
      <w:r w:rsidR="00D977D5" w:rsidRPr="00A913DC">
        <w:t xml:space="preserve"> au GTP</w:t>
      </w:r>
      <w:r w:rsidRPr="00A913DC">
        <w:t xml:space="preserve">. La comparaison des structures tridimentionnelles des états liés au GDP ou au GTP montre essentiellement que deux régions de la protéine changent en fonction du </w:t>
      </w:r>
      <w:r w:rsidRPr="00A913DC">
        <w:lastRenderedPageBreak/>
        <w:t xml:space="preserve">nucléotide; on appelle ces régions switch I et II. Ces deux structures ne sont pas figées dans la conformation liée au GDP alors qu’elles sont stabilisées dans une position précise sous forme GTP. Les deux régions switch forment le domaine effecteur de Ras et des GTPases. Les effecteurs interagissent au niveau de ces deux régions. Il existe une classe de protéines inhibitrices appelées GDI (guanine nucleotide dissociation inhibitors), faisant partie d’une sous-classe de petites GTPases. Le rôle précis de ces protéines dans le cycle des GTPases n’est pas très clair. </w:t>
      </w:r>
    </w:p>
    <w:p w:rsidR="00A24C55" w:rsidRPr="00A913DC" w:rsidRDefault="00A913DC" w:rsidP="007F2C15">
      <w:pPr>
        <w:pStyle w:val="Default"/>
        <w:spacing w:before="100" w:beforeAutospacing="1" w:after="100" w:afterAutospacing="1" w:line="360" w:lineRule="auto"/>
        <w:jc w:val="both"/>
        <w:rPr>
          <w:b/>
          <w:bCs/>
        </w:rPr>
      </w:pPr>
      <w:r>
        <w:rPr>
          <w:b/>
          <w:bCs/>
        </w:rPr>
        <w:t>III.6.1.3.</w:t>
      </w:r>
      <w:r w:rsidR="00A24C55" w:rsidRPr="00A913DC">
        <w:rPr>
          <w:b/>
          <w:bCs/>
        </w:rPr>
        <w:t xml:space="preserve"> La protéine Ras </w:t>
      </w:r>
    </w:p>
    <w:p w:rsidR="00A24C55" w:rsidRPr="00A913DC" w:rsidRDefault="00A913DC" w:rsidP="007F2C15">
      <w:pPr>
        <w:pStyle w:val="Default"/>
        <w:spacing w:before="100" w:beforeAutospacing="1" w:after="100" w:afterAutospacing="1" w:line="360" w:lineRule="auto"/>
        <w:jc w:val="both"/>
        <w:rPr>
          <w:b/>
          <w:bCs/>
        </w:rPr>
      </w:pPr>
      <w:r>
        <w:rPr>
          <w:b/>
          <w:bCs/>
        </w:rPr>
        <w:t xml:space="preserve">a) </w:t>
      </w:r>
      <w:r w:rsidR="00A24C55" w:rsidRPr="00A913DC">
        <w:rPr>
          <w:b/>
          <w:bCs/>
        </w:rPr>
        <w:t xml:space="preserve"> Structure des isoformes de Ras </w:t>
      </w:r>
    </w:p>
    <w:p w:rsidR="00A24C55" w:rsidRPr="0059019D" w:rsidRDefault="00A24C55" w:rsidP="0059019D">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Le prototype de la famille des petites protéines G est l’oncogène Ras, qui est une petite protéine de 21 kDa. Chez les mammifères, il existe quatre isoformes de la protéine Ras codées par trois gènes différents : H-Ras, N-Ras et K-Ras4A et 4B</w:t>
      </w:r>
      <w:r w:rsidR="00A16DA1" w:rsidRPr="00A913DC">
        <w:rPr>
          <w:rFonts w:asciiTheme="majorBidi" w:hAnsiTheme="majorBidi" w:cstheme="majorBidi"/>
          <w:sz w:val="24"/>
          <w:szCs w:val="24"/>
        </w:rPr>
        <w:t>, Les 85 premiers acides aminés sont identiques dans les quatre protéines et permettent la liaison de la guanosine diphosphate (GDP) et de la guanosine triphosphate (GTP). Le domaine G est composé de la boucle P, qui lie le γ-phosphate du GTP, et du switch I et II, régulant la liaison aux régulateurs et aux effecteurs de Ras.</w:t>
      </w:r>
    </w:p>
    <w:p w:rsidR="00D977D5" w:rsidRPr="00A913DC" w:rsidRDefault="00A913DC" w:rsidP="0059019D">
      <w:pPr>
        <w:pStyle w:val="Default"/>
        <w:spacing w:before="100" w:beforeAutospacing="1" w:after="100" w:afterAutospacing="1" w:line="360" w:lineRule="auto"/>
        <w:jc w:val="both"/>
        <w:rPr>
          <w:b/>
          <w:bCs/>
        </w:rPr>
      </w:pPr>
      <w:r>
        <w:rPr>
          <w:b/>
          <w:bCs/>
        </w:rPr>
        <w:t xml:space="preserve">b) </w:t>
      </w:r>
      <w:r w:rsidR="00A16DA1" w:rsidRPr="00A913DC">
        <w:rPr>
          <w:b/>
          <w:bCs/>
        </w:rPr>
        <w:t xml:space="preserve">Activation de Ras </w:t>
      </w:r>
    </w:p>
    <w:p w:rsidR="005D317F" w:rsidRPr="00A913DC" w:rsidRDefault="00A16DA1" w:rsidP="007530FD">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Suite à la stimulation des récepteurs à activité tyrosine kinase, des tyrosines phosphorylées du récepteur vont servir de sites d’ancrage à des protéines adaptatrices à domaine SH2 comme Grb2 (growth factor receptor binding Homolog</w:t>
      </w:r>
      <w:r w:rsidR="007D66A9" w:rsidRPr="00A913DC">
        <w:rPr>
          <w:rFonts w:asciiTheme="majorBidi" w:hAnsiTheme="majorBidi" w:cstheme="majorBidi"/>
          <w:sz w:val="24"/>
          <w:szCs w:val="24"/>
        </w:rPr>
        <w:t>y 2) ou Shc</w:t>
      </w:r>
      <w:r w:rsidRPr="00A913DC">
        <w:rPr>
          <w:rFonts w:asciiTheme="majorBidi" w:hAnsiTheme="majorBidi" w:cstheme="majorBidi"/>
          <w:sz w:val="24"/>
          <w:szCs w:val="24"/>
        </w:rPr>
        <w:t>. Par ses deux domaines SH3, Grb2 est constitutivement associée au domaine carboxy terminal riche en proline de Sos (Son of sevenless), le facteur d’échange de la petite protéine G Ras. Ainsi, la liaison de Sos au récepteur par l’intermédiaire de Grb2 permet sa relocalisation membranaire proche de son substrat qu’elle va activer. Les GEF de Ras se répartissent en trois familles: Sos, GRF et GRP. Alors que Sos1 et Sos2 sont exprimées de façon ubiquitaire, Ras-GRF et Ras-GRP sont abondantes dans le cerveau. Sos existe dans un état auto-inhibé, de ce fait, les interactions avec Ras modulent l’activité de Sos. La liaison de Ras-GDP au site allostérique de Sos qui est distal au site catalytique induit une faible activité du GEF qui permet alors la production de R</w:t>
      </w:r>
      <w:r w:rsidR="007D66A9" w:rsidRPr="00A913DC">
        <w:rPr>
          <w:rFonts w:asciiTheme="majorBidi" w:hAnsiTheme="majorBidi" w:cstheme="majorBidi"/>
          <w:sz w:val="24"/>
          <w:szCs w:val="24"/>
        </w:rPr>
        <w:t>as-GTP</w:t>
      </w:r>
      <w:r w:rsidRPr="00A913DC">
        <w:rPr>
          <w:rFonts w:asciiTheme="majorBidi" w:hAnsiTheme="majorBidi" w:cstheme="majorBidi"/>
          <w:sz w:val="24"/>
          <w:szCs w:val="24"/>
        </w:rPr>
        <w:t xml:space="preserve">. Ras-GTP lie alors avec une plus forte affinité le même site. Des mutations de Sos </w:t>
      </w:r>
      <w:r w:rsidRPr="00A913DC">
        <w:rPr>
          <w:rFonts w:asciiTheme="majorBidi" w:hAnsiTheme="majorBidi" w:cstheme="majorBidi"/>
          <w:sz w:val="24"/>
          <w:szCs w:val="24"/>
        </w:rPr>
        <w:lastRenderedPageBreak/>
        <w:t>qui interrompent leur auto-inhibition ont été récemment identifiées chez les patients ayant le syndrome de Noonan.</w:t>
      </w:r>
    </w:p>
    <w:p w:rsidR="00A16DA1" w:rsidRPr="0059019D" w:rsidRDefault="00A913DC" w:rsidP="0059019D">
      <w:pPr>
        <w:pStyle w:val="Default"/>
        <w:spacing w:before="100" w:beforeAutospacing="1" w:after="100" w:afterAutospacing="1" w:line="360" w:lineRule="auto"/>
        <w:jc w:val="both"/>
        <w:rPr>
          <w:b/>
          <w:bCs/>
        </w:rPr>
      </w:pPr>
      <w:r>
        <w:rPr>
          <w:b/>
          <w:bCs/>
        </w:rPr>
        <w:t>c)</w:t>
      </w:r>
      <w:r w:rsidR="00A16DA1" w:rsidRPr="00A913DC">
        <w:rPr>
          <w:b/>
          <w:bCs/>
        </w:rPr>
        <w:t xml:space="preserve"> Mécanismes de régulation négative de l’activation de Ras </w:t>
      </w:r>
    </w:p>
    <w:p w:rsidR="00A16DA1" w:rsidRPr="00A913DC" w:rsidRDefault="00A16DA1" w:rsidP="007F2C15">
      <w:pPr>
        <w:pStyle w:val="Default"/>
        <w:spacing w:before="100" w:beforeAutospacing="1" w:after="100" w:afterAutospacing="1" w:line="360" w:lineRule="auto"/>
        <w:ind w:firstLine="440"/>
        <w:jc w:val="both"/>
      </w:pPr>
      <w:r w:rsidRPr="00A913DC">
        <w:t>Les protéines GAP ont un rôle important dans la régulation de Ras. Ces protéines permettent d’interrompre le signal produit par l’activation de Ras. Il existe au moins 160 gènes humains qui codent pour des protéines GAP. Le premier membre de la famille des GAP à avoir été identifiée est la protéine p120GAP. Cette dernière a été la première protéine découverte comme interagissant avec le domain</w:t>
      </w:r>
      <w:r w:rsidR="007D66A9" w:rsidRPr="00A913DC">
        <w:t>e effecteur de Ras</w:t>
      </w:r>
      <w:r w:rsidRPr="00A913DC">
        <w:t xml:space="preserve">. La protéine p120GAP peut s’associer au récepteur PDGF activé par ses domaines SH2 ou par l’intermédiaire d’une protéine adaptatrice </w:t>
      </w:r>
      <w:r w:rsidR="007D66A9" w:rsidRPr="00A913DC">
        <w:t>p62Dok</w:t>
      </w:r>
      <w:r w:rsidRPr="00A913DC">
        <w:t>. En plus d’un domaine catalytique, cette protéine possède des domaines SH2, SH3 et PH, et des motifs liant les phospholipides. Les protéines GAP sont régulées par des interactions intramoléculaires. Ainsi, le domaine PH de p120 RasGAP régule l’activité de son domain</w:t>
      </w:r>
      <w:r w:rsidR="007D66A9" w:rsidRPr="00A913DC">
        <w:t>e catalytique</w:t>
      </w:r>
      <w:r w:rsidRPr="00A913DC">
        <w:t>. La protéine p120 RasGAP semble être régulée par protéolyse et est degradée par clivage par certaines c</w:t>
      </w:r>
      <w:r w:rsidR="007D66A9" w:rsidRPr="00A913DC">
        <w:t xml:space="preserve">aspases </w:t>
      </w:r>
      <w:r w:rsidRPr="00A913DC">
        <w:t xml:space="preserve">. </w:t>
      </w:r>
    </w:p>
    <w:p w:rsidR="00704BCB" w:rsidRPr="0059019D" w:rsidRDefault="00A16DA1" w:rsidP="0059019D">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D’autres protéines GAP ont été identifiées comme par exemple, la neurofibromine. Cette dernière est codée par le gène suppresseur de tumeur NF1. Des mutations dans ce gène sont responsables d’une maladie génétique héréditaire qui est la neurofibromatose de type I (NFI)</w:t>
      </w:r>
      <w:r w:rsidRPr="00A913DC">
        <w:rPr>
          <w:rFonts w:asciiTheme="majorBidi" w:hAnsiTheme="majorBidi" w:cstheme="majorBidi"/>
          <w:b/>
          <w:bCs/>
          <w:sz w:val="24"/>
          <w:szCs w:val="24"/>
        </w:rPr>
        <w:t xml:space="preserve">. </w:t>
      </w:r>
      <w:r w:rsidRPr="00A913DC">
        <w:rPr>
          <w:rFonts w:asciiTheme="majorBidi" w:hAnsiTheme="majorBidi" w:cstheme="majorBidi"/>
          <w:sz w:val="24"/>
          <w:szCs w:val="24"/>
        </w:rPr>
        <w:t>La neurofibromine est phosphorylée sur plusieurs sites dans sa région C terminale par la protéine kinase A. Cette phosphorylation permet l’interaction de la neurofibromine avec les protéines 14-3-3 et est corrélée avec une réduction de l’activité Ras-GAP</w:t>
      </w:r>
      <w:r w:rsidRPr="00A913DC">
        <w:rPr>
          <w:rFonts w:asciiTheme="majorBidi" w:hAnsiTheme="majorBidi" w:cstheme="majorBidi"/>
          <w:b/>
          <w:bCs/>
          <w:sz w:val="24"/>
          <w:szCs w:val="24"/>
        </w:rPr>
        <w:t xml:space="preserve">. </w:t>
      </w:r>
      <w:r w:rsidRPr="00A913DC">
        <w:rPr>
          <w:rFonts w:asciiTheme="majorBidi" w:hAnsiTheme="majorBidi" w:cstheme="majorBidi"/>
          <w:sz w:val="24"/>
          <w:szCs w:val="24"/>
        </w:rPr>
        <w:t>La neurofibromine subit une dégradation protéolytique rapide par ubi</w:t>
      </w:r>
      <w:r w:rsidR="007D66A9" w:rsidRPr="00A913DC">
        <w:rPr>
          <w:rFonts w:asciiTheme="majorBidi" w:hAnsiTheme="majorBidi" w:cstheme="majorBidi"/>
          <w:sz w:val="24"/>
          <w:szCs w:val="24"/>
        </w:rPr>
        <w:t>quitination</w:t>
      </w:r>
      <w:r w:rsidRPr="00A913DC">
        <w:rPr>
          <w:rFonts w:asciiTheme="majorBidi" w:hAnsiTheme="majorBidi" w:cstheme="majorBidi"/>
          <w:sz w:val="24"/>
          <w:szCs w:val="24"/>
        </w:rPr>
        <w:t>. Cette régulation de la neurofibromine peut s’expliquer par une augmentation de la durée et de l’intensité de l’activation de Ras. Des études ont montré que des phospholipides et des acides gras ont des effets inhibiteurs sur l’activité catalytique de la neurofibromine et d</w:t>
      </w:r>
      <w:r w:rsidR="007D66A9" w:rsidRPr="00A913DC">
        <w:rPr>
          <w:rFonts w:asciiTheme="majorBidi" w:hAnsiTheme="majorBidi" w:cstheme="majorBidi"/>
          <w:sz w:val="24"/>
          <w:szCs w:val="24"/>
        </w:rPr>
        <w:t>e la p120 RasGAP</w:t>
      </w:r>
      <w:r w:rsidRPr="00A913DC">
        <w:rPr>
          <w:rFonts w:asciiTheme="majorBidi" w:hAnsiTheme="majorBidi" w:cstheme="majorBidi"/>
          <w:sz w:val="24"/>
          <w:szCs w:val="24"/>
        </w:rPr>
        <w:t>.</w:t>
      </w:r>
    </w:p>
    <w:p w:rsidR="00A16DA1" w:rsidRPr="00A913DC" w:rsidRDefault="00A913DC" w:rsidP="007F2C15">
      <w:pPr>
        <w:pStyle w:val="Default"/>
        <w:spacing w:before="100" w:beforeAutospacing="1" w:after="100" w:afterAutospacing="1" w:line="360" w:lineRule="auto"/>
        <w:jc w:val="both"/>
        <w:rPr>
          <w:b/>
          <w:bCs/>
        </w:rPr>
      </w:pPr>
      <w:r>
        <w:rPr>
          <w:b/>
          <w:bCs/>
        </w:rPr>
        <w:t>d)</w:t>
      </w:r>
      <w:r w:rsidR="00A16DA1" w:rsidRPr="00A913DC">
        <w:rPr>
          <w:b/>
          <w:bCs/>
        </w:rPr>
        <w:t xml:space="preserve"> Effecteurs de Ras </w:t>
      </w:r>
    </w:p>
    <w:p w:rsidR="00704BCB" w:rsidRPr="00A913DC" w:rsidRDefault="00A16DA1" w:rsidP="007F2C15">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sidRPr="00A913DC">
        <w:rPr>
          <w:rFonts w:asciiTheme="majorBidi" w:hAnsiTheme="majorBidi" w:cstheme="majorBidi"/>
          <w:sz w:val="24"/>
          <w:szCs w:val="24"/>
        </w:rPr>
        <w:t>L’activation de récepteurs comme les RCPG, les RTK ou les intégrines par différents ligands provoque l’activation de protéines Ras qui recrutent alors un certain nombre d’effecteurs</w:t>
      </w:r>
      <w:r w:rsidR="007D66A9" w:rsidRPr="00A913DC">
        <w:rPr>
          <w:rFonts w:asciiTheme="majorBidi" w:hAnsiTheme="majorBidi" w:cstheme="majorBidi"/>
          <w:sz w:val="24"/>
          <w:szCs w:val="24"/>
        </w:rPr>
        <w:t xml:space="preserve">. </w:t>
      </w:r>
      <w:r w:rsidR="007B29E8" w:rsidRPr="00A913DC">
        <w:rPr>
          <w:rFonts w:asciiTheme="majorBidi" w:hAnsiTheme="majorBidi" w:cstheme="majorBidi"/>
          <w:sz w:val="24"/>
          <w:szCs w:val="24"/>
        </w:rPr>
        <w:t xml:space="preserve">La liaison de ces effecteurs aux protéines Ras déclenche des cascades de signalisation bien </w:t>
      </w:r>
      <w:r w:rsidR="007B29E8" w:rsidRPr="00A913DC">
        <w:rPr>
          <w:rFonts w:asciiTheme="majorBidi" w:hAnsiTheme="majorBidi" w:cstheme="majorBidi"/>
          <w:sz w:val="24"/>
          <w:szCs w:val="24"/>
        </w:rPr>
        <w:lastRenderedPageBreak/>
        <w:t>distinctes. Les effecteurs de Ras sont caractérisés par la présence d’un domaine RBD (Ras-Binding Domain) ou un domaine RA (Ras Associating).</w:t>
      </w:r>
    </w:p>
    <w:p w:rsidR="007B29E8" w:rsidRPr="00A913DC" w:rsidRDefault="007B29E8" w:rsidP="007F2C15">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p>
    <w:p w:rsidR="00905F14" w:rsidRPr="00A913DC" w:rsidRDefault="007B29E8" w:rsidP="007530FD">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En 1993, la protéine kinase Raf a été identifiée comme étant un effecteur ma</w:t>
      </w:r>
      <w:r w:rsidR="007D66A9" w:rsidRPr="00A913DC">
        <w:rPr>
          <w:rFonts w:asciiTheme="majorBidi" w:hAnsiTheme="majorBidi" w:cstheme="majorBidi"/>
          <w:sz w:val="24"/>
          <w:szCs w:val="24"/>
        </w:rPr>
        <w:t>jeur de Ras</w:t>
      </w:r>
      <w:r w:rsidRPr="00A913DC">
        <w:rPr>
          <w:rFonts w:asciiTheme="majorBidi" w:hAnsiTheme="majorBidi" w:cstheme="majorBidi"/>
          <w:sz w:val="24"/>
          <w:szCs w:val="24"/>
        </w:rPr>
        <w:t>. Les protéines Raf sont les premières kinases de la cascade des MAPK. L’autre effecteur majeur de Ras est la protéine PI3K. En effet, il existe une interaction directe entre la sous- unité catalytique p110 de PI3K</w:t>
      </w:r>
      <w:r w:rsidR="00AF2840" w:rsidRPr="00A913DC">
        <w:rPr>
          <w:rFonts w:asciiTheme="majorBidi" w:hAnsiTheme="majorBidi" w:cstheme="majorBidi"/>
          <w:sz w:val="24"/>
          <w:szCs w:val="24"/>
        </w:rPr>
        <w:t xml:space="preserve"> avec la protéine Ras activée</w:t>
      </w:r>
      <w:r w:rsidRPr="00A913DC">
        <w:rPr>
          <w:rFonts w:asciiTheme="majorBidi" w:hAnsiTheme="majorBidi" w:cstheme="majorBidi"/>
          <w:sz w:val="24"/>
          <w:szCs w:val="24"/>
        </w:rPr>
        <w:t>. Cette interaction se fait grâce à un domaine RBD que possède la PI3K. Parmi les isoformes de Ras, H-Ras est l’activateur le plus puissant de la PI3K comparé à K-Ras</w:t>
      </w:r>
    </w:p>
    <w:p w:rsidR="00905F14" w:rsidRPr="00A913DC" w:rsidRDefault="00905F14" w:rsidP="0059019D">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sidRPr="00A913DC">
        <w:rPr>
          <w:rFonts w:asciiTheme="majorBidi" w:hAnsiTheme="majorBidi" w:cstheme="majorBidi"/>
          <w:b/>
          <w:bCs/>
          <w:noProof/>
          <w:sz w:val="24"/>
          <w:szCs w:val="24"/>
          <w:lang w:eastAsia="fr-FR"/>
        </w:rPr>
        <w:drawing>
          <wp:inline distT="0" distB="0" distL="0" distR="0">
            <wp:extent cx="5754370" cy="2888615"/>
            <wp:effectExtent l="19050" t="19050" r="0" b="6985"/>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754370" cy="2888615"/>
                    </a:xfrm>
                    <a:prstGeom prst="rect">
                      <a:avLst/>
                    </a:prstGeom>
                    <a:noFill/>
                    <a:ln w="9525">
                      <a:solidFill>
                        <a:schemeClr val="tx1"/>
                      </a:solidFill>
                      <a:miter lim="800000"/>
                      <a:headEnd/>
                      <a:tailEnd/>
                    </a:ln>
                  </pic:spPr>
                </pic:pic>
              </a:graphicData>
            </a:graphic>
          </wp:inline>
        </w:drawing>
      </w:r>
    </w:p>
    <w:p w:rsidR="00704BCB" w:rsidRPr="0059019D" w:rsidRDefault="00905F14" w:rsidP="0059019D">
      <w:pPr>
        <w:autoSpaceDE w:val="0"/>
        <w:autoSpaceDN w:val="0"/>
        <w:adjustRightInd w:val="0"/>
        <w:spacing w:before="100" w:beforeAutospacing="1" w:after="100" w:afterAutospacing="1" w:line="360" w:lineRule="auto"/>
        <w:jc w:val="center"/>
        <w:rPr>
          <w:rFonts w:asciiTheme="majorBidi" w:hAnsiTheme="majorBidi" w:cstheme="majorBidi"/>
          <w:sz w:val="24"/>
          <w:szCs w:val="24"/>
        </w:rPr>
      </w:pPr>
      <w:r w:rsidRPr="00A913DC">
        <w:rPr>
          <w:rFonts w:asciiTheme="majorBidi" w:hAnsiTheme="majorBidi" w:cstheme="majorBidi"/>
          <w:b/>
          <w:bCs/>
          <w:sz w:val="24"/>
          <w:szCs w:val="24"/>
        </w:rPr>
        <w:t>Figure</w:t>
      </w:r>
      <w:r w:rsidR="00A913DC">
        <w:rPr>
          <w:rFonts w:asciiTheme="majorBidi" w:hAnsiTheme="majorBidi" w:cstheme="majorBidi"/>
          <w:b/>
          <w:bCs/>
          <w:sz w:val="24"/>
          <w:szCs w:val="24"/>
        </w:rPr>
        <w:t xml:space="preserve"> 21</w:t>
      </w:r>
      <w:r w:rsidRPr="00A913DC">
        <w:rPr>
          <w:rFonts w:asciiTheme="majorBidi" w:hAnsiTheme="majorBidi" w:cstheme="majorBidi"/>
          <w:b/>
          <w:bCs/>
          <w:sz w:val="24"/>
          <w:szCs w:val="24"/>
        </w:rPr>
        <w:t xml:space="preserve"> : </w:t>
      </w:r>
      <w:r w:rsidR="004E65DA" w:rsidRPr="0036209E">
        <w:rPr>
          <w:rFonts w:asciiTheme="majorBidi" w:hAnsiTheme="majorBidi" w:cstheme="majorBidi"/>
          <w:sz w:val="24"/>
          <w:szCs w:val="24"/>
        </w:rPr>
        <w:t>L’activation de Ras par un récepteur</w:t>
      </w:r>
      <w:r w:rsidR="0036209E" w:rsidRPr="0036209E">
        <w:rPr>
          <w:rFonts w:asciiTheme="majorBidi" w:hAnsiTheme="majorBidi" w:cstheme="majorBidi"/>
          <w:sz w:val="24"/>
          <w:szCs w:val="24"/>
        </w:rPr>
        <w:t xml:space="preserve"> tyrosine kinase</w:t>
      </w:r>
      <w:r w:rsidR="0036209E" w:rsidRPr="0061315A">
        <w:rPr>
          <w:rFonts w:asciiTheme="majorBidi" w:hAnsiTheme="majorBidi" w:cstheme="majorBidi"/>
          <w:b/>
          <w:bCs/>
          <w:sz w:val="24"/>
          <w:szCs w:val="24"/>
        </w:rPr>
        <w:t>(Cau et Se</w:t>
      </w:r>
      <w:r w:rsidR="0036209E">
        <w:rPr>
          <w:rFonts w:asciiTheme="majorBidi" w:hAnsiTheme="majorBidi" w:cstheme="majorBidi"/>
          <w:b/>
          <w:bCs/>
          <w:sz w:val="24"/>
          <w:szCs w:val="24"/>
        </w:rPr>
        <w:t>ï</w:t>
      </w:r>
      <w:r w:rsidR="0036209E" w:rsidRPr="0061315A">
        <w:rPr>
          <w:rFonts w:asciiTheme="majorBidi" w:hAnsiTheme="majorBidi" w:cstheme="majorBidi"/>
          <w:b/>
          <w:bCs/>
          <w:sz w:val="24"/>
          <w:szCs w:val="24"/>
        </w:rPr>
        <w:t>te, 2007)</w:t>
      </w:r>
    </w:p>
    <w:p w:rsidR="009C6984" w:rsidRPr="0059019D" w:rsidRDefault="00355C38" w:rsidP="0059019D">
      <w:pPr>
        <w:autoSpaceDE w:val="0"/>
        <w:autoSpaceDN w:val="0"/>
        <w:adjustRightInd w:val="0"/>
        <w:spacing w:before="100" w:beforeAutospacing="1" w:after="100" w:afterAutospacing="1" w:line="360" w:lineRule="auto"/>
        <w:rPr>
          <w:rFonts w:asciiTheme="majorBidi" w:hAnsiTheme="majorBidi" w:cstheme="majorBidi"/>
          <w:b/>
          <w:bCs/>
          <w:sz w:val="24"/>
          <w:szCs w:val="24"/>
        </w:rPr>
      </w:pPr>
      <w:r w:rsidRPr="00355C38">
        <w:rPr>
          <w:rFonts w:asciiTheme="majorBidi" w:hAnsiTheme="majorBidi" w:cstheme="majorBidi"/>
          <w:b/>
          <w:bCs/>
          <w:sz w:val="24"/>
          <w:szCs w:val="24"/>
        </w:rPr>
        <w:t>III.6.1.4.</w:t>
      </w:r>
      <w:r w:rsidR="00756DF5" w:rsidRPr="00355C38">
        <w:rPr>
          <w:rFonts w:asciiTheme="majorBidi" w:hAnsiTheme="majorBidi" w:cstheme="majorBidi"/>
          <w:b/>
          <w:bCs/>
          <w:sz w:val="24"/>
          <w:szCs w:val="24"/>
        </w:rPr>
        <w:t>Description de la voie Ras/MAPK</w:t>
      </w:r>
      <w:r w:rsidR="00AF2840" w:rsidRPr="00355C38">
        <w:rPr>
          <w:rFonts w:asciiTheme="majorBidi" w:hAnsiTheme="majorBidi" w:cstheme="majorBidi"/>
          <w:b/>
          <w:bCs/>
          <w:sz w:val="24"/>
          <w:szCs w:val="24"/>
        </w:rPr>
        <w:t xml:space="preserve"> ou voie ERK1/2</w:t>
      </w:r>
    </w:p>
    <w:p w:rsidR="009C6984" w:rsidRPr="00A913DC" w:rsidRDefault="009C6984" w:rsidP="0059019D">
      <w:pPr>
        <w:autoSpaceDE w:val="0"/>
        <w:autoSpaceDN w:val="0"/>
        <w:adjustRightInd w:val="0"/>
        <w:spacing w:before="100" w:beforeAutospacing="1" w:after="100" w:afterAutospacing="1" w:line="360" w:lineRule="auto"/>
        <w:jc w:val="both"/>
        <w:rPr>
          <w:rFonts w:ascii="Times New Roman" w:hAnsi="Times New Roman" w:cs="Times New Roman"/>
          <w:b/>
          <w:bCs/>
          <w:sz w:val="24"/>
          <w:szCs w:val="24"/>
        </w:rPr>
      </w:pPr>
      <w:r w:rsidRPr="00A913DC">
        <w:rPr>
          <w:rFonts w:ascii="Times New Roman" w:hAnsi="Times New Roman" w:cs="Times New Roman"/>
          <w:sz w:val="24"/>
          <w:szCs w:val="24"/>
        </w:rPr>
        <w:t xml:space="preserve">          ERK1 et 2 ont 83% d’acides aminés identiques et sont</w:t>
      </w:r>
      <w:r w:rsidR="00756DF5" w:rsidRPr="00A913DC">
        <w:rPr>
          <w:rFonts w:ascii="Times New Roman" w:hAnsi="Times New Roman" w:cs="Times New Roman"/>
          <w:sz w:val="24"/>
          <w:szCs w:val="24"/>
        </w:rPr>
        <w:t xml:space="preserve"> exprimées dans tous les tissus</w:t>
      </w:r>
      <w:r w:rsidRPr="00A913DC">
        <w:rPr>
          <w:rFonts w:ascii="Times New Roman" w:hAnsi="Times New Roman" w:cs="Times New Roman"/>
          <w:sz w:val="24"/>
          <w:szCs w:val="24"/>
        </w:rPr>
        <w:t xml:space="preserve">. Elles sont très fortement activées par des facteurs de croissance tels que l’EGF (epidermal growth factor), le PDGF (platelet derived growth factor) et le FGF (fibroblast growth factor), par les esters de phorbol, qui, par l’intermédiaire des récepteurs membranaires, tels que les récepteurs à activité tyrosine kinase (RTK) ou couplés aux proteines G, transmettent des signaux activateurs à la cascade Raf/MEK/ERK </w:t>
      </w:r>
      <w:r w:rsidRPr="00A913DC">
        <w:rPr>
          <w:rFonts w:ascii="Times New Roman" w:hAnsi="Times New Roman" w:cs="Times New Roman"/>
          <w:i/>
          <w:iCs/>
          <w:sz w:val="24"/>
          <w:szCs w:val="24"/>
        </w:rPr>
        <w:t xml:space="preserve">via </w:t>
      </w:r>
      <w:r w:rsidRPr="00A913DC">
        <w:rPr>
          <w:rFonts w:ascii="Times New Roman" w:hAnsi="Times New Roman" w:cs="Times New Roman"/>
          <w:sz w:val="24"/>
          <w:szCs w:val="24"/>
        </w:rPr>
        <w:t>différentes isoformes de la protéine Ras</w:t>
      </w:r>
      <w:r w:rsidRPr="00A913DC">
        <w:rPr>
          <w:rFonts w:ascii="Times New Roman" w:hAnsi="Times New Roman" w:cs="Times New Roman"/>
          <w:b/>
          <w:bCs/>
          <w:sz w:val="24"/>
          <w:szCs w:val="24"/>
        </w:rPr>
        <w:t>.</w:t>
      </w:r>
    </w:p>
    <w:p w:rsidR="009C6984" w:rsidRPr="00A913DC" w:rsidRDefault="009C6984" w:rsidP="007F2C15">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A913DC">
        <w:rPr>
          <w:rFonts w:ascii="Times New Roman" w:hAnsi="Times New Roman" w:cs="Times New Roman"/>
          <w:sz w:val="24"/>
          <w:szCs w:val="24"/>
        </w:rPr>
        <w:lastRenderedPageBreak/>
        <w:t xml:space="preserve">Les MEK1/2 activent sélectivement les MAP kinases ERK 1/2 par phosphorylation au niveau d’un motif conservé </w:t>
      </w:r>
      <w:r w:rsidRPr="00A913DC">
        <w:rPr>
          <w:rFonts w:ascii="Times New Roman" w:hAnsi="Times New Roman" w:cs="Times New Roman"/>
          <w:b/>
          <w:bCs/>
          <w:sz w:val="24"/>
          <w:szCs w:val="24"/>
        </w:rPr>
        <w:t xml:space="preserve">TEY </w:t>
      </w:r>
      <w:r w:rsidRPr="00A913DC">
        <w:rPr>
          <w:rFonts w:ascii="Times New Roman" w:hAnsi="Times New Roman" w:cs="Times New Roman"/>
          <w:sz w:val="24"/>
          <w:szCs w:val="24"/>
        </w:rPr>
        <w:t>(</w:t>
      </w:r>
      <w:r w:rsidRPr="00A913DC">
        <w:rPr>
          <w:rFonts w:ascii="Times New Roman" w:hAnsi="Times New Roman" w:cs="Times New Roman"/>
          <w:b/>
          <w:bCs/>
          <w:sz w:val="24"/>
          <w:szCs w:val="24"/>
        </w:rPr>
        <w:t>Thr-Glu-Tyr</w:t>
      </w:r>
      <w:r w:rsidRPr="00A913DC">
        <w:rPr>
          <w:rFonts w:ascii="Times New Roman" w:hAnsi="Times New Roman" w:cs="Times New Roman"/>
          <w:sz w:val="24"/>
          <w:szCs w:val="24"/>
        </w:rPr>
        <w:t>) présent dans la boucle d’activation, selon un</w:t>
      </w:r>
    </w:p>
    <w:p w:rsidR="009C6984" w:rsidRPr="00A913DC" w:rsidRDefault="009C6984" w:rsidP="0059019D">
      <w:pPr>
        <w:autoSpaceDE w:val="0"/>
        <w:autoSpaceDN w:val="0"/>
        <w:adjustRightInd w:val="0"/>
        <w:spacing w:before="100" w:beforeAutospacing="1" w:after="100" w:afterAutospacing="1" w:line="360" w:lineRule="auto"/>
        <w:jc w:val="both"/>
        <w:rPr>
          <w:rFonts w:ascii="Times New Roman" w:hAnsi="Times New Roman" w:cs="Times New Roman"/>
          <w:b/>
          <w:bCs/>
          <w:sz w:val="24"/>
          <w:szCs w:val="24"/>
        </w:rPr>
      </w:pPr>
      <w:r w:rsidRPr="00A913DC">
        <w:rPr>
          <w:rFonts w:ascii="Times New Roman" w:hAnsi="Times New Roman" w:cs="Times New Roman"/>
          <w:sz w:val="24"/>
          <w:szCs w:val="24"/>
        </w:rPr>
        <w:t>mécanisme distributif</w:t>
      </w:r>
      <w:r w:rsidRPr="00A913DC">
        <w:rPr>
          <w:rFonts w:ascii="Times New Roman" w:hAnsi="Times New Roman" w:cs="Times New Roman"/>
          <w:b/>
          <w:bCs/>
          <w:sz w:val="24"/>
          <w:szCs w:val="24"/>
        </w:rPr>
        <w:t>.</w:t>
      </w:r>
    </w:p>
    <w:p w:rsidR="009C6984" w:rsidRPr="0059019D" w:rsidRDefault="009C6984" w:rsidP="0059019D">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A913DC">
        <w:rPr>
          <w:rFonts w:asciiTheme="majorBidi" w:hAnsiTheme="majorBidi" w:cstheme="majorBidi"/>
          <w:sz w:val="24"/>
          <w:szCs w:val="24"/>
        </w:rPr>
        <w:t xml:space="preserve">  ERK1 et ERK2 sont des protéines de 43 et 41 kDa qui sont homologues à 85%. ERK phosphoryle à son tour de nombreux substrats qui sont impliqués dans la régulation de la prolifération cellulaire et de la différenciation  </w:t>
      </w:r>
    </w:p>
    <w:p w:rsidR="00AF2840" w:rsidRPr="00BC43D1" w:rsidRDefault="009C6984" w:rsidP="00BC43D1">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 xml:space="preserve">La voie MEK/ERK est une voie de signalisation intracellulaire, caractérisée par une cascade de phosphorylation protéique conduisant à une réponse cellulaire. Elle est activée par des facteurs de croissance, des hormones ou des cytokines qui agissent par l’intermédiaire de récepteurs membranaires à activité tyrosine kinase. </w:t>
      </w:r>
    </w:p>
    <w:p w:rsidR="00AF2840" w:rsidRPr="00A913DC" w:rsidRDefault="009C6984" w:rsidP="00BC43D1">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 xml:space="preserve">        La liaison du ligand sur le domaine extracellulaire du récepteur entraine sa dimérisation, ce qui déclenche l’autophosphorylation de son domaine cytoplasmique sur des résidus tyrosine, faisant apparaître des motifs protéiques nouveaux. Ils permettent l’ancrage au récepteur de protéines dites adaptatrices, telle que GRB2, contenant des domaines SH2 ou PTB (domaine de liaison à la phosphotyrosine).  </w:t>
      </w:r>
    </w:p>
    <w:p w:rsidR="00982E70" w:rsidRPr="00BC43D1" w:rsidRDefault="009C6984" w:rsidP="005D317F">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 xml:space="preserve">      Ces protéines vont ensuite recruter la protéine Sos, qui est un facteur d’échange du GDP pour les protéines RAS. Ce sont des protéines G monomérique (ou GTPase) qui cyclent entre un état inactif lié au GDP et un état actif lié au GTP. La proximité de SOS et de RAS va favoriser l’échange du GDP par le GTP, induisant son activation. Ainsi activée RAS va se lier à différents effecteurs dont la kinase C-RAF qui va phosphoryler et activer les kinases MEK1 et MEK2 qui vont-elles-mêmes phosphoryler et activer les kinases ERK1 et ERK2 puis phosphoryler des protéines cytosoliques comme la S6 kinase ou des facteurs de transcription nucléaires tels que ELK, ETS, ou, fos, à l’origine des effets cellulaires</w:t>
      </w:r>
    </w:p>
    <w:p w:rsidR="009C6984" w:rsidRPr="00A913DC" w:rsidRDefault="00355C38" w:rsidP="00BC43D1">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III.6.1.5. </w:t>
      </w:r>
      <w:r w:rsidR="009C6984" w:rsidRPr="00A913DC">
        <w:rPr>
          <w:rFonts w:asciiTheme="majorBidi" w:hAnsiTheme="majorBidi" w:cstheme="majorBidi"/>
          <w:b/>
          <w:bCs/>
          <w:sz w:val="24"/>
          <w:szCs w:val="24"/>
        </w:rPr>
        <w:t>Régulation de la voie MEK/ERK</w:t>
      </w:r>
    </w:p>
    <w:p w:rsidR="009C6984" w:rsidRPr="00A913DC" w:rsidRDefault="009C6984" w:rsidP="00BC43D1">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 xml:space="preserve">          La voie MEK/ERK est finement régulée, notamment par un rétrocontrôle négatif exercé par ERK. La phosphorylation de SOS par ERK limite son association à GRB2 empêchant ainsi son recrutement à la membrane plasmique. De même, ERK est capable de phosphoryler </w:t>
      </w:r>
      <w:r w:rsidRPr="00A913DC">
        <w:rPr>
          <w:rFonts w:asciiTheme="majorBidi" w:hAnsiTheme="majorBidi" w:cstheme="majorBidi"/>
          <w:sz w:val="24"/>
          <w:szCs w:val="24"/>
        </w:rPr>
        <w:lastRenderedPageBreak/>
        <w:t>directement RAF et le domaine intracellulaire du récepteur à l’EGF induisant leur inactivation. Par ailleurs, les facteurs de transcription de la famille ETS, stimulent la synthèse d’inhibiteurs de la voie MEK/ERK, tels que les protéines Sprouty, ou les phosphatases de la famille DUSP (Dual Specific Phosphatases)</w:t>
      </w:r>
      <w:r w:rsidRPr="00A913DC">
        <w:rPr>
          <w:rFonts w:asciiTheme="majorBidi" w:hAnsiTheme="majorBidi" w:cstheme="majorBidi"/>
          <w:sz w:val="24"/>
          <w:szCs w:val="24"/>
        </w:rPr>
        <w:tab/>
      </w:r>
    </w:p>
    <w:p w:rsidR="009C6984" w:rsidRPr="007530FD" w:rsidRDefault="009C6984" w:rsidP="007530FD">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 xml:space="preserve">       La voie MEK/ERK est activée et interagit avec de nombreuses autres voies de signalisation instaurant des régulations croisées entre ces voies. Ces régulations complexes sont souvent à l’origine de la limitation des effets anti tumoraux observés avec des inhibiteurs spécifiques d’une voie. En effet, le blocage d’une voie induit des activations compensatoires d’autres cascades de signalisation, comme par exemple l’activation de Tyrosines kinases membranaires tels que Met, IGFR1, PDGFRβ, EGFR ou C-KIT, surmontant ainsi les effets pharmacologiques des inhibiteurs</w:t>
      </w:r>
      <w:r w:rsidR="00355C38">
        <w:rPr>
          <w:rFonts w:asciiTheme="majorBidi" w:hAnsiTheme="majorBidi" w:cstheme="majorBidi"/>
          <w:sz w:val="24"/>
          <w:szCs w:val="24"/>
        </w:rPr>
        <w:t>.</w:t>
      </w:r>
    </w:p>
    <w:p w:rsidR="009C6984" w:rsidRPr="00A913DC" w:rsidRDefault="009C6984" w:rsidP="007F2C15">
      <w:pPr>
        <w:autoSpaceDE w:val="0"/>
        <w:autoSpaceDN w:val="0"/>
        <w:adjustRightInd w:val="0"/>
        <w:spacing w:before="100" w:beforeAutospacing="1" w:after="100" w:afterAutospacing="1" w:line="360" w:lineRule="auto"/>
        <w:rPr>
          <w:rFonts w:ascii="TimesNRMT" w:hAnsi="TimesNRMT" w:cs="TimesNRMT"/>
          <w:sz w:val="24"/>
          <w:szCs w:val="24"/>
        </w:rPr>
      </w:pPr>
      <w:r w:rsidRPr="00A913DC">
        <w:rPr>
          <w:rFonts w:ascii="TimesNRMT" w:hAnsi="TimesNRMT" w:cs="TimesNRMT"/>
          <w:noProof/>
          <w:sz w:val="24"/>
          <w:szCs w:val="24"/>
          <w:lang w:eastAsia="fr-FR"/>
        </w:rPr>
        <w:drawing>
          <wp:inline distT="0" distB="0" distL="0" distR="0">
            <wp:extent cx="5760720" cy="3551520"/>
            <wp:effectExtent l="19050" t="1905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60720" cy="3551520"/>
                    </a:xfrm>
                    <a:prstGeom prst="rect">
                      <a:avLst/>
                    </a:prstGeom>
                    <a:noFill/>
                    <a:ln w="9525">
                      <a:solidFill>
                        <a:schemeClr val="tx1"/>
                      </a:solidFill>
                      <a:miter lim="800000"/>
                      <a:headEnd/>
                      <a:tailEnd/>
                    </a:ln>
                  </pic:spPr>
                </pic:pic>
              </a:graphicData>
            </a:graphic>
          </wp:inline>
        </w:drawing>
      </w:r>
    </w:p>
    <w:p w:rsidR="009C6984" w:rsidRPr="00A913DC" w:rsidRDefault="00355C38" w:rsidP="007F2C15">
      <w:pPr>
        <w:autoSpaceDE w:val="0"/>
        <w:autoSpaceDN w:val="0"/>
        <w:adjustRightInd w:val="0"/>
        <w:spacing w:before="100" w:beforeAutospacing="1" w:after="100" w:afterAutospacing="1" w:line="360" w:lineRule="auto"/>
        <w:jc w:val="center"/>
        <w:rPr>
          <w:rFonts w:ascii="TimesNRMT" w:hAnsi="TimesNRMT" w:cs="TimesNRMT"/>
          <w:sz w:val="24"/>
          <w:szCs w:val="24"/>
        </w:rPr>
      </w:pPr>
      <w:r>
        <w:rPr>
          <w:rFonts w:asciiTheme="majorBidi" w:hAnsiTheme="majorBidi" w:cstheme="majorBidi"/>
          <w:b/>
          <w:bCs/>
          <w:sz w:val="24"/>
          <w:szCs w:val="24"/>
        </w:rPr>
        <w:t xml:space="preserve">Figure  22 </w:t>
      </w:r>
      <w:r w:rsidR="009C6984" w:rsidRPr="00A913DC">
        <w:rPr>
          <w:rFonts w:asciiTheme="majorBidi" w:hAnsiTheme="majorBidi" w:cstheme="majorBidi"/>
          <w:b/>
          <w:bCs/>
          <w:sz w:val="24"/>
          <w:szCs w:val="24"/>
        </w:rPr>
        <w:t xml:space="preserve">: </w:t>
      </w:r>
      <w:r w:rsidR="009C6984" w:rsidRPr="00A913DC">
        <w:rPr>
          <w:rFonts w:asciiTheme="majorBidi" w:hAnsiTheme="majorBidi" w:cstheme="majorBidi"/>
          <w:sz w:val="24"/>
          <w:szCs w:val="24"/>
        </w:rPr>
        <w:t>Schéma de l’activation de la voie des MAPK</w:t>
      </w:r>
      <w:r w:rsidR="009C6984" w:rsidRPr="00A913DC">
        <w:rPr>
          <w:rFonts w:asciiTheme="majorBidi" w:hAnsiTheme="majorBidi" w:cstheme="majorBidi"/>
          <w:b/>
          <w:bCs/>
          <w:sz w:val="24"/>
          <w:szCs w:val="24"/>
        </w:rPr>
        <w:t xml:space="preserve"> (Sampaio,2008).</w:t>
      </w:r>
    </w:p>
    <w:p w:rsidR="009C6984" w:rsidRPr="00A913DC" w:rsidRDefault="009C6984" w:rsidP="007F2C15">
      <w:pPr>
        <w:autoSpaceDE w:val="0"/>
        <w:autoSpaceDN w:val="0"/>
        <w:adjustRightInd w:val="0"/>
        <w:spacing w:before="100" w:beforeAutospacing="1" w:after="100" w:afterAutospacing="1" w:line="360" w:lineRule="auto"/>
        <w:rPr>
          <w:rFonts w:ascii="TimesNRMT" w:hAnsi="TimesNRMT" w:cs="TimesNRMT"/>
          <w:sz w:val="24"/>
          <w:szCs w:val="24"/>
        </w:rPr>
      </w:pPr>
    </w:p>
    <w:p w:rsidR="00F40B90" w:rsidRPr="00A913DC" w:rsidRDefault="00355C38" w:rsidP="00BC43D1">
      <w:pPr>
        <w:autoSpaceDE w:val="0"/>
        <w:autoSpaceDN w:val="0"/>
        <w:adjustRightInd w:val="0"/>
        <w:spacing w:before="100" w:beforeAutospacing="1" w:after="100" w:afterAutospacing="1" w:line="360" w:lineRule="auto"/>
        <w:rPr>
          <w:rFonts w:asciiTheme="majorBidi" w:hAnsiTheme="majorBidi" w:cstheme="majorBidi"/>
          <w:b/>
          <w:bCs/>
          <w:sz w:val="24"/>
          <w:szCs w:val="24"/>
        </w:rPr>
      </w:pPr>
      <w:r w:rsidRPr="00355C38">
        <w:rPr>
          <w:rFonts w:asciiTheme="majorBidi" w:hAnsiTheme="majorBidi" w:cstheme="majorBidi"/>
          <w:b/>
          <w:bCs/>
          <w:sz w:val="24"/>
          <w:szCs w:val="24"/>
        </w:rPr>
        <w:t xml:space="preserve">III.6.2. </w:t>
      </w:r>
      <w:r w:rsidR="009C6984" w:rsidRPr="00355C38">
        <w:rPr>
          <w:rFonts w:asciiTheme="majorBidi" w:hAnsiTheme="majorBidi" w:cstheme="majorBidi"/>
          <w:b/>
          <w:bCs/>
          <w:sz w:val="24"/>
          <w:szCs w:val="24"/>
        </w:rPr>
        <w:t>La voie  de JNK</w:t>
      </w:r>
    </w:p>
    <w:p w:rsidR="00F40B90" w:rsidRPr="00A913DC" w:rsidRDefault="00F40B90" w:rsidP="00BC43D1">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A913DC">
        <w:rPr>
          <w:rFonts w:ascii="Times New Roman" w:hAnsi="Times New Roman" w:cs="Times New Roman"/>
          <w:b/>
          <w:bCs/>
          <w:sz w:val="24"/>
          <w:szCs w:val="24"/>
        </w:rPr>
        <w:lastRenderedPageBreak/>
        <w:t xml:space="preserve">         La voie MAP kinase JNK</w:t>
      </w:r>
      <w:r w:rsidRPr="00A913DC">
        <w:rPr>
          <w:rFonts w:ascii="Times New Roman" w:hAnsi="Times New Roman" w:cs="Times New Roman"/>
          <w:sz w:val="24"/>
          <w:szCs w:val="24"/>
        </w:rPr>
        <w:t xml:space="preserve"> est principalement activée par les cytokines et les stress cellulaires comme un choc osmotique, un stress oxydatif ou des radiations, de sorte que les MAP kinases JNK furent initialement nommées $tress-activated protein kinases (SAPK). Les facteurs de transcription de la famille AP- 1 figurent parmi les cibles les plus importantes des JNK. Ceux-ci sont des hétérodimères formés de Fos, Maf, ATF et/ ou de membres de la famille Jun(c-Jun, JunB, JunD). Les facteurs AP-1 relient l’activation de la voie JNK à l’induction de plusieurs gènes cibles impliqués dans la prolifération, l’apoptose, l’inflammation et la réparation de l’ADN.</w:t>
      </w:r>
    </w:p>
    <w:p w:rsidR="009C6984" w:rsidRPr="00BC43D1" w:rsidRDefault="00F40B90" w:rsidP="00BC43D1">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A913DC">
        <w:rPr>
          <w:rFonts w:ascii="Times New Roman" w:hAnsi="Times New Roman" w:cs="Times New Roman"/>
          <w:sz w:val="24"/>
          <w:szCs w:val="24"/>
        </w:rPr>
        <w:t xml:space="preserve">        Ainsi, la voie JNK est impliquée dans la croissance, le développement du système nerveux, ainsi que dans la réponse aux cytokines et à l’insuline. Elle représente conséquemmet une cible de choix en vue du traitement de la maladie de Parkinson, de l’inflammation, du diabète, du cancer et de nombreuses autres pathologies.</w:t>
      </w:r>
    </w:p>
    <w:p w:rsidR="009C6984" w:rsidRPr="00A913DC" w:rsidRDefault="009C6984" w:rsidP="00BC43D1">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 xml:space="preserve">           Les JUN N-terminal kinases, JNK ou SAPK (</w:t>
      </w:r>
      <w:r w:rsidRPr="00A913DC">
        <w:rPr>
          <w:rFonts w:asciiTheme="majorBidi" w:hAnsiTheme="majorBidi" w:cstheme="majorBidi"/>
          <w:i/>
          <w:iCs/>
          <w:sz w:val="24"/>
          <w:szCs w:val="24"/>
        </w:rPr>
        <w:t>Stress-activated protein kinase</w:t>
      </w:r>
      <w:r w:rsidRPr="00A913DC">
        <w:rPr>
          <w:rFonts w:asciiTheme="majorBidi" w:hAnsiTheme="majorBidi" w:cstheme="majorBidi"/>
          <w:sz w:val="24"/>
          <w:szCs w:val="24"/>
        </w:rPr>
        <w:t>), au nombre de trois, codées par trois gènes conduisant à la production d’au moins dix isoformes. Les isoformes identifiées sont JNK1/SAPKγ, JNK2/SAPKα, et JNK3/SAPKβ, leurs domaines catalytiques présentent 85% d’homologie sont activées en réponse à des cytokines pro-inflammatoires, à des stress comme la chaleur, les radiations ionisantes, l’endommagement de l’ADN ou le stress oxydatif, et accessoirement par les facteurs de croissance. Le TNF (</w:t>
      </w:r>
      <w:r w:rsidRPr="00A913DC">
        <w:rPr>
          <w:rFonts w:asciiTheme="majorBidi" w:hAnsiTheme="majorBidi" w:cstheme="majorBidi"/>
          <w:i/>
          <w:iCs/>
          <w:sz w:val="24"/>
          <w:szCs w:val="24"/>
        </w:rPr>
        <w:t>Tumornecrosis factor</w:t>
      </w:r>
      <w:r w:rsidRPr="00A913DC">
        <w:rPr>
          <w:rFonts w:asciiTheme="majorBidi" w:hAnsiTheme="majorBidi" w:cstheme="majorBidi"/>
          <w:sz w:val="24"/>
          <w:szCs w:val="24"/>
        </w:rPr>
        <w:t xml:space="preserve">) et les ligands WNT activent également cette voie de signalisation. </w:t>
      </w:r>
    </w:p>
    <w:p w:rsidR="009C6984" w:rsidRPr="00A913DC" w:rsidRDefault="009C6984" w:rsidP="00BC43D1">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sidRPr="00A913DC">
        <w:rPr>
          <w:rFonts w:asciiTheme="majorBidi" w:hAnsiTheme="majorBidi" w:cstheme="majorBidi"/>
          <w:sz w:val="24"/>
          <w:szCs w:val="24"/>
        </w:rPr>
        <w:t xml:space="preserve">         Les JNK/SAPKs sont activées par phosphorylation sur deux sites, tyrosine et thréonine, comme toutes les autres MAP kinases L’activation de la voie de JNK implique de très nombreuses MAP3K dont l’action converge vers l’activation d’un nombre restreint de MAP2K. En effet, seulement deux membres de la famille des MAP2K, MKK4 (SEK1, MEK4, JNKK1, SKK1) et MKK7 (MEK7, JNKK2, SKK4), ont été impliqués dans les voies JNK/SAPK. L’activation de la voie de JNK est généralement associée à la régulation des processus de mort cellulaire, à la transduction du signal insulinique et à la régulation du cycle cellulaire</w:t>
      </w:r>
      <w:r w:rsidR="00BC43D1">
        <w:rPr>
          <w:rFonts w:asciiTheme="majorBidi" w:hAnsiTheme="majorBidi" w:cstheme="majorBidi"/>
          <w:b/>
          <w:bCs/>
          <w:sz w:val="24"/>
          <w:szCs w:val="24"/>
        </w:rPr>
        <w:t>.</w:t>
      </w:r>
    </w:p>
    <w:p w:rsidR="00B50A6B" w:rsidRPr="00A913DC" w:rsidRDefault="00B50A6B" w:rsidP="007F2C15">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p>
    <w:p w:rsidR="009C6984" w:rsidRPr="00BC43D1" w:rsidRDefault="00B50A6B" w:rsidP="00BC43D1">
      <w:pPr>
        <w:pStyle w:val="Paragraphedeliste"/>
        <w:numPr>
          <w:ilvl w:val="0"/>
          <w:numId w:val="3"/>
        </w:num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sidRPr="00355C38">
        <w:rPr>
          <w:rFonts w:ascii="Times New Roman" w:hAnsi="Times New Roman" w:cs="Times New Roman"/>
          <w:b/>
          <w:bCs/>
          <w:sz w:val="24"/>
          <w:szCs w:val="24"/>
        </w:rPr>
        <w:t>MAPKKK de la voie JNK</w:t>
      </w:r>
    </w:p>
    <w:p w:rsidR="00B50A6B" w:rsidRPr="00A913DC" w:rsidRDefault="00624AF9" w:rsidP="00BC43D1">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A913DC">
        <w:rPr>
          <w:rFonts w:ascii="Times New Roman" w:hAnsi="Times New Roman" w:cs="Times New Roman"/>
          <w:sz w:val="24"/>
          <w:szCs w:val="24"/>
        </w:rPr>
        <w:lastRenderedPageBreak/>
        <w:t xml:space="preserve">      P</w:t>
      </w:r>
      <w:r w:rsidR="00B50A6B" w:rsidRPr="00A913DC">
        <w:rPr>
          <w:rFonts w:ascii="Times New Roman" w:hAnsi="Times New Roman" w:cs="Times New Roman"/>
          <w:sz w:val="24"/>
          <w:szCs w:val="24"/>
        </w:rPr>
        <w:t>lusieurs MAPKKX activent la voient JNK à divers degrés d’intensité. Bien que cette spécificité semble liée à la nature du stimulus activateur, elle reste pourtant très cryptique. Il n’en demeure pas moins que MEKKÏ est le premier activateur identifié de la voie JNK  et le plus puissant. Par la suite, plusieurs autres MAPKKK de cette voie ont été découvertes : MEKK2 et MEKK3, MEKK4, Mixed-lineage kinase 2 (MLK2) et MLK3, Apoptosis signal-regulating kinase 1 (ASK1) et ASK2 et TGF-β-activated kinase 1 (TAK1). De plus, d’autres protéines comme Dual leucine zipper-bearing kinase (DLK) ainsi que Thousand and one amino acid kinase 1 (TAO1) et TAO2 peuvent aussi activer cette voie, mais à un degré moindre.</w:t>
      </w:r>
    </w:p>
    <w:p w:rsidR="009C6984" w:rsidRPr="00BC43D1" w:rsidRDefault="00B50A6B" w:rsidP="00BC43D1">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A913DC">
        <w:rPr>
          <w:rFonts w:ascii="Times New Roman" w:hAnsi="Times New Roman" w:cs="Times New Roman"/>
          <w:sz w:val="24"/>
          <w:szCs w:val="24"/>
        </w:rPr>
        <w:t>Comme elles sont nombreuses, l’inactivation génique de ces différentes MAPKKK n’a pas permis l’indentification de l’une d’entre elles comme étant essentielle à la voie JNK. En effet, l’</w:t>
      </w:r>
      <w:r w:rsidR="00624AF9" w:rsidRPr="00A913DC">
        <w:rPr>
          <w:rFonts w:ascii="Times New Roman" w:hAnsi="Times New Roman" w:cs="Times New Roman"/>
          <w:sz w:val="24"/>
          <w:szCs w:val="24"/>
        </w:rPr>
        <w:t>absence de M</w:t>
      </w:r>
      <w:r w:rsidRPr="00A913DC">
        <w:rPr>
          <w:rFonts w:ascii="Times New Roman" w:hAnsi="Times New Roman" w:cs="Times New Roman"/>
          <w:sz w:val="24"/>
          <w:szCs w:val="24"/>
        </w:rPr>
        <w:t>EKK1 ou d’</w:t>
      </w:r>
      <w:r w:rsidR="00624AF9" w:rsidRPr="00A913DC">
        <w:rPr>
          <w:rFonts w:ascii="Times New Roman" w:hAnsi="Times New Roman" w:cs="Times New Roman"/>
          <w:sz w:val="24"/>
          <w:szCs w:val="24"/>
        </w:rPr>
        <w:t xml:space="preserve">autres MAPKKK </w:t>
      </w:r>
      <w:r w:rsidRPr="00A913DC">
        <w:rPr>
          <w:rFonts w:ascii="Times New Roman" w:hAnsi="Times New Roman" w:cs="Times New Roman"/>
          <w:sz w:val="24"/>
          <w:szCs w:val="24"/>
        </w:rPr>
        <w:t xml:space="preserve">n’empêche pas l’activation de la voie JNK par des stress comme les rayons ultraviolets (UV). Ces </w:t>
      </w:r>
      <w:r w:rsidR="00355C38">
        <w:rPr>
          <w:rFonts w:ascii="Times New Roman" w:hAnsi="Times New Roman" w:cs="Times New Roman"/>
          <w:sz w:val="24"/>
          <w:szCs w:val="24"/>
        </w:rPr>
        <w:t xml:space="preserve">données suggérent que plusieurs </w:t>
      </w:r>
      <w:r w:rsidRPr="00A913DC">
        <w:rPr>
          <w:rFonts w:ascii="Times New Roman" w:hAnsi="Times New Roman" w:cs="Times New Roman"/>
          <w:sz w:val="24"/>
          <w:szCs w:val="24"/>
        </w:rPr>
        <w:t>MAPKKK sont activées par un même stress, ou encore que la MAPKKK critique à la voie JNK n’a pas encore été inactivée.</w:t>
      </w:r>
    </w:p>
    <w:p w:rsidR="009C6984" w:rsidRPr="00A913DC" w:rsidRDefault="00355C38" w:rsidP="00BC43D1">
      <w:pPr>
        <w:autoSpaceDE w:val="0"/>
        <w:autoSpaceDN w:val="0"/>
        <w:adjustRightInd w:val="0"/>
        <w:spacing w:before="100" w:beforeAutospacing="1" w:after="100" w:afterAutospacing="1" w:line="360" w:lineRule="auto"/>
        <w:rPr>
          <w:rFonts w:asciiTheme="majorBidi" w:hAnsiTheme="majorBidi" w:cstheme="majorBidi"/>
          <w:b/>
          <w:bCs/>
          <w:sz w:val="24"/>
          <w:szCs w:val="24"/>
        </w:rPr>
      </w:pPr>
      <w:r>
        <w:rPr>
          <w:rFonts w:asciiTheme="majorBidi" w:hAnsiTheme="majorBidi" w:cstheme="majorBidi"/>
          <w:b/>
          <w:bCs/>
          <w:sz w:val="24"/>
          <w:szCs w:val="24"/>
        </w:rPr>
        <w:t>III.6.3.</w:t>
      </w:r>
      <w:r w:rsidR="009C6984" w:rsidRPr="00A913DC">
        <w:rPr>
          <w:rFonts w:asciiTheme="majorBidi" w:hAnsiTheme="majorBidi" w:cstheme="majorBidi"/>
          <w:b/>
          <w:bCs/>
          <w:sz w:val="24"/>
          <w:szCs w:val="24"/>
        </w:rPr>
        <w:t>La voie de p38</w:t>
      </w:r>
    </w:p>
    <w:p w:rsidR="00FE7A71" w:rsidRPr="00BC43D1" w:rsidRDefault="00FE7A71" w:rsidP="00BC43D1">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A913DC">
        <w:rPr>
          <w:rFonts w:ascii="Times New Roman" w:hAnsi="Times New Roman" w:cs="Times New Roman"/>
          <w:sz w:val="24"/>
          <w:szCs w:val="24"/>
        </w:rPr>
        <w:t>La voie MAP kinase p38 constitue un relais de prédilection pour les signaux de stress et d’inflammation. En effet, celle-ci est activée par les rayons UV, des chocs thermiques ou osmotiques, ainsi que par des facteurs de croissances et plusieurs cytokines inflammatoires. De plus, l’activation de la voie p38 est elle-même essentielle à la production de cytokines pro-inflammatoires, d’enzymes antioxydants, de protéines du r</w:t>
      </w:r>
      <w:r w:rsidR="00184443" w:rsidRPr="00A913DC">
        <w:rPr>
          <w:rFonts w:ascii="Times New Roman" w:hAnsi="Times New Roman" w:cs="Times New Roman"/>
          <w:sz w:val="24"/>
          <w:szCs w:val="24"/>
        </w:rPr>
        <w:t>emodelage tissulaire</w:t>
      </w:r>
      <w:r w:rsidRPr="00A913DC">
        <w:rPr>
          <w:rFonts w:ascii="Times New Roman" w:hAnsi="Times New Roman" w:cs="Times New Roman"/>
          <w:sz w:val="24"/>
          <w:szCs w:val="24"/>
        </w:rPr>
        <w:t xml:space="preserve"> et de nombreuses autresmolécules de l’infl</w:t>
      </w:r>
      <w:r w:rsidR="00184443" w:rsidRPr="00A913DC">
        <w:rPr>
          <w:rFonts w:ascii="Times New Roman" w:hAnsi="Times New Roman" w:cs="Times New Roman"/>
          <w:sz w:val="24"/>
          <w:szCs w:val="24"/>
        </w:rPr>
        <w:t>ammation</w:t>
      </w:r>
      <w:r w:rsidRPr="00A913DC">
        <w:rPr>
          <w:rFonts w:ascii="Times New Roman" w:hAnsi="Times New Roman" w:cs="Times New Roman"/>
          <w:sz w:val="24"/>
          <w:szCs w:val="24"/>
        </w:rPr>
        <w:t>. Enfin, la voie p38 est impliquée dans la prolifératio</w:t>
      </w:r>
      <w:r w:rsidR="00184443" w:rsidRPr="00A913DC">
        <w:rPr>
          <w:rFonts w:ascii="Times New Roman" w:hAnsi="Times New Roman" w:cs="Times New Roman"/>
          <w:sz w:val="24"/>
          <w:szCs w:val="24"/>
        </w:rPr>
        <w:t>n et la différenciation des cell</w:t>
      </w:r>
      <w:r w:rsidRPr="00A913DC">
        <w:rPr>
          <w:rFonts w:ascii="Times New Roman" w:hAnsi="Times New Roman" w:cs="Times New Roman"/>
          <w:sz w:val="24"/>
          <w:szCs w:val="24"/>
        </w:rPr>
        <w:t>ules du système immunitaire</w:t>
      </w:r>
      <w:r w:rsidR="00184443" w:rsidRPr="00A913DC">
        <w:rPr>
          <w:rFonts w:ascii="Times New Roman" w:hAnsi="Times New Roman" w:cs="Times New Roman"/>
          <w:sz w:val="24"/>
          <w:szCs w:val="24"/>
        </w:rPr>
        <w:t>.</w:t>
      </w:r>
    </w:p>
    <w:p w:rsidR="009C6984" w:rsidRPr="00BC43D1" w:rsidRDefault="009C6984" w:rsidP="00BC43D1">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sidRPr="00A913DC">
        <w:rPr>
          <w:rFonts w:asciiTheme="majorBidi" w:hAnsiTheme="majorBidi" w:cstheme="majorBidi"/>
          <w:sz w:val="24"/>
          <w:szCs w:val="24"/>
        </w:rPr>
        <w:t>La famille des MAPK  p38  est constituée de quatre isoformes issues de l’expression de gènes différents : p38α (MAPK14), p38β (MAPK11), p38γ (MAPK12) et p38δ (MAPK13), Les séquences en acides aminés des protéines p38α et p38β sont prochent à 75%, celles de p38γ et p38δ à 70 % entre elles. En revanche, p38γ et p38δ ne partagent qu’environ 60 % d’identité  avec p38α. L’expression de ces isoformes diffère selon le tissu considéré</w:t>
      </w:r>
      <w:r w:rsidR="00355C38">
        <w:rPr>
          <w:rFonts w:asciiTheme="majorBidi" w:hAnsiTheme="majorBidi" w:cstheme="majorBidi"/>
          <w:sz w:val="24"/>
          <w:szCs w:val="24"/>
        </w:rPr>
        <w:t>.</w:t>
      </w:r>
    </w:p>
    <w:p w:rsidR="009C6984" w:rsidRPr="00A913DC" w:rsidRDefault="009C6984" w:rsidP="007F2C1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lastRenderedPageBreak/>
        <w:t xml:space="preserve">        Ces facteurs activent les MAP3K nommées MEKK4, TAK1 ou ASK1 qui vont à leur tour activer les MAP2K impliquées dans la voie de p38 mais peuvent également  activer la voie de JNK.  Deux protéines MAP2K, MEK3 (MKK3) et MEK6 (MKK6), activent fortement les p38 MAP kinases. MEK3 paraît favoriser la phosphorylation de p38α et les isoformes de p38β, alors que MEK6 phosphoryle efficacement tous les membres de la famille p38</w:t>
      </w:r>
      <w:r w:rsidRPr="00A913DC">
        <w:rPr>
          <w:rFonts w:asciiTheme="majorBidi" w:hAnsiTheme="majorBidi" w:cstheme="majorBidi"/>
          <w:b/>
          <w:bCs/>
          <w:sz w:val="24"/>
          <w:szCs w:val="24"/>
        </w:rPr>
        <w:t>.</w:t>
      </w:r>
    </w:p>
    <w:p w:rsidR="009C6984" w:rsidRPr="00BC43D1" w:rsidRDefault="009C6984" w:rsidP="00BC43D1">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 xml:space="preserve">         L’activation de la voie de p38 est généralement associée à l’activation de facteurs de transcription et de protéines kinases impliqués dans la régulation des processus de mort cellulaire, de différenciation et de réponse inflammatoire.</w:t>
      </w:r>
    </w:p>
    <w:p w:rsidR="00536720" w:rsidRPr="00536720" w:rsidRDefault="009C6984" w:rsidP="00BC43D1">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sidRPr="00A913DC">
        <w:rPr>
          <w:rFonts w:ascii="Times New Roman" w:hAnsi="Times New Roman" w:cs="Times New Roman"/>
          <w:sz w:val="24"/>
          <w:szCs w:val="24"/>
        </w:rPr>
        <w:t xml:space="preserve">         De plus, l’activation de la voie p38 est elle-même essentielle à la production de cytokines pro-inflammatoires, d’enzymes antioxydants, de protéines du remodelage tissulaire et de nombreuses autres molécules de l’inflammation. Enfin, la voie p38 est impliquée dans la prolifération et la différenciation des cellules du système immunitaire</w:t>
      </w:r>
      <w:r w:rsidR="00536720">
        <w:rPr>
          <w:rFonts w:ascii="Times New Roman" w:hAnsi="Times New Roman" w:cs="Times New Roman"/>
          <w:sz w:val="24"/>
          <w:szCs w:val="24"/>
        </w:rPr>
        <w:t>.</w:t>
      </w:r>
    </w:p>
    <w:p w:rsidR="00900231" w:rsidRPr="00BC43D1" w:rsidRDefault="00900231" w:rsidP="00BC43D1">
      <w:pPr>
        <w:autoSpaceDE w:val="0"/>
        <w:autoSpaceDN w:val="0"/>
        <w:adjustRightInd w:val="0"/>
        <w:spacing w:before="100" w:beforeAutospacing="1" w:after="100" w:afterAutospacing="1" w:line="360" w:lineRule="auto"/>
        <w:rPr>
          <w:rFonts w:ascii="Times New Roman" w:hAnsi="Times New Roman" w:cs="Times New Roman"/>
          <w:b/>
          <w:bCs/>
          <w:sz w:val="24"/>
          <w:szCs w:val="24"/>
        </w:rPr>
      </w:pPr>
      <w:r>
        <w:rPr>
          <w:rFonts w:ascii="Times New Roman" w:hAnsi="Times New Roman" w:cs="Times New Roman"/>
          <w:b/>
          <w:bCs/>
          <w:sz w:val="24"/>
          <w:szCs w:val="24"/>
        </w:rPr>
        <w:t>III.6.3.1.</w:t>
      </w:r>
      <w:r w:rsidR="00184443" w:rsidRPr="00A913DC">
        <w:rPr>
          <w:rFonts w:ascii="Times New Roman" w:hAnsi="Times New Roman" w:cs="Times New Roman"/>
          <w:b/>
          <w:bCs/>
          <w:sz w:val="24"/>
          <w:szCs w:val="24"/>
        </w:rPr>
        <w:t>Composantes de la voie p38</w:t>
      </w:r>
    </w:p>
    <w:p w:rsidR="00592AB0" w:rsidRPr="00A913DC" w:rsidRDefault="00184443" w:rsidP="007F2C15">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A913DC">
        <w:rPr>
          <w:rFonts w:ascii="Times New Roman" w:hAnsi="Times New Roman" w:cs="Times New Roman"/>
          <w:sz w:val="24"/>
          <w:szCs w:val="24"/>
        </w:rPr>
        <w:t>Souvent activée par les mêmes stimuli, la voie p38 partage plusieurs MAPKKKimportantes avec l</w:t>
      </w:r>
      <w:r w:rsidR="00592AB0" w:rsidRPr="00A913DC">
        <w:rPr>
          <w:rFonts w:ascii="Times New Roman" w:hAnsi="Times New Roman" w:cs="Times New Roman"/>
          <w:sz w:val="24"/>
          <w:szCs w:val="24"/>
        </w:rPr>
        <w:t>a voie JNK</w:t>
      </w:r>
      <w:r w:rsidRPr="00A913DC">
        <w:rPr>
          <w:rFonts w:ascii="Times New Roman" w:hAnsi="Times New Roman" w:cs="Times New Roman"/>
          <w:sz w:val="24"/>
          <w:szCs w:val="24"/>
        </w:rPr>
        <w:t>. Celles-ci incluent TAK1, ASK1,DLK, MEKK1, MEKK3, MEKK4, MLK1, MLK</w:t>
      </w:r>
      <w:r w:rsidR="00592AB0" w:rsidRPr="00A913DC">
        <w:rPr>
          <w:rFonts w:ascii="Times New Roman" w:hAnsi="Times New Roman" w:cs="Times New Roman"/>
          <w:sz w:val="24"/>
          <w:szCs w:val="24"/>
        </w:rPr>
        <w:t>2 et MLK3</w:t>
      </w:r>
      <w:r w:rsidRPr="00A913DC">
        <w:rPr>
          <w:rFonts w:ascii="Times New Roman" w:hAnsi="Times New Roman" w:cs="Times New Roman"/>
          <w:sz w:val="24"/>
          <w:szCs w:val="24"/>
        </w:rPr>
        <w:t>, dont la surexpression active la voie p38 et la voie JNK avecdes efficacités variables.</w:t>
      </w:r>
    </w:p>
    <w:p w:rsidR="009C6984" w:rsidRPr="00A913DC" w:rsidRDefault="00184443" w:rsidP="007F2C15">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A913DC">
        <w:rPr>
          <w:rFonts w:ascii="Times New Roman" w:hAnsi="Times New Roman" w:cs="Times New Roman"/>
          <w:sz w:val="24"/>
          <w:szCs w:val="24"/>
        </w:rPr>
        <w:t>Les MAPKK MKK3 et MKK6 sont identiques à 80%. L’inactivation génique del’une ou de l’autre engendre des défauts immunologiques qui n’affectent pas la viabilité nila fertilité des souris. En revanche, la double inactivation de MKK3 et MKK6 engendre une</w:t>
      </w:r>
      <w:r w:rsidR="00592AB0" w:rsidRPr="00A913DC">
        <w:rPr>
          <w:rFonts w:ascii="Times New Roman" w:hAnsi="Times New Roman" w:cs="Times New Roman"/>
          <w:sz w:val="24"/>
          <w:szCs w:val="24"/>
        </w:rPr>
        <w:t xml:space="preserve"> létalité </w:t>
      </w:r>
      <w:r w:rsidRPr="00A913DC">
        <w:rPr>
          <w:rFonts w:ascii="Times New Roman" w:hAnsi="Times New Roman" w:cs="Times New Roman"/>
          <w:sz w:val="24"/>
          <w:szCs w:val="24"/>
        </w:rPr>
        <w:t>découlant de sévères défauts de vascularisati</w:t>
      </w:r>
      <w:r w:rsidR="00B42F8A" w:rsidRPr="00A913DC">
        <w:rPr>
          <w:rFonts w:ascii="Times New Roman" w:hAnsi="Times New Roman" w:cs="Times New Roman"/>
          <w:sz w:val="24"/>
          <w:szCs w:val="24"/>
        </w:rPr>
        <w:t>on</w:t>
      </w:r>
      <w:r w:rsidRPr="00A913DC">
        <w:rPr>
          <w:rFonts w:ascii="Times New Roman" w:hAnsi="Times New Roman" w:cs="Times New Roman"/>
          <w:sz w:val="24"/>
          <w:szCs w:val="24"/>
        </w:rPr>
        <w:t>. Tandis que MKK6 active efficacement les quatre isoformes de p38, MKK3 est incapable d’ac</w:t>
      </w:r>
      <w:r w:rsidR="00592AB0" w:rsidRPr="00A913DC">
        <w:rPr>
          <w:rFonts w:ascii="Times New Roman" w:hAnsi="Times New Roman" w:cs="Times New Roman"/>
          <w:sz w:val="24"/>
          <w:szCs w:val="24"/>
        </w:rPr>
        <w:t>tiver p38β</w:t>
      </w:r>
      <w:r w:rsidRPr="00A913DC">
        <w:rPr>
          <w:rFonts w:ascii="Times New Roman" w:hAnsi="Times New Roman" w:cs="Times New Roman"/>
          <w:sz w:val="24"/>
          <w:szCs w:val="24"/>
        </w:rPr>
        <w:t>. Par ailleurs, la MAPKKMKK4, activée dans la voie JNK peut conduire à l’</w:t>
      </w:r>
      <w:r w:rsidR="00592AB0" w:rsidRPr="00A913DC">
        <w:rPr>
          <w:rFonts w:ascii="Times New Roman" w:hAnsi="Times New Roman" w:cs="Times New Roman"/>
          <w:sz w:val="24"/>
          <w:szCs w:val="24"/>
        </w:rPr>
        <w:t>activation de p38α</w:t>
      </w:r>
      <w:r w:rsidRPr="00A913DC">
        <w:rPr>
          <w:rFonts w:ascii="Times New Roman" w:hAnsi="Times New Roman" w:cs="Times New Roman"/>
          <w:sz w:val="24"/>
          <w:szCs w:val="24"/>
        </w:rPr>
        <w:t xml:space="preserve"> et p38</w:t>
      </w:r>
      <w:r w:rsidR="00592AB0" w:rsidRPr="00A913DC">
        <w:rPr>
          <w:rFonts w:ascii="Times New Roman" w:hAnsi="Times New Roman" w:cs="Times New Roman"/>
          <w:sz w:val="24"/>
          <w:szCs w:val="24"/>
        </w:rPr>
        <w:t>δ</w:t>
      </w:r>
      <w:r w:rsidRPr="00A913DC">
        <w:rPr>
          <w:rFonts w:ascii="Times New Roman" w:hAnsi="Times New Roman" w:cs="Times New Roman"/>
          <w:sz w:val="24"/>
          <w:szCs w:val="24"/>
        </w:rPr>
        <w:t xml:space="preserve"> danscertaines conditions</w:t>
      </w:r>
      <w:r w:rsidR="00592AB0" w:rsidRPr="00A913DC">
        <w:rPr>
          <w:rFonts w:ascii="Times New Roman" w:hAnsi="Times New Roman" w:cs="Times New Roman"/>
          <w:sz w:val="24"/>
          <w:szCs w:val="24"/>
        </w:rPr>
        <w:t xml:space="preserve"> cellulaires</w:t>
      </w:r>
      <w:r w:rsidRPr="00A913DC">
        <w:rPr>
          <w:rFonts w:ascii="Times New Roman" w:hAnsi="Times New Roman" w:cs="Times New Roman"/>
          <w:sz w:val="24"/>
          <w:szCs w:val="24"/>
        </w:rPr>
        <w:t>. MKK4 contribue à l’activation des MAPkinases p38 par les rayons UV, mais MKK3 et MKK6 seuls relayent l’activation de p38 par</w:t>
      </w:r>
      <w:r w:rsidR="00592AB0" w:rsidRPr="00A913DC">
        <w:rPr>
          <w:rFonts w:ascii="Times New Roman" w:hAnsi="Times New Roman" w:cs="Times New Roman"/>
          <w:sz w:val="24"/>
          <w:szCs w:val="24"/>
        </w:rPr>
        <w:t xml:space="preserve"> le Tum</w:t>
      </w:r>
      <w:r w:rsidRPr="00A913DC">
        <w:rPr>
          <w:rFonts w:ascii="Times New Roman" w:hAnsi="Times New Roman" w:cs="Times New Roman"/>
          <w:sz w:val="24"/>
          <w:szCs w:val="24"/>
        </w:rPr>
        <w:t>or necrosis factor</w:t>
      </w:r>
      <w:r w:rsidR="00B42F8A" w:rsidRPr="00A913DC">
        <w:rPr>
          <w:rFonts w:ascii="Times New Roman" w:hAnsi="Times New Roman" w:cs="Times New Roman"/>
          <w:sz w:val="24"/>
          <w:szCs w:val="24"/>
        </w:rPr>
        <w:t xml:space="preserve"> α (TNFα</w:t>
      </w:r>
      <w:r w:rsidR="00592AB0" w:rsidRPr="00A913DC">
        <w:rPr>
          <w:rFonts w:ascii="Times New Roman" w:hAnsi="Times New Roman" w:cs="Times New Roman"/>
          <w:sz w:val="24"/>
          <w:szCs w:val="24"/>
        </w:rPr>
        <w:t>)</w:t>
      </w:r>
      <w:r w:rsidRPr="00A913DC">
        <w:rPr>
          <w:rFonts w:ascii="Times New Roman" w:hAnsi="Times New Roman" w:cs="Times New Roman"/>
          <w:sz w:val="24"/>
          <w:szCs w:val="24"/>
        </w:rPr>
        <w:t xml:space="preserve">. En somme, MKK3 et MKK6exercent chacun une </w:t>
      </w:r>
      <w:r w:rsidR="00B42F8A" w:rsidRPr="00A913DC">
        <w:rPr>
          <w:rFonts w:ascii="Times New Roman" w:hAnsi="Times New Roman" w:cs="Times New Roman"/>
          <w:sz w:val="24"/>
          <w:szCs w:val="24"/>
        </w:rPr>
        <w:t>spécificité malgré l</w:t>
      </w:r>
      <w:r w:rsidR="00592AB0" w:rsidRPr="00A913DC">
        <w:rPr>
          <w:rFonts w:ascii="Times New Roman" w:hAnsi="Times New Roman" w:cs="Times New Roman"/>
          <w:sz w:val="24"/>
          <w:szCs w:val="24"/>
        </w:rPr>
        <w:t>eur action l</w:t>
      </w:r>
      <w:r w:rsidRPr="00A913DC">
        <w:rPr>
          <w:rFonts w:ascii="Times New Roman" w:hAnsi="Times New Roman" w:cs="Times New Roman"/>
          <w:sz w:val="24"/>
          <w:szCs w:val="24"/>
        </w:rPr>
        <w:t>argement redondante, et elles sontconsidérées comme les principales MAPKK de la voie p38.</w:t>
      </w:r>
    </w:p>
    <w:p w:rsidR="009C6984" w:rsidRPr="00A913DC" w:rsidRDefault="009C6984" w:rsidP="007F2C15">
      <w:pPr>
        <w:autoSpaceDE w:val="0"/>
        <w:autoSpaceDN w:val="0"/>
        <w:adjustRightInd w:val="0"/>
        <w:spacing w:before="100" w:beforeAutospacing="1" w:after="100" w:afterAutospacing="1" w:line="360" w:lineRule="auto"/>
        <w:jc w:val="both"/>
        <w:rPr>
          <w:rFonts w:ascii="MetaPlusBold-Roman" w:hAnsi="MetaPlusBold-Roman" w:cs="MetaPlusBold-Roman"/>
          <w:b/>
          <w:bCs/>
          <w:color w:val="5960A7"/>
          <w:sz w:val="24"/>
          <w:szCs w:val="24"/>
        </w:rPr>
      </w:pPr>
    </w:p>
    <w:p w:rsidR="00184443" w:rsidRPr="00A913DC" w:rsidRDefault="00184443" w:rsidP="007F2C15">
      <w:pPr>
        <w:autoSpaceDE w:val="0"/>
        <w:autoSpaceDN w:val="0"/>
        <w:adjustRightInd w:val="0"/>
        <w:spacing w:before="100" w:beforeAutospacing="1" w:after="100" w:afterAutospacing="1" w:line="360" w:lineRule="auto"/>
        <w:jc w:val="both"/>
        <w:rPr>
          <w:rFonts w:ascii="MetaPlusBold-Roman" w:hAnsi="MetaPlusBold-Roman" w:cs="MetaPlusBold-Roman"/>
          <w:b/>
          <w:bCs/>
          <w:color w:val="5960A7"/>
          <w:sz w:val="24"/>
          <w:szCs w:val="24"/>
        </w:rPr>
      </w:pPr>
    </w:p>
    <w:p w:rsidR="00184443" w:rsidRPr="00A913DC" w:rsidRDefault="00171706" w:rsidP="00171706">
      <w:pPr>
        <w:autoSpaceDE w:val="0"/>
        <w:autoSpaceDN w:val="0"/>
        <w:adjustRightInd w:val="0"/>
        <w:spacing w:before="100" w:beforeAutospacing="1" w:after="100" w:afterAutospacing="1" w:line="360" w:lineRule="auto"/>
        <w:jc w:val="both"/>
        <w:rPr>
          <w:rFonts w:ascii="MetaPlusBold-Roman" w:hAnsi="MetaPlusBold-Roman" w:cs="MetaPlusBold-Roman"/>
          <w:b/>
          <w:bCs/>
          <w:color w:val="5960A7"/>
          <w:sz w:val="24"/>
          <w:szCs w:val="24"/>
        </w:rPr>
      </w:pPr>
      <w:r>
        <w:rPr>
          <w:noProof/>
          <w:lang w:eastAsia="fr-FR"/>
        </w:rPr>
        <w:drawing>
          <wp:inline distT="0" distB="0" distL="0" distR="0">
            <wp:extent cx="5760720" cy="4060825"/>
            <wp:effectExtent l="19050" t="1905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060825"/>
                    </a:xfrm>
                    <a:prstGeom prst="rect">
                      <a:avLst/>
                    </a:prstGeom>
                    <a:ln>
                      <a:solidFill>
                        <a:schemeClr val="tx1"/>
                      </a:solidFill>
                    </a:ln>
                  </pic:spPr>
                </pic:pic>
              </a:graphicData>
            </a:graphic>
          </wp:inline>
        </w:drawing>
      </w:r>
    </w:p>
    <w:p w:rsidR="009C6984" w:rsidRPr="00900231" w:rsidRDefault="00900231" w:rsidP="007F2C15">
      <w:pPr>
        <w:tabs>
          <w:tab w:val="left" w:pos="3485"/>
        </w:tabs>
        <w:autoSpaceDE w:val="0"/>
        <w:autoSpaceDN w:val="0"/>
        <w:adjustRightInd w:val="0"/>
        <w:spacing w:before="100" w:beforeAutospacing="1" w:after="100" w:afterAutospacing="1" w:line="360" w:lineRule="auto"/>
        <w:jc w:val="center"/>
        <w:rPr>
          <w:rFonts w:asciiTheme="majorBidi" w:hAnsiTheme="majorBidi" w:cstheme="majorBidi"/>
          <w:b/>
          <w:bCs/>
          <w:color w:val="5960A7"/>
          <w:sz w:val="24"/>
          <w:szCs w:val="24"/>
        </w:rPr>
      </w:pPr>
      <w:r w:rsidRPr="00171706">
        <w:rPr>
          <w:rFonts w:asciiTheme="majorBidi" w:hAnsiTheme="majorBidi" w:cstheme="majorBidi"/>
          <w:b/>
          <w:bCs/>
          <w:color w:val="000000" w:themeColor="text1"/>
          <w:sz w:val="24"/>
          <w:szCs w:val="24"/>
        </w:rPr>
        <w:t xml:space="preserve">Figure 22 : </w:t>
      </w:r>
      <w:r w:rsidR="009C6984" w:rsidRPr="00BC50EB">
        <w:rPr>
          <w:rFonts w:asciiTheme="majorBidi" w:hAnsiTheme="majorBidi" w:cstheme="majorBidi"/>
          <w:color w:val="000000" w:themeColor="text1"/>
          <w:sz w:val="24"/>
          <w:szCs w:val="24"/>
        </w:rPr>
        <w:t>Activation de la p 38 Map kinase</w:t>
      </w:r>
      <w:r>
        <w:rPr>
          <w:rFonts w:asciiTheme="majorBidi" w:hAnsiTheme="majorBidi" w:cstheme="majorBidi"/>
          <w:b/>
          <w:bCs/>
          <w:sz w:val="24"/>
          <w:szCs w:val="24"/>
        </w:rPr>
        <w:t>(</w:t>
      </w:r>
      <w:r w:rsidR="009C6984" w:rsidRPr="00A913DC">
        <w:rPr>
          <w:rFonts w:asciiTheme="majorBidi" w:hAnsiTheme="majorBidi" w:cstheme="majorBidi"/>
          <w:b/>
          <w:bCs/>
          <w:sz w:val="24"/>
          <w:szCs w:val="24"/>
        </w:rPr>
        <w:t>Clark et Dean, 2012</w:t>
      </w:r>
      <w:r>
        <w:rPr>
          <w:rFonts w:asciiTheme="majorBidi" w:hAnsiTheme="majorBidi" w:cstheme="majorBidi"/>
          <w:b/>
          <w:bCs/>
          <w:sz w:val="24"/>
          <w:szCs w:val="24"/>
        </w:rPr>
        <w:t>)</w:t>
      </w:r>
    </w:p>
    <w:p w:rsidR="009C6984" w:rsidRPr="00A913DC" w:rsidRDefault="00900231" w:rsidP="00BC43D1">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III.7. </w:t>
      </w:r>
      <w:r w:rsidR="009C6984" w:rsidRPr="00A913DC">
        <w:rPr>
          <w:rFonts w:asciiTheme="majorBidi" w:hAnsiTheme="majorBidi" w:cstheme="majorBidi"/>
          <w:b/>
          <w:bCs/>
          <w:sz w:val="24"/>
          <w:szCs w:val="24"/>
        </w:rPr>
        <w:t>La voie de signalisation JAK/STAT</w:t>
      </w:r>
    </w:p>
    <w:p w:rsidR="009C6984" w:rsidRPr="00BC43D1" w:rsidRDefault="009C6984" w:rsidP="00BC43D1">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color w:val="000000"/>
          <w:sz w:val="24"/>
          <w:szCs w:val="24"/>
        </w:rPr>
        <w:t xml:space="preserve">           La voie de signalisation JAK/STAT participe à la régulation de la réponse cellulaire aux cytokines et aux facteurs de croissance. Suite à l’activation par une cytokine ou un facteur de croissance, la voie de signalisation utilise </w:t>
      </w:r>
      <w:r w:rsidRPr="00A913DC">
        <w:rPr>
          <w:rFonts w:asciiTheme="majorBidi" w:hAnsiTheme="majorBidi" w:cstheme="majorBidi"/>
          <w:b/>
          <w:bCs/>
          <w:color w:val="000000"/>
          <w:sz w:val="24"/>
          <w:szCs w:val="24"/>
        </w:rPr>
        <w:t>les protéines JAK(Janus kinases)</w:t>
      </w:r>
      <w:r w:rsidRPr="00A913DC">
        <w:rPr>
          <w:rFonts w:asciiTheme="majorBidi" w:hAnsiTheme="majorBidi" w:cstheme="majorBidi"/>
          <w:color w:val="000000"/>
          <w:sz w:val="24"/>
          <w:szCs w:val="24"/>
        </w:rPr>
        <w:t xml:space="preserve"> et </w:t>
      </w:r>
      <w:r w:rsidRPr="00A913DC">
        <w:rPr>
          <w:rFonts w:asciiTheme="majorBidi" w:hAnsiTheme="majorBidi" w:cstheme="majorBidi"/>
          <w:b/>
          <w:bCs/>
          <w:color w:val="000000"/>
          <w:sz w:val="24"/>
          <w:szCs w:val="24"/>
        </w:rPr>
        <w:t>STATs (Signal transducers and activators of transcription)</w:t>
      </w:r>
      <w:r w:rsidRPr="00A913DC">
        <w:rPr>
          <w:rFonts w:asciiTheme="majorBidi" w:hAnsiTheme="majorBidi" w:cstheme="majorBidi"/>
          <w:color w:val="000000"/>
          <w:sz w:val="24"/>
          <w:szCs w:val="24"/>
        </w:rPr>
        <w:t xml:space="preserve"> pour transmettre le signal extracellulaire vers le noyau dans lequel les protéines STATs activées modulent l’expression génique. Cette voie de signalisation joue un rôle critique dans la prolifération cellulaire et la différentiation</w:t>
      </w:r>
      <w:r w:rsidR="00900231">
        <w:rPr>
          <w:rFonts w:asciiTheme="majorBidi" w:hAnsiTheme="majorBidi" w:cstheme="majorBidi"/>
          <w:color w:val="000000"/>
          <w:sz w:val="24"/>
          <w:szCs w:val="24"/>
        </w:rPr>
        <w:t xml:space="preserve"> cellulaire</w:t>
      </w:r>
      <w:r w:rsidRPr="00A913DC">
        <w:rPr>
          <w:rFonts w:asciiTheme="majorBidi" w:hAnsiTheme="majorBidi" w:cstheme="majorBidi"/>
          <w:color w:val="000000"/>
          <w:sz w:val="24"/>
          <w:szCs w:val="24"/>
        </w:rPr>
        <w:t xml:space="preserve"> et l’apoptose. Elle est particulièrement importante dans l’hématopoïèse.</w:t>
      </w:r>
    </w:p>
    <w:p w:rsidR="009C6984" w:rsidRPr="00BC43D1" w:rsidRDefault="009C6984" w:rsidP="00BC43D1">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color w:val="000000"/>
          <w:sz w:val="24"/>
          <w:szCs w:val="24"/>
        </w:rPr>
        <w:lastRenderedPageBreak/>
        <w:t xml:space="preserve"> Les protéines JAKs qui ont une activité tyrosine kinase se fixent sur certains récepteurs des cytokines. La fixation du ligand à son récepteur va activer JAK. L’activité kinasique de JAK étant augmentée va résulter en une phosphorylation accrue de résidus tyrosine sur le récepteur et ainsi créer des sites d’interaction avec des protéines qui contiennent des domaines SH2 fixant les phosphotyrosines. Or les protéines STATs possèdent des domaines SH2 capables de fixer ces résidus phosphotyrosine qui sont ainsi recrutés sur les récepteurs et sont eux-mêmes phosphorylés au niveau de leurs résidus tyrosine par JAKs. Ces phosphotyrosines vont ensuite servir de fixation pour les domaines SH2 d’autres molécules STATs, favorisant </w:t>
      </w:r>
      <w:r w:rsidRPr="00A913DC">
        <w:rPr>
          <w:rFonts w:asciiTheme="majorBidi" w:hAnsiTheme="majorBidi" w:cstheme="majorBidi"/>
          <w:sz w:val="24"/>
          <w:szCs w:val="24"/>
        </w:rPr>
        <w:t>ainsi leur dimérisation. Ainsi différentes protéines STATs peuventformer des homodimères ou des hétérodimères. Ces dimèresde STATs ainsi activés vont transloquer vers le noyau cellulaireet activer la transcription de gènes cibles. Par ailleurs lesSTATs peuvent aussi être directement phosphorylées au niveaude leurs résidus tyrosine par des tyrosines kinases présentesau niveau du récepteur (ex. récepteur de l’EGF ou « Epidermalgrowth factor ») ou par des tyrosines kinases de type c-src.</w:t>
      </w:r>
    </w:p>
    <w:p w:rsidR="009C6984" w:rsidRPr="00A913DC" w:rsidRDefault="009C6984" w:rsidP="00450277">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 xml:space="preserve">       La voie des STAT est souvent accompagnée d’un rétrocontrôle négatif. En effet, STAT stimule aussi la production de protéines inhibitrices telle que SOCS3 (</w:t>
      </w:r>
      <w:r w:rsidRPr="00A913DC">
        <w:rPr>
          <w:rFonts w:asciiTheme="majorBidi" w:hAnsiTheme="majorBidi" w:cstheme="majorBidi"/>
          <w:i/>
          <w:iCs/>
          <w:sz w:val="24"/>
          <w:szCs w:val="24"/>
        </w:rPr>
        <w:t>suppressor of cytokine signalling 3</w:t>
      </w:r>
      <w:r w:rsidRPr="00A913DC">
        <w:rPr>
          <w:rFonts w:asciiTheme="majorBidi" w:hAnsiTheme="majorBidi" w:cstheme="majorBidi"/>
          <w:sz w:val="24"/>
          <w:szCs w:val="24"/>
        </w:rPr>
        <w:t>) qui va inactiver JAK et STAT5 qui par rétrocontrôle inactive la STAT phosphorylée. L’autre mécanisme de désactivation passe par les tyrosine-phosphatases. Ainsi, les JAK sont inhibés par la tyrosine-phosphatase SHP-1</w:t>
      </w:r>
    </w:p>
    <w:p w:rsidR="009C6984" w:rsidRPr="00A913DC" w:rsidRDefault="009C6984" w:rsidP="007F2C1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noProof/>
          <w:sz w:val="24"/>
          <w:szCs w:val="24"/>
          <w:lang w:eastAsia="fr-FR"/>
        </w:rPr>
        <w:lastRenderedPageBreak/>
        <w:drawing>
          <wp:inline distT="0" distB="0" distL="0" distR="0">
            <wp:extent cx="5760720" cy="3708587"/>
            <wp:effectExtent l="19050" t="19050" r="0" b="6350"/>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760720" cy="3708587"/>
                    </a:xfrm>
                    <a:prstGeom prst="rect">
                      <a:avLst/>
                    </a:prstGeom>
                    <a:noFill/>
                    <a:ln w="9525">
                      <a:solidFill>
                        <a:schemeClr val="tx1"/>
                      </a:solidFill>
                      <a:miter lim="800000"/>
                      <a:headEnd/>
                      <a:tailEnd/>
                    </a:ln>
                  </pic:spPr>
                </pic:pic>
              </a:graphicData>
            </a:graphic>
          </wp:inline>
        </w:drawing>
      </w:r>
    </w:p>
    <w:p w:rsidR="00450277" w:rsidRPr="00A913DC" w:rsidRDefault="00900231" w:rsidP="005D317F">
      <w:pPr>
        <w:autoSpaceDE w:val="0"/>
        <w:autoSpaceDN w:val="0"/>
        <w:adjustRightInd w:val="0"/>
        <w:spacing w:before="100" w:beforeAutospacing="1" w:after="100" w:afterAutospacing="1" w:line="360" w:lineRule="auto"/>
        <w:jc w:val="center"/>
        <w:rPr>
          <w:rFonts w:asciiTheme="majorBidi" w:hAnsiTheme="majorBidi" w:cstheme="majorBidi"/>
          <w:b/>
          <w:bCs/>
          <w:sz w:val="24"/>
          <w:szCs w:val="24"/>
        </w:rPr>
      </w:pPr>
      <w:r>
        <w:rPr>
          <w:rFonts w:asciiTheme="majorBidi" w:hAnsiTheme="majorBidi" w:cstheme="majorBidi"/>
          <w:b/>
          <w:bCs/>
          <w:sz w:val="24"/>
          <w:szCs w:val="24"/>
        </w:rPr>
        <w:t>Figure 23</w:t>
      </w:r>
      <w:r w:rsidR="009C6984" w:rsidRPr="00A913DC">
        <w:rPr>
          <w:rFonts w:asciiTheme="majorBidi" w:hAnsiTheme="majorBidi" w:cstheme="majorBidi"/>
          <w:b/>
          <w:bCs/>
          <w:sz w:val="24"/>
          <w:szCs w:val="24"/>
        </w:rPr>
        <w:t>:</w:t>
      </w:r>
      <w:r w:rsidR="009C6984" w:rsidRPr="00A913DC">
        <w:rPr>
          <w:rFonts w:asciiTheme="majorBidi" w:hAnsiTheme="majorBidi" w:cstheme="majorBidi"/>
          <w:sz w:val="24"/>
          <w:szCs w:val="24"/>
        </w:rPr>
        <w:t>La voie JAK/STA</w:t>
      </w:r>
      <w:r w:rsidR="00BC43D1">
        <w:rPr>
          <w:rFonts w:asciiTheme="majorBidi" w:hAnsiTheme="majorBidi" w:cstheme="majorBidi"/>
          <w:sz w:val="24"/>
          <w:szCs w:val="24"/>
        </w:rPr>
        <w:t>T</w:t>
      </w:r>
      <w:r w:rsidR="009C6984" w:rsidRPr="00A913DC">
        <w:rPr>
          <w:rFonts w:asciiTheme="majorBidi" w:hAnsiTheme="majorBidi" w:cstheme="majorBidi"/>
          <w:b/>
          <w:bCs/>
          <w:sz w:val="24"/>
          <w:szCs w:val="24"/>
        </w:rPr>
        <w:t>(Herbein,</w:t>
      </w:r>
      <w:r w:rsidR="005D317F">
        <w:rPr>
          <w:rFonts w:asciiTheme="majorBidi" w:hAnsiTheme="majorBidi" w:cstheme="majorBidi"/>
          <w:b/>
          <w:bCs/>
          <w:sz w:val="24"/>
          <w:szCs w:val="24"/>
        </w:rPr>
        <w:t>2010)</w:t>
      </w:r>
    </w:p>
    <w:p w:rsidR="009C6984" w:rsidRDefault="00450277" w:rsidP="007F2C1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59264" behindDoc="1" locked="0" layoutInCell="1" allowOverlap="1">
            <wp:simplePos x="0" y="0"/>
            <wp:positionH relativeFrom="column">
              <wp:posOffset>336514</wp:posOffset>
            </wp:positionH>
            <wp:positionV relativeFrom="paragraph">
              <wp:posOffset>69494</wp:posOffset>
            </wp:positionV>
            <wp:extent cx="5053832" cy="3016938"/>
            <wp:effectExtent l="19050" t="19050" r="0" b="0"/>
            <wp:wrapNone/>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053832" cy="3016938"/>
                    </a:xfrm>
                    <a:prstGeom prst="rect">
                      <a:avLst/>
                    </a:prstGeom>
                    <a:noFill/>
                    <a:ln w="9525">
                      <a:solidFill>
                        <a:schemeClr val="tx1"/>
                      </a:solidFill>
                      <a:miter lim="800000"/>
                      <a:headEnd/>
                      <a:tailEnd/>
                    </a:ln>
                  </pic:spPr>
                </pic:pic>
              </a:graphicData>
            </a:graphic>
          </wp:anchor>
        </w:drawing>
      </w:r>
    </w:p>
    <w:p w:rsidR="00450277" w:rsidRDefault="00CD1CF9" w:rsidP="00CD1CF9">
      <w:pPr>
        <w:tabs>
          <w:tab w:val="left" w:pos="2355"/>
        </w:tabs>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ab/>
      </w:r>
    </w:p>
    <w:p w:rsidR="00450277" w:rsidRPr="00A913DC" w:rsidRDefault="00450277" w:rsidP="007F2C1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p>
    <w:p w:rsidR="009C6984" w:rsidRPr="00A913DC" w:rsidRDefault="009C6984" w:rsidP="007F2C1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p>
    <w:p w:rsidR="009C6984" w:rsidRPr="00A913DC" w:rsidRDefault="009C6984" w:rsidP="007F2C1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p>
    <w:p w:rsidR="009C6984" w:rsidRPr="00A913DC" w:rsidRDefault="009C6984" w:rsidP="007F2C1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p>
    <w:p w:rsidR="00450277" w:rsidRPr="00A913DC" w:rsidRDefault="00450277" w:rsidP="007F2C15">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p>
    <w:p w:rsidR="009C6984" w:rsidRPr="00A913DC" w:rsidRDefault="00900231" w:rsidP="007F2C15">
      <w:pPr>
        <w:autoSpaceDE w:val="0"/>
        <w:autoSpaceDN w:val="0"/>
        <w:adjustRightInd w:val="0"/>
        <w:spacing w:before="100" w:beforeAutospacing="1" w:after="100" w:afterAutospacing="1" w:line="360" w:lineRule="auto"/>
        <w:jc w:val="center"/>
        <w:rPr>
          <w:rFonts w:asciiTheme="majorBidi" w:eastAsia="ArialMT" w:hAnsiTheme="majorBidi" w:cstheme="majorBidi"/>
          <w:sz w:val="24"/>
          <w:szCs w:val="24"/>
        </w:rPr>
      </w:pPr>
      <w:r>
        <w:rPr>
          <w:rFonts w:asciiTheme="majorBidi" w:eastAsia="ArialMT" w:hAnsiTheme="majorBidi" w:cstheme="majorBidi"/>
          <w:b/>
          <w:bCs/>
          <w:sz w:val="24"/>
          <w:szCs w:val="24"/>
        </w:rPr>
        <w:t>Figure 24</w:t>
      </w:r>
      <w:r w:rsidR="009C6984" w:rsidRPr="00A913DC">
        <w:rPr>
          <w:rFonts w:asciiTheme="majorBidi" w:eastAsia="ArialMT" w:hAnsiTheme="majorBidi" w:cstheme="majorBidi"/>
          <w:b/>
          <w:bCs/>
          <w:sz w:val="24"/>
          <w:szCs w:val="24"/>
        </w:rPr>
        <w:t> :</w:t>
      </w:r>
      <w:r w:rsidR="009C6984" w:rsidRPr="00A913DC">
        <w:rPr>
          <w:rFonts w:asciiTheme="majorBidi" w:eastAsia="ArialMT" w:hAnsiTheme="majorBidi" w:cstheme="majorBidi"/>
          <w:sz w:val="24"/>
          <w:szCs w:val="24"/>
        </w:rPr>
        <w:t xml:space="preserve"> Inhibition de la voie de signalisation intracellulaire JAK/STAT et MAPK       </w:t>
      </w:r>
      <w:r w:rsidR="009C6984" w:rsidRPr="00A913DC">
        <w:rPr>
          <w:rFonts w:asciiTheme="majorBidi" w:eastAsia="ArialMT" w:hAnsiTheme="majorBidi" w:cstheme="majorBidi"/>
          <w:b/>
          <w:bCs/>
          <w:sz w:val="24"/>
          <w:szCs w:val="24"/>
        </w:rPr>
        <w:t>(COHEN-SOLAL, 2007)</w:t>
      </w:r>
    </w:p>
    <w:p w:rsidR="009C6984" w:rsidRPr="00900231" w:rsidRDefault="009C6984" w:rsidP="00BC43D1">
      <w:pPr>
        <w:pStyle w:val="Paragraphedeliste"/>
        <w:numPr>
          <w:ilvl w:val="0"/>
          <w:numId w:val="6"/>
        </w:numPr>
        <w:autoSpaceDE w:val="0"/>
        <w:autoSpaceDN w:val="0"/>
        <w:adjustRightInd w:val="0"/>
        <w:spacing w:before="100" w:beforeAutospacing="1" w:after="100" w:afterAutospacing="1" w:line="240" w:lineRule="auto"/>
        <w:jc w:val="both"/>
        <w:rPr>
          <w:rFonts w:asciiTheme="majorBidi" w:eastAsia="ArialMT" w:hAnsiTheme="majorBidi" w:cstheme="majorBidi"/>
          <w:sz w:val="24"/>
          <w:szCs w:val="24"/>
        </w:rPr>
      </w:pPr>
      <w:r w:rsidRPr="00900231">
        <w:rPr>
          <w:rFonts w:asciiTheme="majorBidi" w:eastAsia="ArialMT" w:hAnsiTheme="majorBidi" w:cstheme="majorBidi"/>
          <w:sz w:val="24"/>
          <w:szCs w:val="24"/>
        </w:rPr>
        <w:t>MAPK phosphatases pour la voie MAPK</w:t>
      </w:r>
    </w:p>
    <w:p w:rsidR="00BC43D1" w:rsidRDefault="009C6984" w:rsidP="00BC43D1">
      <w:pPr>
        <w:autoSpaceDE w:val="0"/>
        <w:autoSpaceDN w:val="0"/>
        <w:adjustRightInd w:val="0"/>
        <w:spacing w:before="100" w:beforeAutospacing="1" w:after="100" w:afterAutospacing="1" w:line="240" w:lineRule="auto"/>
        <w:rPr>
          <w:rFonts w:asciiTheme="majorBidi" w:eastAsia="ArialMT" w:hAnsiTheme="majorBidi" w:cstheme="majorBidi"/>
          <w:sz w:val="24"/>
          <w:szCs w:val="24"/>
        </w:rPr>
      </w:pPr>
      <w:r w:rsidRPr="00A913DC">
        <w:rPr>
          <w:rFonts w:asciiTheme="majorBidi" w:eastAsia="Neo-Symbol" w:hAnsiTheme="majorBidi" w:cstheme="majorBidi"/>
          <w:sz w:val="24"/>
          <w:szCs w:val="24"/>
        </w:rPr>
        <w:lastRenderedPageBreak/>
        <w:t xml:space="preserve">● </w:t>
      </w:r>
      <w:r w:rsidRPr="00A913DC">
        <w:rPr>
          <w:rFonts w:asciiTheme="majorBidi" w:eastAsia="ArialMT" w:hAnsiTheme="majorBidi" w:cstheme="majorBidi"/>
          <w:sz w:val="24"/>
          <w:szCs w:val="24"/>
        </w:rPr>
        <w:t xml:space="preserve">SOCS </w:t>
      </w:r>
      <w:r w:rsidR="00BC43D1">
        <w:rPr>
          <w:rFonts w:asciiTheme="majorBidi" w:eastAsia="ArialMT" w:hAnsiTheme="majorBidi" w:cstheme="majorBidi"/>
          <w:sz w:val="24"/>
          <w:szCs w:val="24"/>
        </w:rPr>
        <w:t>pour la voie STAT</w:t>
      </w:r>
    </w:p>
    <w:p w:rsidR="009C6984" w:rsidRPr="00BC43D1" w:rsidRDefault="009C6984" w:rsidP="00BC43D1">
      <w:pPr>
        <w:autoSpaceDE w:val="0"/>
        <w:autoSpaceDN w:val="0"/>
        <w:adjustRightInd w:val="0"/>
        <w:spacing w:before="100" w:beforeAutospacing="1" w:after="100" w:afterAutospacing="1" w:line="240" w:lineRule="auto"/>
        <w:rPr>
          <w:rFonts w:asciiTheme="majorBidi" w:eastAsia="ArialMT" w:hAnsiTheme="majorBidi" w:cstheme="majorBidi"/>
          <w:sz w:val="24"/>
          <w:szCs w:val="24"/>
        </w:rPr>
      </w:pPr>
      <w:r w:rsidRPr="00A913DC">
        <w:rPr>
          <w:rFonts w:asciiTheme="majorBidi" w:eastAsia="Neo-Symbol" w:hAnsiTheme="majorBidi" w:cstheme="majorBidi"/>
          <w:sz w:val="24"/>
          <w:szCs w:val="24"/>
        </w:rPr>
        <w:t xml:space="preserve">● </w:t>
      </w:r>
      <w:r w:rsidRPr="00A913DC">
        <w:rPr>
          <w:rFonts w:asciiTheme="majorBidi" w:eastAsia="ArialMT" w:hAnsiTheme="majorBidi" w:cstheme="majorBidi"/>
          <w:sz w:val="24"/>
          <w:szCs w:val="24"/>
        </w:rPr>
        <w:t>PIAS pour la voie STAT</w:t>
      </w:r>
    </w:p>
    <w:p w:rsidR="00870D28" w:rsidRPr="00BC43D1" w:rsidRDefault="00900231" w:rsidP="00BC43D1">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III.8. </w:t>
      </w:r>
      <w:r w:rsidR="009C6984" w:rsidRPr="00A913DC">
        <w:rPr>
          <w:rFonts w:asciiTheme="majorBidi" w:hAnsiTheme="majorBidi" w:cstheme="majorBidi"/>
          <w:b/>
          <w:bCs/>
          <w:sz w:val="24"/>
          <w:szCs w:val="24"/>
        </w:rPr>
        <w:t>La voie de la phosphatidylinositol-3-kinase/ Akt (PI3K/Akt)</w:t>
      </w:r>
    </w:p>
    <w:p w:rsidR="00F33B46" w:rsidRPr="00A913DC" w:rsidRDefault="00F33B46" w:rsidP="00BC43D1">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La voie de la phosphatidylinositol-3-kinase (PI3K) est une des voies de signalisation qui s’ouvre en aval de l’interaction d’un facteur de croissance avec un récepteur à activité tyrosine kinase (RTK). Elle suit donc un chemin parallèle à la voie des MAP kinases. Comme cette dernière, elle est mise en oeuvre à la suite de la reconnaissance d’une phosphotyrosine du récepteur activé par une protéine adaptatrice et comporte des activations séquentielles de kinases aboutissant à des effets multiples sur la transcription de gènes impliqués dans la prolifération, la différenciation et la survie cellulaires.</w:t>
      </w:r>
    </w:p>
    <w:p w:rsidR="00F33B46" w:rsidRPr="00A913DC" w:rsidRDefault="00F33B46" w:rsidP="00BC43D1">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Cette voie est interconnectée en particulier avec la voie des MAP kinases au niveau de RAS ; elle est en outre capable d’intégrer des signaux métaboliques et nutritionnels qui servent à associer la croissance et la prolifération cellulaires à la disponibilité en nutriments. C’est une des voies majeures de l’action de l’insuline</w:t>
      </w:r>
    </w:p>
    <w:p w:rsidR="00F33B46" w:rsidRPr="00BC43D1" w:rsidRDefault="00F33B46" w:rsidP="00BC43D1">
      <w:pPr>
        <w:pStyle w:val="Paragraphedeliste"/>
        <w:numPr>
          <w:ilvl w:val="0"/>
          <w:numId w:val="3"/>
        </w:num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sidRPr="00F33B46">
        <w:rPr>
          <w:rFonts w:asciiTheme="majorBidi" w:hAnsiTheme="majorBidi" w:cstheme="majorBidi"/>
          <w:b/>
          <w:bCs/>
          <w:sz w:val="24"/>
          <w:szCs w:val="24"/>
        </w:rPr>
        <w:t>De la phosphatidylinositol-3-kinase aux protéines AKT</w:t>
      </w:r>
    </w:p>
    <w:p w:rsidR="00F33B46" w:rsidRPr="00BC43D1" w:rsidRDefault="00F33B46" w:rsidP="00BC43D1">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La principale phosphatidylinositol-3-kinase (PI3 kinase) est un hétérodimère composé de deux sous-unités, une sous-unité catalytique (p110, PIK3CA) portant une activité de lipide kinase, et une sous-unité régulatrice (p85, PIK3R1) dotée d’un domaine SH2 qui lui permet de reconnaître des phosphotyrosines de RTK activés, et de transmettre cette activation à la sous-unité catalytique. Indirectement, l’activation de p85 peut se faire par l’intermédiaire d’une protéine adaptatrice, IRS1 ou 2 (</w:t>
      </w:r>
      <w:r w:rsidRPr="00A913DC">
        <w:rPr>
          <w:rFonts w:asciiTheme="majorBidi" w:hAnsiTheme="majorBidi" w:cstheme="majorBidi"/>
          <w:i/>
          <w:iCs/>
          <w:sz w:val="24"/>
          <w:szCs w:val="24"/>
        </w:rPr>
        <w:t>Insulinreceptor substrate 1 or 2</w:t>
      </w:r>
      <w:r w:rsidRPr="00A913DC">
        <w:rPr>
          <w:rFonts w:asciiTheme="majorBidi" w:hAnsiTheme="majorBidi" w:cstheme="majorBidi"/>
          <w:sz w:val="24"/>
          <w:szCs w:val="24"/>
        </w:rPr>
        <w:t>), phosphorylée elle-même par certains récepteurs activés comme l’IGF1R (</w:t>
      </w:r>
      <w:r w:rsidRPr="00A913DC">
        <w:rPr>
          <w:rFonts w:asciiTheme="majorBidi" w:hAnsiTheme="majorBidi" w:cstheme="majorBidi"/>
          <w:i/>
          <w:iCs/>
          <w:sz w:val="24"/>
          <w:szCs w:val="24"/>
        </w:rPr>
        <w:t>Insulin-like growth factor 1 receptor</w:t>
      </w:r>
      <w:r w:rsidRPr="00A913DC">
        <w:rPr>
          <w:rFonts w:asciiTheme="majorBidi" w:hAnsiTheme="majorBidi" w:cstheme="majorBidi"/>
          <w:sz w:val="24"/>
          <w:szCs w:val="24"/>
        </w:rPr>
        <w:t>), et reconnue par un domaine SH2 de p85</w:t>
      </w:r>
    </w:p>
    <w:p w:rsidR="00F33B46" w:rsidRPr="005D317F" w:rsidRDefault="00F33B46" w:rsidP="005D317F">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 xml:space="preserve">La PI3 kinase peut également être activée par la protéine adaptatrice RAS que nous avons vue dans la voie des MAP kinases . En effet, la sous-unité catalytique possède, du côté C-terminal, un domaine de reconnaissance de RAS activé. Il s’agit d’une interconnexion majeure entre les deux voies de signalisation, et les conséquences thérapeutiques de cette interconnexion sont </w:t>
      </w:r>
      <w:r w:rsidRPr="00A913DC">
        <w:rPr>
          <w:rFonts w:asciiTheme="majorBidi" w:hAnsiTheme="majorBidi" w:cstheme="majorBidi"/>
          <w:sz w:val="24"/>
          <w:szCs w:val="24"/>
        </w:rPr>
        <w:lastRenderedPageBreak/>
        <w:t>importantes dans le cadre des thérapies ciblées. Enfin, la PI3 kinase peut également être activée par des récepteurs couplés aux protéines G (</w:t>
      </w:r>
      <w:r w:rsidRPr="00A913DC">
        <w:rPr>
          <w:rFonts w:asciiTheme="majorBidi" w:hAnsiTheme="majorBidi" w:cstheme="majorBidi"/>
          <w:i/>
          <w:iCs/>
          <w:sz w:val="24"/>
          <w:szCs w:val="24"/>
        </w:rPr>
        <w:t>GPCR, G protein-coupled receptors</w:t>
      </w:r>
      <w:r w:rsidRPr="00A913DC">
        <w:rPr>
          <w:rFonts w:asciiTheme="majorBidi" w:hAnsiTheme="majorBidi" w:cstheme="majorBidi"/>
          <w:sz w:val="24"/>
          <w:szCs w:val="24"/>
        </w:rPr>
        <w:t>)</w:t>
      </w:r>
      <w:r w:rsidR="00FB21C3">
        <w:rPr>
          <w:rFonts w:asciiTheme="majorBidi" w:hAnsiTheme="majorBidi" w:cstheme="majorBidi"/>
          <w:sz w:val="24"/>
          <w:szCs w:val="24"/>
        </w:rPr>
        <w:t>.</w:t>
      </w:r>
    </w:p>
    <w:p w:rsidR="00F33B46" w:rsidRPr="00BC43D1" w:rsidRDefault="00F33B46" w:rsidP="00BC43D1">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La PI3 kinase assure la phosphorylation en 3 d’un lipide membranaire particulier, le phosphatidylinositol-4,5-diphosphate, afin de le transformer en phosphatidylinositol- 3,4,5-triphosphate. Contrairement à la voie de signalisation impliquant une phospholipase C, qui libère un triphosphoinositol (IP3) comme second messager, c’est la présence du phosphate en 3 de l’inositol qui constitue le message proprement dit, du fait que ce phosphate est susceptible d’être reconnu par des protéines possédant un domaine particulier appelé PH (</w:t>
      </w:r>
      <w:r w:rsidRPr="00A913DC">
        <w:rPr>
          <w:rFonts w:asciiTheme="majorBidi" w:hAnsiTheme="majorBidi" w:cstheme="majorBidi"/>
          <w:i/>
          <w:iCs/>
          <w:sz w:val="24"/>
          <w:szCs w:val="24"/>
        </w:rPr>
        <w:t>Pleckstrin-homology domain</w:t>
      </w:r>
      <w:r w:rsidRPr="00A913DC">
        <w:rPr>
          <w:rFonts w:asciiTheme="majorBidi" w:hAnsiTheme="majorBidi" w:cstheme="majorBidi"/>
          <w:sz w:val="24"/>
          <w:szCs w:val="24"/>
        </w:rPr>
        <w:t>).</w:t>
      </w:r>
    </w:p>
    <w:p w:rsidR="00F33B46" w:rsidRPr="00A913DC" w:rsidRDefault="00F33B46" w:rsidP="00BC43D1">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Il existe en fait quatre PI3 kinases de classe I, notées PIK3CA à PIK3CD, de spécificités tissulaire et fonctionnelle précises, qui ont une sous-unité catalytique p110α, β, γ ou δ et qui sont activées par divers types de sous-unités régulatrices. Ces PI3 kinases diffèrent en particulier par leur capacité à être activées par un RTK, un GPCR, une cytokine, une intégrine et/ou une protéine RAS. Les fonctions des PI3 kinases de classes II et III sont moins bien connues que celles des PI3 kinases de classe I et concernent le trafic membranaire et l’internalisation des récepteurs. Elles diffèrent également quant à leur substrat lipidique précis de la classe des inositides.</w:t>
      </w:r>
    </w:p>
    <w:p w:rsidR="00F33B46" w:rsidRPr="00A913DC" w:rsidRDefault="00F33B46" w:rsidP="00BC43D1">
      <w:pPr>
        <w:autoSpaceDE w:val="0"/>
        <w:autoSpaceDN w:val="0"/>
        <w:adjustRightInd w:val="0"/>
        <w:spacing w:before="100" w:beforeAutospacing="1" w:after="100" w:afterAutospacing="1" w:line="360" w:lineRule="auto"/>
        <w:jc w:val="both"/>
        <w:rPr>
          <w:rFonts w:asciiTheme="majorBidi" w:hAnsiTheme="majorBidi" w:cstheme="majorBidi"/>
          <w:sz w:val="24"/>
          <w:szCs w:val="24"/>
          <w:highlight w:val="yellow"/>
        </w:rPr>
      </w:pPr>
      <w:r w:rsidRPr="00A913DC">
        <w:rPr>
          <w:rFonts w:asciiTheme="majorBidi" w:hAnsiTheme="majorBidi" w:cstheme="majorBidi"/>
          <w:sz w:val="24"/>
          <w:szCs w:val="24"/>
        </w:rPr>
        <w:t>La présence d’un groupement phosphate en 3 sur l’inositide permet le recrutement à la membrane de protéines kinases à domaine PH, en particulier la PDK1 (</w:t>
      </w:r>
      <w:r w:rsidRPr="00A913DC">
        <w:rPr>
          <w:rFonts w:asciiTheme="majorBidi" w:hAnsiTheme="majorBidi" w:cstheme="majorBidi"/>
          <w:i/>
          <w:iCs/>
          <w:sz w:val="24"/>
          <w:szCs w:val="24"/>
        </w:rPr>
        <w:t>Phosphoinositide-dependent kinase 1</w:t>
      </w:r>
      <w:r w:rsidRPr="00A913DC">
        <w:rPr>
          <w:rFonts w:asciiTheme="majorBidi" w:hAnsiTheme="majorBidi" w:cstheme="majorBidi"/>
          <w:sz w:val="24"/>
          <w:szCs w:val="24"/>
        </w:rPr>
        <w:t>) et la protéine AKT, anciennement nommée protéine kinase B (PKB). En raison vraisemblablement d’une disposition particulière au niveau de la membrane, liée à la reconnaissance du phosphoinositide, la PDK1 est susceptible de phosphoryler et d’activer une protéine AKT. Cette phosphorylation se fait sur la thréonine 308, au niveau du site catalytique. La protéine AKT est à l’origine de l’activation de multiples effecteurs</w:t>
      </w:r>
    </w:p>
    <w:p w:rsidR="00870D28" w:rsidRPr="006559D4" w:rsidRDefault="00F33B46" w:rsidP="006559D4">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A913DC">
        <w:rPr>
          <w:rFonts w:asciiTheme="majorBidi" w:hAnsiTheme="majorBidi" w:cstheme="majorBidi"/>
          <w:sz w:val="24"/>
          <w:szCs w:val="24"/>
        </w:rPr>
        <w:t xml:space="preserve">           Il existe trois isoformes de Akt nommées Akt1, Akt2 et Akt3. Sur toutes les isoformes d’Akt on retrouve un domaine d’homologie avec la plekstrine (PH) qui se lie préférentiellement avec les PIP3. Cette interaction entre le domaine PH de Akt et le PIP3 conduit à des changements conformationnels de Akt qui conduisent au démasquage de deux sites de phosphorylation (Thr308 et Ser473). La phosphorylation d’Akt est alors régulée par la </w:t>
      </w:r>
      <w:r w:rsidRPr="00A913DC">
        <w:rPr>
          <w:rFonts w:asciiTheme="majorBidi" w:hAnsiTheme="majorBidi" w:cstheme="majorBidi"/>
          <w:sz w:val="24"/>
          <w:szCs w:val="24"/>
        </w:rPr>
        <w:lastRenderedPageBreak/>
        <w:t>protéine kinase PDK1 (3’- phosphoinositide-dependent kinase 1) qui est également recrutée par son domaine PH au niveau du site de production de PIP3. Une fois activée la protéine Akt phosphoryle divers substrats qui sont impliqués dans la régulation de la prolifération, la survie et le métabolisme cellulaire</w:t>
      </w:r>
      <w:r w:rsidRPr="00A913DC">
        <w:rPr>
          <w:rFonts w:asciiTheme="majorBidi" w:hAnsiTheme="majorBidi" w:cstheme="majorBidi"/>
          <w:b/>
          <w:bCs/>
          <w:sz w:val="24"/>
          <w:szCs w:val="24"/>
        </w:rPr>
        <w:t>.</w:t>
      </w:r>
    </w:p>
    <w:p w:rsidR="00870D28" w:rsidRPr="00A913DC" w:rsidRDefault="00870D28" w:rsidP="006559D4">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sidRPr="00A913DC">
        <w:rPr>
          <w:rFonts w:asciiTheme="majorBidi" w:hAnsiTheme="majorBidi" w:cstheme="majorBidi"/>
          <w:b/>
          <w:bCs/>
          <w:noProof/>
          <w:sz w:val="24"/>
          <w:szCs w:val="24"/>
          <w:lang w:eastAsia="fr-FR"/>
        </w:rPr>
        <w:drawing>
          <wp:inline distT="0" distB="0" distL="0" distR="0">
            <wp:extent cx="5760720" cy="2459754"/>
            <wp:effectExtent l="19050" t="1905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60720" cy="2459754"/>
                    </a:xfrm>
                    <a:prstGeom prst="rect">
                      <a:avLst/>
                    </a:prstGeom>
                    <a:noFill/>
                    <a:ln w="9525">
                      <a:solidFill>
                        <a:schemeClr val="tx1"/>
                      </a:solidFill>
                      <a:miter lim="800000"/>
                      <a:headEnd/>
                      <a:tailEnd/>
                    </a:ln>
                  </pic:spPr>
                </pic:pic>
              </a:graphicData>
            </a:graphic>
          </wp:inline>
        </w:drawing>
      </w:r>
    </w:p>
    <w:p w:rsidR="00F33B46" w:rsidRPr="00F33B46" w:rsidRDefault="00900231" w:rsidP="006559D4">
      <w:pPr>
        <w:autoSpaceDE w:val="0"/>
        <w:autoSpaceDN w:val="0"/>
        <w:adjustRightInd w:val="0"/>
        <w:spacing w:before="100" w:beforeAutospacing="1" w:after="100" w:afterAutospacing="1" w:line="360" w:lineRule="auto"/>
        <w:jc w:val="center"/>
        <w:rPr>
          <w:rFonts w:asciiTheme="majorBidi" w:hAnsiTheme="majorBidi" w:cstheme="majorBidi"/>
          <w:b/>
          <w:bCs/>
          <w:sz w:val="24"/>
          <w:szCs w:val="24"/>
        </w:rPr>
      </w:pPr>
      <w:r w:rsidRPr="00900231">
        <w:rPr>
          <w:rFonts w:asciiTheme="majorBidi" w:eastAsia="TimesNewRoman" w:hAnsiTheme="majorBidi" w:cstheme="majorBidi"/>
          <w:b/>
          <w:bCs/>
          <w:sz w:val="24"/>
          <w:szCs w:val="24"/>
        </w:rPr>
        <w:t>Figure 25 :</w:t>
      </w:r>
      <w:r w:rsidRPr="00900231">
        <w:rPr>
          <w:rFonts w:asciiTheme="majorBidi" w:eastAsia="TimesNewRoman" w:hAnsiTheme="majorBidi" w:cstheme="majorBidi"/>
          <w:sz w:val="24"/>
          <w:szCs w:val="24"/>
        </w:rPr>
        <w:t xml:space="preserve"> Représentationschématique</w:t>
      </w:r>
      <w:r w:rsidR="00870D28" w:rsidRPr="00900231">
        <w:rPr>
          <w:rFonts w:asciiTheme="majorBidi" w:eastAsia="TimesNewRoman" w:hAnsiTheme="majorBidi" w:cstheme="majorBidi"/>
          <w:sz w:val="24"/>
          <w:szCs w:val="24"/>
        </w:rPr>
        <w:t xml:space="preserve"> de la structure la kinase de type PI3K</w:t>
      </w:r>
    </w:p>
    <w:p w:rsidR="00064E1C" w:rsidRPr="00A913DC" w:rsidRDefault="00064E1C" w:rsidP="006559D4">
      <w:pPr>
        <w:tabs>
          <w:tab w:val="left" w:pos="3485"/>
        </w:tabs>
        <w:autoSpaceDE w:val="0"/>
        <w:autoSpaceDN w:val="0"/>
        <w:adjustRightInd w:val="0"/>
        <w:spacing w:before="100" w:beforeAutospacing="1" w:after="100" w:afterAutospacing="1" w:line="360" w:lineRule="auto"/>
        <w:jc w:val="center"/>
        <w:rPr>
          <w:rFonts w:asciiTheme="majorBidi" w:hAnsiTheme="majorBidi" w:cstheme="majorBidi"/>
          <w:b/>
          <w:bCs/>
          <w:color w:val="5960A7"/>
          <w:sz w:val="24"/>
          <w:szCs w:val="24"/>
          <w:highlight w:val="yellow"/>
        </w:rPr>
      </w:pPr>
      <w:r w:rsidRPr="00A913DC">
        <w:rPr>
          <w:rFonts w:asciiTheme="majorBidi" w:hAnsiTheme="majorBidi" w:cstheme="majorBidi"/>
          <w:b/>
          <w:bCs/>
          <w:noProof/>
          <w:color w:val="5960A7"/>
          <w:sz w:val="24"/>
          <w:szCs w:val="24"/>
          <w:lang w:eastAsia="fr-FR"/>
        </w:rPr>
        <w:lastRenderedPageBreak/>
        <w:drawing>
          <wp:inline distT="0" distB="0" distL="0" distR="0">
            <wp:extent cx="5760720" cy="4562177"/>
            <wp:effectExtent l="19050" t="1905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760720" cy="4562177"/>
                    </a:xfrm>
                    <a:prstGeom prst="rect">
                      <a:avLst/>
                    </a:prstGeom>
                    <a:noFill/>
                    <a:ln w="9525">
                      <a:solidFill>
                        <a:schemeClr val="tx1"/>
                      </a:solidFill>
                      <a:miter lim="800000"/>
                      <a:headEnd/>
                      <a:tailEnd/>
                    </a:ln>
                  </pic:spPr>
                </pic:pic>
              </a:graphicData>
            </a:graphic>
          </wp:inline>
        </w:drawing>
      </w:r>
    </w:p>
    <w:p w:rsidR="00C827F3" w:rsidRPr="006559D4" w:rsidRDefault="00F33B46" w:rsidP="006559D4">
      <w:pPr>
        <w:tabs>
          <w:tab w:val="left" w:pos="3485"/>
        </w:tabs>
        <w:autoSpaceDE w:val="0"/>
        <w:autoSpaceDN w:val="0"/>
        <w:adjustRightInd w:val="0"/>
        <w:spacing w:before="100" w:beforeAutospacing="1" w:after="100" w:afterAutospacing="1" w:line="360" w:lineRule="auto"/>
        <w:jc w:val="center"/>
        <w:rPr>
          <w:rFonts w:asciiTheme="majorBidi" w:hAnsiTheme="majorBidi" w:cstheme="majorBidi"/>
          <w:b/>
          <w:bCs/>
          <w:sz w:val="24"/>
          <w:szCs w:val="24"/>
        </w:rPr>
      </w:pPr>
      <w:r>
        <w:rPr>
          <w:rFonts w:asciiTheme="majorBidi" w:hAnsiTheme="majorBidi" w:cstheme="majorBidi"/>
          <w:b/>
          <w:bCs/>
          <w:sz w:val="24"/>
          <w:szCs w:val="24"/>
        </w:rPr>
        <w:t>Figure 26</w:t>
      </w:r>
      <w:r w:rsidRPr="00F33B46">
        <w:rPr>
          <w:rFonts w:asciiTheme="majorBidi" w:hAnsiTheme="majorBidi" w:cstheme="majorBidi"/>
          <w:b/>
          <w:bCs/>
          <w:sz w:val="24"/>
          <w:szCs w:val="24"/>
        </w:rPr>
        <w:t xml:space="preserve"> : </w:t>
      </w:r>
      <w:r w:rsidR="00064E1C" w:rsidRPr="00F33B46">
        <w:rPr>
          <w:rFonts w:asciiTheme="majorBidi" w:hAnsiTheme="majorBidi" w:cstheme="majorBidi"/>
          <w:sz w:val="24"/>
          <w:szCs w:val="24"/>
        </w:rPr>
        <w:t>Voie de la PI3 kinase</w:t>
      </w:r>
      <w:r>
        <w:rPr>
          <w:rFonts w:asciiTheme="majorBidi" w:hAnsiTheme="majorBidi" w:cstheme="majorBidi"/>
          <w:b/>
          <w:bCs/>
          <w:sz w:val="24"/>
          <w:szCs w:val="24"/>
        </w:rPr>
        <w:t xml:space="preserve"> (</w:t>
      </w:r>
      <w:r w:rsidR="00064E1C" w:rsidRPr="00F33B46">
        <w:rPr>
          <w:rFonts w:asciiTheme="majorBidi" w:hAnsiTheme="majorBidi" w:cstheme="majorBidi"/>
          <w:b/>
          <w:bCs/>
          <w:sz w:val="24"/>
          <w:szCs w:val="24"/>
        </w:rPr>
        <w:t>Robert, 2010)</w:t>
      </w:r>
    </w:p>
    <w:sectPr w:rsidR="00C827F3" w:rsidRPr="006559D4" w:rsidSect="007F2C15">
      <w:headerReference w:type="default" r:id="rId17"/>
      <w:footerReference w:type="default" r:id="rId18"/>
      <w:pgSz w:w="11906" w:h="16838"/>
      <w:pgMar w:top="1417" w:right="1417" w:bottom="1417" w:left="1417" w:header="708" w:footer="708" w:gutter="0"/>
      <w:pgNumType w:start="5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5E3E" w:rsidRDefault="00E25E3E" w:rsidP="00CA3965">
      <w:pPr>
        <w:spacing w:after="0" w:line="240" w:lineRule="auto"/>
      </w:pPr>
      <w:r>
        <w:separator/>
      </w:r>
    </w:p>
  </w:endnote>
  <w:endnote w:type="continuationSeparator" w:id="1">
    <w:p w:rsidR="00E25E3E" w:rsidRDefault="00E25E3E" w:rsidP="00CA39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Ita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Neue-Roman">
    <w:altName w:val="Arial"/>
    <w:panose1 w:val="00000000000000000000"/>
    <w:charset w:val="00"/>
    <w:family w:val="swiss"/>
    <w:notTrueType/>
    <w:pitch w:val="default"/>
    <w:sig w:usb0="00000003" w:usb1="00000000" w:usb2="00000000" w:usb3="00000000" w:csb0="00000001" w:csb1="00000000"/>
  </w:font>
  <w:font w:name="Minion-Regular">
    <w:altName w:val="Times New Roman"/>
    <w:panose1 w:val="00000000000000000000"/>
    <w:charset w:val="00"/>
    <w:family w:val="roman"/>
    <w:notTrueType/>
    <w:pitch w:val="default"/>
    <w:sig w:usb0="00000003" w:usb1="00000000" w:usb2="00000000" w:usb3="00000000" w:csb0="00000001" w:csb1="00000000"/>
  </w:font>
  <w:font w:name="TimesNRMT">
    <w:altName w:val="Times New Roman"/>
    <w:panose1 w:val="00000000000000000000"/>
    <w:charset w:val="00"/>
    <w:family w:val="roman"/>
    <w:notTrueType/>
    <w:pitch w:val="default"/>
    <w:sig w:usb0="00000003" w:usb1="00000000" w:usb2="00000000" w:usb3="00000000" w:csb0="00000001" w:csb1="00000000"/>
  </w:font>
  <w:font w:name="MetaPlusBold-Roman">
    <w:altName w:val="Arial"/>
    <w:panose1 w:val="00000000000000000000"/>
    <w:charset w:val="00"/>
    <w:family w:val="swiss"/>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Neo-Symbol">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5057239"/>
      <w:docPartObj>
        <w:docPartGallery w:val="Page Numbers (Bottom of Page)"/>
        <w:docPartUnique/>
      </w:docPartObj>
    </w:sdtPr>
    <w:sdtContent>
      <w:p w:rsidR="004349C9" w:rsidRDefault="004349C9">
        <w:pPr>
          <w:pStyle w:val="Pieddepage"/>
          <w:jc w:val="right"/>
        </w:pPr>
      </w:p>
      <w:p w:rsidR="004349C9" w:rsidRPr="004A2ACF" w:rsidRDefault="004349C9">
        <w:pPr>
          <w:pStyle w:val="Pieddepage"/>
          <w:jc w:val="right"/>
          <w:rPr>
            <w:rFonts w:asciiTheme="majorBidi" w:hAnsiTheme="majorBidi" w:cstheme="majorBidi"/>
            <w:b/>
            <w:bCs/>
          </w:rPr>
        </w:pPr>
        <w:r>
          <w:tab/>
        </w:r>
        <w:r w:rsidRPr="004A2ACF">
          <w:rPr>
            <w:rFonts w:asciiTheme="majorBidi" w:hAnsiTheme="majorBidi" w:cstheme="majorBidi"/>
            <w:b/>
            <w:bCs/>
            <w:i/>
            <w:iCs/>
            <w:sz w:val="20"/>
            <w:szCs w:val="20"/>
          </w:rPr>
          <w:t>Dr.GHOUT.A</w:t>
        </w:r>
      </w:p>
      <w:p w:rsidR="004349C9" w:rsidRDefault="00A22BE5">
        <w:pPr>
          <w:pStyle w:val="Pieddepage"/>
          <w:jc w:val="right"/>
        </w:pPr>
        <w:r>
          <w:fldChar w:fldCharType="begin"/>
        </w:r>
        <w:r w:rsidR="008A57D5">
          <w:instrText xml:space="preserve"> PAGE   \* MERGEFORMAT </w:instrText>
        </w:r>
        <w:r>
          <w:fldChar w:fldCharType="separate"/>
        </w:r>
        <w:r w:rsidR="002551FE">
          <w:rPr>
            <w:noProof/>
          </w:rPr>
          <w:t>58</w:t>
        </w:r>
        <w:r>
          <w:rPr>
            <w:noProof/>
          </w:rPr>
          <w:fldChar w:fldCharType="end"/>
        </w:r>
      </w:p>
    </w:sdtContent>
  </w:sdt>
  <w:p w:rsidR="004349C9" w:rsidRDefault="004349C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5E3E" w:rsidRDefault="00E25E3E" w:rsidP="00CA3965">
      <w:pPr>
        <w:spacing w:after="0" w:line="240" w:lineRule="auto"/>
      </w:pPr>
      <w:r>
        <w:separator/>
      </w:r>
    </w:p>
  </w:footnote>
  <w:footnote w:type="continuationSeparator" w:id="1">
    <w:p w:rsidR="00E25E3E" w:rsidRDefault="00E25E3E" w:rsidP="00CA39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9C9" w:rsidRPr="000B5555" w:rsidRDefault="004349C9" w:rsidP="002551FE">
    <w:pPr>
      <w:pStyle w:val="En-tte"/>
      <w:pBdr>
        <w:bottom w:val="thickThinSmallGap" w:sz="24" w:space="1" w:color="622423" w:themeColor="accent2" w:themeShade="7F"/>
      </w:pBdr>
      <w:tabs>
        <w:tab w:val="left" w:pos="6384"/>
      </w:tabs>
      <w:rPr>
        <w:rFonts w:ascii="Monotype Corsiva" w:eastAsiaTheme="majorEastAsia" w:hAnsi="Monotype Corsiva" w:cstheme="majorBidi"/>
        <w:sz w:val="32"/>
        <w:szCs w:val="32"/>
      </w:rPr>
    </w:pPr>
  </w:p>
  <w:p w:rsidR="004349C9" w:rsidRPr="000B5555" w:rsidRDefault="002551FE" w:rsidP="00CA3965">
    <w:pPr>
      <w:pStyle w:val="En-tte"/>
      <w:pBdr>
        <w:bottom w:val="thickThinSmallGap" w:sz="24" w:space="1" w:color="622423" w:themeColor="accent2" w:themeShade="7F"/>
      </w:pBdr>
      <w:tabs>
        <w:tab w:val="left" w:pos="6384"/>
      </w:tabs>
      <w:rPr>
        <w:rFonts w:ascii="Monotype Corsiva" w:eastAsiaTheme="majorEastAsia" w:hAnsi="Monotype Corsiva" w:cstheme="majorBidi"/>
        <w:sz w:val="28"/>
        <w:szCs w:val="28"/>
      </w:rPr>
    </w:pPr>
    <w:r>
      <w:rPr>
        <w:rFonts w:ascii="Monotype Corsiva" w:eastAsiaTheme="majorEastAsia" w:hAnsi="Monotype Corsiva" w:cstheme="majorBidi"/>
        <w:b/>
        <w:bCs/>
        <w:sz w:val="24"/>
        <w:szCs w:val="24"/>
      </w:rPr>
      <w:t xml:space="preserve">                                                                                      </w:t>
    </w:r>
    <w:r w:rsidR="004349C9" w:rsidRPr="000B5555">
      <w:rPr>
        <w:rFonts w:ascii="Monotype Corsiva" w:eastAsiaTheme="majorEastAsia" w:hAnsi="Monotype Corsiva" w:cstheme="majorBidi"/>
        <w:b/>
        <w:bCs/>
        <w:sz w:val="24"/>
        <w:szCs w:val="24"/>
      </w:rPr>
      <w:t>Chapitre 3 :Les voies de signalisations intracellulaires</w:t>
    </w:r>
    <w:r w:rsidR="004349C9" w:rsidRPr="000B5555">
      <w:rPr>
        <w:rFonts w:ascii="Monotype Corsiva" w:eastAsiaTheme="majorEastAsia" w:hAnsi="Monotype Corsiva" w:cstheme="majorBidi"/>
        <w:sz w:val="32"/>
        <w:szCs w:val="32"/>
      </w:rPr>
      <w:tab/>
    </w:r>
    <w:r w:rsidR="004349C9" w:rsidRPr="000B5555">
      <w:rPr>
        <w:rFonts w:ascii="Monotype Corsiva" w:eastAsiaTheme="majorEastAsia" w:hAnsi="Monotype Corsiva" w:cstheme="majorBidi"/>
        <w:b/>
        <w:bCs/>
        <w:sz w:val="24"/>
        <w:szCs w:val="24"/>
      </w:rPr>
      <w:ptab w:relativeTo="margin" w:alignment="right" w:leader="none"/>
    </w:r>
  </w:p>
  <w:p w:rsidR="004349C9" w:rsidRDefault="004349C9">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74A63"/>
    <w:multiLevelType w:val="hybridMultilevel"/>
    <w:tmpl w:val="14847DDC"/>
    <w:lvl w:ilvl="0" w:tplc="040C0001">
      <w:start w:val="1"/>
      <w:numFmt w:val="bullet"/>
      <w:lvlText w:val=""/>
      <w:lvlJc w:val="left"/>
      <w:pPr>
        <w:ind w:left="784" w:hanging="360"/>
      </w:pPr>
      <w:rPr>
        <w:rFonts w:ascii="Symbol" w:hAnsi="Symbo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1">
    <w:nsid w:val="07D3477A"/>
    <w:multiLevelType w:val="hybridMultilevel"/>
    <w:tmpl w:val="ABCE70AC"/>
    <w:lvl w:ilvl="0" w:tplc="B5AC369E">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05B77A7"/>
    <w:multiLevelType w:val="hybridMultilevel"/>
    <w:tmpl w:val="2962E29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82C230D"/>
    <w:multiLevelType w:val="hybridMultilevel"/>
    <w:tmpl w:val="33628466"/>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B51511B"/>
    <w:multiLevelType w:val="hybridMultilevel"/>
    <w:tmpl w:val="E642FB3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D4C41F0"/>
    <w:multiLevelType w:val="hybridMultilevel"/>
    <w:tmpl w:val="E70C46F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03512BB"/>
    <w:multiLevelType w:val="hybridMultilevel"/>
    <w:tmpl w:val="991093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C4C55BF"/>
    <w:multiLevelType w:val="hybridMultilevel"/>
    <w:tmpl w:val="A7422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6"/>
  </w:num>
  <w:num w:numId="6">
    <w:abstractNumId w:val="7"/>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D61EC"/>
    <w:rsid w:val="000005C9"/>
    <w:rsid w:val="00000B88"/>
    <w:rsid w:val="00001284"/>
    <w:rsid w:val="00001436"/>
    <w:rsid w:val="00001486"/>
    <w:rsid w:val="000017BC"/>
    <w:rsid w:val="00002478"/>
    <w:rsid w:val="000029ED"/>
    <w:rsid w:val="000040F8"/>
    <w:rsid w:val="000045A8"/>
    <w:rsid w:val="000048CF"/>
    <w:rsid w:val="0000659F"/>
    <w:rsid w:val="000103FA"/>
    <w:rsid w:val="00010776"/>
    <w:rsid w:val="000113DA"/>
    <w:rsid w:val="000118BD"/>
    <w:rsid w:val="000120C4"/>
    <w:rsid w:val="00012F3C"/>
    <w:rsid w:val="00014F0E"/>
    <w:rsid w:val="00015560"/>
    <w:rsid w:val="00017CAC"/>
    <w:rsid w:val="00020655"/>
    <w:rsid w:val="000212E9"/>
    <w:rsid w:val="000219A6"/>
    <w:rsid w:val="00021C0D"/>
    <w:rsid w:val="000222E8"/>
    <w:rsid w:val="00022A11"/>
    <w:rsid w:val="0002306F"/>
    <w:rsid w:val="00023533"/>
    <w:rsid w:val="000242D2"/>
    <w:rsid w:val="0002508A"/>
    <w:rsid w:val="000251AF"/>
    <w:rsid w:val="000258C8"/>
    <w:rsid w:val="00025E54"/>
    <w:rsid w:val="0002673A"/>
    <w:rsid w:val="000274AF"/>
    <w:rsid w:val="00031F69"/>
    <w:rsid w:val="00034059"/>
    <w:rsid w:val="0003411F"/>
    <w:rsid w:val="000344E4"/>
    <w:rsid w:val="00034D8E"/>
    <w:rsid w:val="0003520B"/>
    <w:rsid w:val="00035249"/>
    <w:rsid w:val="00035EBA"/>
    <w:rsid w:val="00035F91"/>
    <w:rsid w:val="000366A4"/>
    <w:rsid w:val="0003681B"/>
    <w:rsid w:val="00036A46"/>
    <w:rsid w:val="00036C49"/>
    <w:rsid w:val="00036DDB"/>
    <w:rsid w:val="00037290"/>
    <w:rsid w:val="000374D0"/>
    <w:rsid w:val="00037987"/>
    <w:rsid w:val="0004009D"/>
    <w:rsid w:val="000424EC"/>
    <w:rsid w:val="000435D5"/>
    <w:rsid w:val="00043A84"/>
    <w:rsid w:val="00043C16"/>
    <w:rsid w:val="00043E6A"/>
    <w:rsid w:val="00044776"/>
    <w:rsid w:val="00044ED7"/>
    <w:rsid w:val="00045587"/>
    <w:rsid w:val="00045A90"/>
    <w:rsid w:val="00045EBC"/>
    <w:rsid w:val="0004612B"/>
    <w:rsid w:val="0004640B"/>
    <w:rsid w:val="00047168"/>
    <w:rsid w:val="0005042E"/>
    <w:rsid w:val="00050EF6"/>
    <w:rsid w:val="00051DF1"/>
    <w:rsid w:val="00051F5C"/>
    <w:rsid w:val="00052A52"/>
    <w:rsid w:val="000532FB"/>
    <w:rsid w:val="000542A6"/>
    <w:rsid w:val="00054450"/>
    <w:rsid w:val="000547F0"/>
    <w:rsid w:val="00054865"/>
    <w:rsid w:val="0005509B"/>
    <w:rsid w:val="00055140"/>
    <w:rsid w:val="00055F3D"/>
    <w:rsid w:val="000571B0"/>
    <w:rsid w:val="00057AA4"/>
    <w:rsid w:val="000610BA"/>
    <w:rsid w:val="000612A5"/>
    <w:rsid w:val="000612A9"/>
    <w:rsid w:val="00062E2E"/>
    <w:rsid w:val="000634E7"/>
    <w:rsid w:val="000645DB"/>
    <w:rsid w:val="00064C1B"/>
    <w:rsid w:val="00064E1C"/>
    <w:rsid w:val="000652A8"/>
    <w:rsid w:val="00065FF0"/>
    <w:rsid w:val="000660D1"/>
    <w:rsid w:val="00066308"/>
    <w:rsid w:val="00066E32"/>
    <w:rsid w:val="00066E7C"/>
    <w:rsid w:val="000672FB"/>
    <w:rsid w:val="00070040"/>
    <w:rsid w:val="0007074F"/>
    <w:rsid w:val="000713CC"/>
    <w:rsid w:val="00071570"/>
    <w:rsid w:val="00071C05"/>
    <w:rsid w:val="00073C9E"/>
    <w:rsid w:val="000744DA"/>
    <w:rsid w:val="00075224"/>
    <w:rsid w:val="00075871"/>
    <w:rsid w:val="000759FB"/>
    <w:rsid w:val="000768F3"/>
    <w:rsid w:val="00076902"/>
    <w:rsid w:val="000772BF"/>
    <w:rsid w:val="00077710"/>
    <w:rsid w:val="00080045"/>
    <w:rsid w:val="00082145"/>
    <w:rsid w:val="000839DB"/>
    <w:rsid w:val="00083E40"/>
    <w:rsid w:val="0008433F"/>
    <w:rsid w:val="00084C39"/>
    <w:rsid w:val="00084F05"/>
    <w:rsid w:val="00084F8C"/>
    <w:rsid w:val="00084FF5"/>
    <w:rsid w:val="0008563C"/>
    <w:rsid w:val="00085EF8"/>
    <w:rsid w:val="000867D4"/>
    <w:rsid w:val="00086E4F"/>
    <w:rsid w:val="00087204"/>
    <w:rsid w:val="00087635"/>
    <w:rsid w:val="00087D9A"/>
    <w:rsid w:val="0009161E"/>
    <w:rsid w:val="0009242D"/>
    <w:rsid w:val="000926A8"/>
    <w:rsid w:val="00092BE2"/>
    <w:rsid w:val="00092DB4"/>
    <w:rsid w:val="00094F65"/>
    <w:rsid w:val="00095347"/>
    <w:rsid w:val="00095A2A"/>
    <w:rsid w:val="00095CEC"/>
    <w:rsid w:val="00095E1A"/>
    <w:rsid w:val="0009682E"/>
    <w:rsid w:val="0009785D"/>
    <w:rsid w:val="00097B70"/>
    <w:rsid w:val="00097EDF"/>
    <w:rsid w:val="000A0A7E"/>
    <w:rsid w:val="000A0D98"/>
    <w:rsid w:val="000A1877"/>
    <w:rsid w:val="000A1C49"/>
    <w:rsid w:val="000A226C"/>
    <w:rsid w:val="000A2378"/>
    <w:rsid w:val="000A2822"/>
    <w:rsid w:val="000A2FF8"/>
    <w:rsid w:val="000A35DE"/>
    <w:rsid w:val="000A3851"/>
    <w:rsid w:val="000A411F"/>
    <w:rsid w:val="000A433E"/>
    <w:rsid w:val="000A48F6"/>
    <w:rsid w:val="000A4B3F"/>
    <w:rsid w:val="000A581F"/>
    <w:rsid w:val="000A5F5D"/>
    <w:rsid w:val="000A6E77"/>
    <w:rsid w:val="000A6E7A"/>
    <w:rsid w:val="000A70AC"/>
    <w:rsid w:val="000A74D8"/>
    <w:rsid w:val="000A7BAC"/>
    <w:rsid w:val="000B03A4"/>
    <w:rsid w:val="000B05C8"/>
    <w:rsid w:val="000B147C"/>
    <w:rsid w:val="000B1F5B"/>
    <w:rsid w:val="000B20E5"/>
    <w:rsid w:val="000B25B7"/>
    <w:rsid w:val="000B35F9"/>
    <w:rsid w:val="000B4D50"/>
    <w:rsid w:val="000B4E0D"/>
    <w:rsid w:val="000B5555"/>
    <w:rsid w:val="000B5AAD"/>
    <w:rsid w:val="000B6552"/>
    <w:rsid w:val="000B6834"/>
    <w:rsid w:val="000B7D74"/>
    <w:rsid w:val="000C1407"/>
    <w:rsid w:val="000C16A9"/>
    <w:rsid w:val="000C1C52"/>
    <w:rsid w:val="000C1D3E"/>
    <w:rsid w:val="000C24B7"/>
    <w:rsid w:val="000C27D1"/>
    <w:rsid w:val="000C2D06"/>
    <w:rsid w:val="000C41B9"/>
    <w:rsid w:val="000C4FF2"/>
    <w:rsid w:val="000C58AF"/>
    <w:rsid w:val="000C70BF"/>
    <w:rsid w:val="000D0823"/>
    <w:rsid w:val="000D09B2"/>
    <w:rsid w:val="000D14C8"/>
    <w:rsid w:val="000D1EEF"/>
    <w:rsid w:val="000D2B3E"/>
    <w:rsid w:val="000D2D36"/>
    <w:rsid w:val="000D4040"/>
    <w:rsid w:val="000D4EED"/>
    <w:rsid w:val="000D4F26"/>
    <w:rsid w:val="000D5073"/>
    <w:rsid w:val="000D5447"/>
    <w:rsid w:val="000D55B9"/>
    <w:rsid w:val="000D63DE"/>
    <w:rsid w:val="000D6CBD"/>
    <w:rsid w:val="000D6CC2"/>
    <w:rsid w:val="000D72ED"/>
    <w:rsid w:val="000D75BD"/>
    <w:rsid w:val="000D7B83"/>
    <w:rsid w:val="000E01C5"/>
    <w:rsid w:val="000E03FC"/>
    <w:rsid w:val="000E040D"/>
    <w:rsid w:val="000E1728"/>
    <w:rsid w:val="000E2630"/>
    <w:rsid w:val="000E2F8F"/>
    <w:rsid w:val="000E435E"/>
    <w:rsid w:val="000E4525"/>
    <w:rsid w:val="000E4FEA"/>
    <w:rsid w:val="000E54A6"/>
    <w:rsid w:val="000E5646"/>
    <w:rsid w:val="000E569F"/>
    <w:rsid w:val="000E5985"/>
    <w:rsid w:val="000E5BE6"/>
    <w:rsid w:val="000E7A66"/>
    <w:rsid w:val="000E7D29"/>
    <w:rsid w:val="000F02A4"/>
    <w:rsid w:val="000F03DC"/>
    <w:rsid w:val="000F09C0"/>
    <w:rsid w:val="000F2247"/>
    <w:rsid w:val="000F2BAA"/>
    <w:rsid w:val="000F2ED4"/>
    <w:rsid w:val="000F36CC"/>
    <w:rsid w:val="000F424D"/>
    <w:rsid w:val="000F5DF6"/>
    <w:rsid w:val="000F6C1F"/>
    <w:rsid w:val="000F7148"/>
    <w:rsid w:val="00100A65"/>
    <w:rsid w:val="00100C83"/>
    <w:rsid w:val="00100E29"/>
    <w:rsid w:val="001015F9"/>
    <w:rsid w:val="00102BC7"/>
    <w:rsid w:val="00102EE3"/>
    <w:rsid w:val="001033C9"/>
    <w:rsid w:val="00103A7B"/>
    <w:rsid w:val="001041B8"/>
    <w:rsid w:val="001044FC"/>
    <w:rsid w:val="001045D4"/>
    <w:rsid w:val="00104683"/>
    <w:rsid w:val="00105084"/>
    <w:rsid w:val="001050C6"/>
    <w:rsid w:val="001055FF"/>
    <w:rsid w:val="00105D77"/>
    <w:rsid w:val="00107CA9"/>
    <w:rsid w:val="001108BB"/>
    <w:rsid w:val="0011178E"/>
    <w:rsid w:val="00111FDC"/>
    <w:rsid w:val="00112157"/>
    <w:rsid w:val="00112382"/>
    <w:rsid w:val="00112B8E"/>
    <w:rsid w:val="00112D50"/>
    <w:rsid w:val="00112D6E"/>
    <w:rsid w:val="00113040"/>
    <w:rsid w:val="00113F9C"/>
    <w:rsid w:val="00114ACD"/>
    <w:rsid w:val="00114E99"/>
    <w:rsid w:val="001151DA"/>
    <w:rsid w:val="0011527F"/>
    <w:rsid w:val="00115477"/>
    <w:rsid w:val="00115CBC"/>
    <w:rsid w:val="00115CFC"/>
    <w:rsid w:val="00116413"/>
    <w:rsid w:val="001168C8"/>
    <w:rsid w:val="00116D55"/>
    <w:rsid w:val="00116F3B"/>
    <w:rsid w:val="00117599"/>
    <w:rsid w:val="001175E7"/>
    <w:rsid w:val="00117732"/>
    <w:rsid w:val="001178DD"/>
    <w:rsid w:val="00117DC0"/>
    <w:rsid w:val="001200B1"/>
    <w:rsid w:val="001201FA"/>
    <w:rsid w:val="00120B87"/>
    <w:rsid w:val="00121BAD"/>
    <w:rsid w:val="00122D76"/>
    <w:rsid w:val="00122E1C"/>
    <w:rsid w:val="00123648"/>
    <w:rsid w:val="00124226"/>
    <w:rsid w:val="00124C18"/>
    <w:rsid w:val="00124FE8"/>
    <w:rsid w:val="00125512"/>
    <w:rsid w:val="00125643"/>
    <w:rsid w:val="00125EFD"/>
    <w:rsid w:val="00126E10"/>
    <w:rsid w:val="00126EF3"/>
    <w:rsid w:val="00127004"/>
    <w:rsid w:val="00127018"/>
    <w:rsid w:val="001270A7"/>
    <w:rsid w:val="00127E09"/>
    <w:rsid w:val="00130FBC"/>
    <w:rsid w:val="00131439"/>
    <w:rsid w:val="0013164D"/>
    <w:rsid w:val="00131774"/>
    <w:rsid w:val="00131D24"/>
    <w:rsid w:val="001329F7"/>
    <w:rsid w:val="001334D0"/>
    <w:rsid w:val="001338BB"/>
    <w:rsid w:val="001355AD"/>
    <w:rsid w:val="001361DA"/>
    <w:rsid w:val="0013672C"/>
    <w:rsid w:val="00136D78"/>
    <w:rsid w:val="00136E4C"/>
    <w:rsid w:val="00136F3F"/>
    <w:rsid w:val="001376E3"/>
    <w:rsid w:val="00140282"/>
    <w:rsid w:val="001413E4"/>
    <w:rsid w:val="001414A1"/>
    <w:rsid w:val="00142E99"/>
    <w:rsid w:val="00143337"/>
    <w:rsid w:val="00143D0F"/>
    <w:rsid w:val="001448A5"/>
    <w:rsid w:val="00144D0E"/>
    <w:rsid w:val="00145317"/>
    <w:rsid w:val="00146AB5"/>
    <w:rsid w:val="00150325"/>
    <w:rsid w:val="0015066A"/>
    <w:rsid w:val="001509CA"/>
    <w:rsid w:val="00150EFE"/>
    <w:rsid w:val="001512A1"/>
    <w:rsid w:val="00151EAF"/>
    <w:rsid w:val="00154BDF"/>
    <w:rsid w:val="00154BF4"/>
    <w:rsid w:val="001554A6"/>
    <w:rsid w:val="00155823"/>
    <w:rsid w:val="001559D5"/>
    <w:rsid w:val="001566D4"/>
    <w:rsid w:val="00156A13"/>
    <w:rsid w:val="00156D91"/>
    <w:rsid w:val="001572C5"/>
    <w:rsid w:val="001574CB"/>
    <w:rsid w:val="00157B39"/>
    <w:rsid w:val="00157E5E"/>
    <w:rsid w:val="001609A0"/>
    <w:rsid w:val="00160D22"/>
    <w:rsid w:val="00162D06"/>
    <w:rsid w:val="001639BA"/>
    <w:rsid w:val="001643FF"/>
    <w:rsid w:val="00164785"/>
    <w:rsid w:val="00164E77"/>
    <w:rsid w:val="0016542E"/>
    <w:rsid w:val="001666F2"/>
    <w:rsid w:val="00166875"/>
    <w:rsid w:val="00166D8E"/>
    <w:rsid w:val="00166E4C"/>
    <w:rsid w:val="001670ED"/>
    <w:rsid w:val="001671CB"/>
    <w:rsid w:val="001676B4"/>
    <w:rsid w:val="00167A33"/>
    <w:rsid w:val="00170D98"/>
    <w:rsid w:val="001712F1"/>
    <w:rsid w:val="00171706"/>
    <w:rsid w:val="00171910"/>
    <w:rsid w:val="00171FEF"/>
    <w:rsid w:val="00172F3E"/>
    <w:rsid w:val="001731AD"/>
    <w:rsid w:val="001734FF"/>
    <w:rsid w:val="00173FBA"/>
    <w:rsid w:val="00175DA4"/>
    <w:rsid w:val="00176BD2"/>
    <w:rsid w:val="001776CF"/>
    <w:rsid w:val="00177753"/>
    <w:rsid w:val="00177CD4"/>
    <w:rsid w:val="00177DAD"/>
    <w:rsid w:val="00181D28"/>
    <w:rsid w:val="00182284"/>
    <w:rsid w:val="00182325"/>
    <w:rsid w:val="00182352"/>
    <w:rsid w:val="001827FC"/>
    <w:rsid w:val="00182CB9"/>
    <w:rsid w:val="0018309D"/>
    <w:rsid w:val="00184443"/>
    <w:rsid w:val="00184738"/>
    <w:rsid w:val="001858D0"/>
    <w:rsid w:val="001860A3"/>
    <w:rsid w:val="001861B5"/>
    <w:rsid w:val="00186F63"/>
    <w:rsid w:val="0018750C"/>
    <w:rsid w:val="00187524"/>
    <w:rsid w:val="001875CF"/>
    <w:rsid w:val="00187A8C"/>
    <w:rsid w:val="00190650"/>
    <w:rsid w:val="001909F2"/>
    <w:rsid w:val="00190AD0"/>
    <w:rsid w:val="00190BF0"/>
    <w:rsid w:val="001915D8"/>
    <w:rsid w:val="0019184A"/>
    <w:rsid w:val="001924D6"/>
    <w:rsid w:val="0019293A"/>
    <w:rsid w:val="00193F04"/>
    <w:rsid w:val="0019406F"/>
    <w:rsid w:val="001951EF"/>
    <w:rsid w:val="0019523C"/>
    <w:rsid w:val="0019627F"/>
    <w:rsid w:val="001963B2"/>
    <w:rsid w:val="00197082"/>
    <w:rsid w:val="001973C8"/>
    <w:rsid w:val="00197ED8"/>
    <w:rsid w:val="001A0841"/>
    <w:rsid w:val="001A08E7"/>
    <w:rsid w:val="001A0D5D"/>
    <w:rsid w:val="001A1D86"/>
    <w:rsid w:val="001A1FBB"/>
    <w:rsid w:val="001A20C7"/>
    <w:rsid w:val="001A2EC3"/>
    <w:rsid w:val="001A35C1"/>
    <w:rsid w:val="001A3CB5"/>
    <w:rsid w:val="001A3DDE"/>
    <w:rsid w:val="001A40A1"/>
    <w:rsid w:val="001A4399"/>
    <w:rsid w:val="001A4E00"/>
    <w:rsid w:val="001A55C8"/>
    <w:rsid w:val="001A641B"/>
    <w:rsid w:val="001A6CE7"/>
    <w:rsid w:val="001A7759"/>
    <w:rsid w:val="001A79E0"/>
    <w:rsid w:val="001B028B"/>
    <w:rsid w:val="001B1343"/>
    <w:rsid w:val="001B1C7D"/>
    <w:rsid w:val="001B22F9"/>
    <w:rsid w:val="001B2C07"/>
    <w:rsid w:val="001B35CC"/>
    <w:rsid w:val="001B3728"/>
    <w:rsid w:val="001B3836"/>
    <w:rsid w:val="001B3A3C"/>
    <w:rsid w:val="001B3C95"/>
    <w:rsid w:val="001B4D0C"/>
    <w:rsid w:val="001B4DBD"/>
    <w:rsid w:val="001B4E63"/>
    <w:rsid w:val="001B5225"/>
    <w:rsid w:val="001B53D4"/>
    <w:rsid w:val="001B6137"/>
    <w:rsid w:val="001B6CD8"/>
    <w:rsid w:val="001B7F1C"/>
    <w:rsid w:val="001C0543"/>
    <w:rsid w:val="001C07EA"/>
    <w:rsid w:val="001C1401"/>
    <w:rsid w:val="001C15C3"/>
    <w:rsid w:val="001C1E92"/>
    <w:rsid w:val="001C3FE5"/>
    <w:rsid w:val="001C4FEC"/>
    <w:rsid w:val="001C5F13"/>
    <w:rsid w:val="001C637E"/>
    <w:rsid w:val="001C68DE"/>
    <w:rsid w:val="001C69C9"/>
    <w:rsid w:val="001C7705"/>
    <w:rsid w:val="001D09B3"/>
    <w:rsid w:val="001D0AE7"/>
    <w:rsid w:val="001D0C8D"/>
    <w:rsid w:val="001D0D60"/>
    <w:rsid w:val="001D126F"/>
    <w:rsid w:val="001D193B"/>
    <w:rsid w:val="001D1D61"/>
    <w:rsid w:val="001D24E9"/>
    <w:rsid w:val="001D2B7C"/>
    <w:rsid w:val="001D3095"/>
    <w:rsid w:val="001D3FFC"/>
    <w:rsid w:val="001D48AB"/>
    <w:rsid w:val="001D4B85"/>
    <w:rsid w:val="001D4BB7"/>
    <w:rsid w:val="001D4BF7"/>
    <w:rsid w:val="001D5FC9"/>
    <w:rsid w:val="001D6721"/>
    <w:rsid w:val="001D6881"/>
    <w:rsid w:val="001D73C1"/>
    <w:rsid w:val="001D7ABE"/>
    <w:rsid w:val="001D7BEB"/>
    <w:rsid w:val="001E109C"/>
    <w:rsid w:val="001E1AB1"/>
    <w:rsid w:val="001E1ABE"/>
    <w:rsid w:val="001E20E3"/>
    <w:rsid w:val="001E302F"/>
    <w:rsid w:val="001E31AE"/>
    <w:rsid w:val="001E36AC"/>
    <w:rsid w:val="001E4035"/>
    <w:rsid w:val="001E443E"/>
    <w:rsid w:val="001E5096"/>
    <w:rsid w:val="001E5433"/>
    <w:rsid w:val="001E5B39"/>
    <w:rsid w:val="001E5B85"/>
    <w:rsid w:val="001E6031"/>
    <w:rsid w:val="001E63B3"/>
    <w:rsid w:val="001E6502"/>
    <w:rsid w:val="001E6D3F"/>
    <w:rsid w:val="001E6D87"/>
    <w:rsid w:val="001E6EF6"/>
    <w:rsid w:val="001E7832"/>
    <w:rsid w:val="001E7D21"/>
    <w:rsid w:val="001E7F10"/>
    <w:rsid w:val="001F19D6"/>
    <w:rsid w:val="001F20C2"/>
    <w:rsid w:val="001F235F"/>
    <w:rsid w:val="001F2AC1"/>
    <w:rsid w:val="001F36C9"/>
    <w:rsid w:val="001F42D0"/>
    <w:rsid w:val="001F4CCA"/>
    <w:rsid w:val="001F4D86"/>
    <w:rsid w:val="001F5524"/>
    <w:rsid w:val="001F5851"/>
    <w:rsid w:val="001F5AFF"/>
    <w:rsid w:val="001F656E"/>
    <w:rsid w:val="001F6A2D"/>
    <w:rsid w:val="001F7A9D"/>
    <w:rsid w:val="00202124"/>
    <w:rsid w:val="00203EA1"/>
    <w:rsid w:val="00204984"/>
    <w:rsid w:val="00205436"/>
    <w:rsid w:val="002062C7"/>
    <w:rsid w:val="002068FC"/>
    <w:rsid w:val="00206AA3"/>
    <w:rsid w:val="00206E77"/>
    <w:rsid w:val="002076A6"/>
    <w:rsid w:val="00210A0C"/>
    <w:rsid w:val="00211DAB"/>
    <w:rsid w:val="00212052"/>
    <w:rsid w:val="00212B91"/>
    <w:rsid w:val="00212E2D"/>
    <w:rsid w:val="00214323"/>
    <w:rsid w:val="00214D91"/>
    <w:rsid w:val="00215D53"/>
    <w:rsid w:val="0021656C"/>
    <w:rsid w:val="00216627"/>
    <w:rsid w:val="002173F7"/>
    <w:rsid w:val="00217EF3"/>
    <w:rsid w:val="0022018B"/>
    <w:rsid w:val="00220482"/>
    <w:rsid w:val="00220649"/>
    <w:rsid w:val="00220DB4"/>
    <w:rsid w:val="00221041"/>
    <w:rsid w:val="00221336"/>
    <w:rsid w:val="00221D9F"/>
    <w:rsid w:val="0022249A"/>
    <w:rsid w:val="00222BAB"/>
    <w:rsid w:val="00222D60"/>
    <w:rsid w:val="00224490"/>
    <w:rsid w:val="0022454C"/>
    <w:rsid w:val="00225455"/>
    <w:rsid w:val="00225597"/>
    <w:rsid w:val="002260D7"/>
    <w:rsid w:val="00226455"/>
    <w:rsid w:val="0022656E"/>
    <w:rsid w:val="002268DE"/>
    <w:rsid w:val="00226B50"/>
    <w:rsid w:val="002278A6"/>
    <w:rsid w:val="00227F62"/>
    <w:rsid w:val="00227FA8"/>
    <w:rsid w:val="00230542"/>
    <w:rsid w:val="00230872"/>
    <w:rsid w:val="00230C26"/>
    <w:rsid w:val="00230DB3"/>
    <w:rsid w:val="00232942"/>
    <w:rsid w:val="00232B73"/>
    <w:rsid w:val="002331C4"/>
    <w:rsid w:val="002331F5"/>
    <w:rsid w:val="00233C81"/>
    <w:rsid w:val="0023412A"/>
    <w:rsid w:val="00234478"/>
    <w:rsid w:val="002344FE"/>
    <w:rsid w:val="0023479E"/>
    <w:rsid w:val="00234950"/>
    <w:rsid w:val="0023546C"/>
    <w:rsid w:val="00235DA0"/>
    <w:rsid w:val="00236B8C"/>
    <w:rsid w:val="00236DBB"/>
    <w:rsid w:val="00237080"/>
    <w:rsid w:val="002370E6"/>
    <w:rsid w:val="00237CB0"/>
    <w:rsid w:val="002404E7"/>
    <w:rsid w:val="00240525"/>
    <w:rsid w:val="002428A1"/>
    <w:rsid w:val="00243B2F"/>
    <w:rsid w:val="00243E31"/>
    <w:rsid w:val="002443C7"/>
    <w:rsid w:val="00244D15"/>
    <w:rsid w:val="00245348"/>
    <w:rsid w:val="0024565F"/>
    <w:rsid w:val="00245EF8"/>
    <w:rsid w:val="0024653D"/>
    <w:rsid w:val="00247ACE"/>
    <w:rsid w:val="00250065"/>
    <w:rsid w:val="002502E6"/>
    <w:rsid w:val="00251AF8"/>
    <w:rsid w:val="00251EA6"/>
    <w:rsid w:val="00253734"/>
    <w:rsid w:val="00254BC3"/>
    <w:rsid w:val="00254E3A"/>
    <w:rsid w:val="002551FE"/>
    <w:rsid w:val="00255909"/>
    <w:rsid w:val="0025600B"/>
    <w:rsid w:val="00256A90"/>
    <w:rsid w:val="00256DC1"/>
    <w:rsid w:val="00256DD9"/>
    <w:rsid w:val="002572F0"/>
    <w:rsid w:val="002573C0"/>
    <w:rsid w:val="002575A5"/>
    <w:rsid w:val="00257BD9"/>
    <w:rsid w:val="00260262"/>
    <w:rsid w:val="002606CB"/>
    <w:rsid w:val="0026213C"/>
    <w:rsid w:val="00262D43"/>
    <w:rsid w:val="00262F44"/>
    <w:rsid w:val="00263353"/>
    <w:rsid w:val="002637FD"/>
    <w:rsid w:val="00263A24"/>
    <w:rsid w:val="00263D85"/>
    <w:rsid w:val="002641A0"/>
    <w:rsid w:val="002642D4"/>
    <w:rsid w:val="002644EB"/>
    <w:rsid w:val="002648D0"/>
    <w:rsid w:val="00264AD5"/>
    <w:rsid w:val="00264E81"/>
    <w:rsid w:val="00265321"/>
    <w:rsid w:val="0026534D"/>
    <w:rsid w:val="00265E57"/>
    <w:rsid w:val="00265EE3"/>
    <w:rsid w:val="00265F9D"/>
    <w:rsid w:val="00266F5A"/>
    <w:rsid w:val="00267A24"/>
    <w:rsid w:val="0027074A"/>
    <w:rsid w:val="00270B81"/>
    <w:rsid w:val="00270BB3"/>
    <w:rsid w:val="00270BC2"/>
    <w:rsid w:val="00270BE7"/>
    <w:rsid w:val="00270D3F"/>
    <w:rsid w:val="002715C3"/>
    <w:rsid w:val="00271816"/>
    <w:rsid w:val="00271EA5"/>
    <w:rsid w:val="0027234B"/>
    <w:rsid w:val="00272D00"/>
    <w:rsid w:val="00272D8B"/>
    <w:rsid w:val="0027317A"/>
    <w:rsid w:val="00273B0A"/>
    <w:rsid w:val="00273F94"/>
    <w:rsid w:val="0027547D"/>
    <w:rsid w:val="002758F0"/>
    <w:rsid w:val="00276581"/>
    <w:rsid w:val="00276BFC"/>
    <w:rsid w:val="00276DA3"/>
    <w:rsid w:val="002772D5"/>
    <w:rsid w:val="002773F3"/>
    <w:rsid w:val="00277FBD"/>
    <w:rsid w:val="002803F1"/>
    <w:rsid w:val="0028103A"/>
    <w:rsid w:val="00282BF3"/>
    <w:rsid w:val="00283128"/>
    <w:rsid w:val="0028351C"/>
    <w:rsid w:val="002845AA"/>
    <w:rsid w:val="00284800"/>
    <w:rsid w:val="00285F26"/>
    <w:rsid w:val="00286F2B"/>
    <w:rsid w:val="0028738A"/>
    <w:rsid w:val="00287DA6"/>
    <w:rsid w:val="00290EDE"/>
    <w:rsid w:val="00291912"/>
    <w:rsid w:val="00291993"/>
    <w:rsid w:val="00291A03"/>
    <w:rsid w:val="00291E64"/>
    <w:rsid w:val="0029279E"/>
    <w:rsid w:val="00292E90"/>
    <w:rsid w:val="00292EF6"/>
    <w:rsid w:val="00293A1A"/>
    <w:rsid w:val="00294C3F"/>
    <w:rsid w:val="00295398"/>
    <w:rsid w:val="00295B0B"/>
    <w:rsid w:val="00295E8D"/>
    <w:rsid w:val="00296331"/>
    <w:rsid w:val="00296436"/>
    <w:rsid w:val="00296445"/>
    <w:rsid w:val="00296D2F"/>
    <w:rsid w:val="00297147"/>
    <w:rsid w:val="002A09E2"/>
    <w:rsid w:val="002A0ADC"/>
    <w:rsid w:val="002A0B28"/>
    <w:rsid w:val="002A216F"/>
    <w:rsid w:val="002A2423"/>
    <w:rsid w:val="002A24C1"/>
    <w:rsid w:val="002A2A5F"/>
    <w:rsid w:val="002A43A8"/>
    <w:rsid w:val="002A5815"/>
    <w:rsid w:val="002A5A70"/>
    <w:rsid w:val="002A5B76"/>
    <w:rsid w:val="002A5FB4"/>
    <w:rsid w:val="002A75A0"/>
    <w:rsid w:val="002A7CBE"/>
    <w:rsid w:val="002B0DCC"/>
    <w:rsid w:val="002B2660"/>
    <w:rsid w:val="002B27C9"/>
    <w:rsid w:val="002B2A76"/>
    <w:rsid w:val="002B3663"/>
    <w:rsid w:val="002B4209"/>
    <w:rsid w:val="002B464E"/>
    <w:rsid w:val="002B4D6F"/>
    <w:rsid w:val="002B500F"/>
    <w:rsid w:val="002B55C4"/>
    <w:rsid w:val="002B5FF7"/>
    <w:rsid w:val="002B71DB"/>
    <w:rsid w:val="002B722C"/>
    <w:rsid w:val="002B725A"/>
    <w:rsid w:val="002B7659"/>
    <w:rsid w:val="002C01D5"/>
    <w:rsid w:val="002C0413"/>
    <w:rsid w:val="002C0656"/>
    <w:rsid w:val="002C0E17"/>
    <w:rsid w:val="002C14EC"/>
    <w:rsid w:val="002C1F33"/>
    <w:rsid w:val="002C22B2"/>
    <w:rsid w:val="002C2803"/>
    <w:rsid w:val="002C2933"/>
    <w:rsid w:val="002C3B3A"/>
    <w:rsid w:val="002C3D4E"/>
    <w:rsid w:val="002C44AE"/>
    <w:rsid w:val="002C47DE"/>
    <w:rsid w:val="002C57A7"/>
    <w:rsid w:val="002C591D"/>
    <w:rsid w:val="002C60E5"/>
    <w:rsid w:val="002C644E"/>
    <w:rsid w:val="002C66B3"/>
    <w:rsid w:val="002C6BA9"/>
    <w:rsid w:val="002C731C"/>
    <w:rsid w:val="002C77CB"/>
    <w:rsid w:val="002C78D7"/>
    <w:rsid w:val="002D0572"/>
    <w:rsid w:val="002D059F"/>
    <w:rsid w:val="002D13D7"/>
    <w:rsid w:val="002D1D0E"/>
    <w:rsid w:val="002D2625"/>
    <w:rsid w:val="002D3E01"/>
    <w:rsid w:val="002D4E92"/>
    <w:rsid w:val="002D58AB"/>
    <w:rsid w:val="002D5EFD"/>
    <w:rsid w:val="002D6645"/>
    <w:rsid w:val="002D6729"/>
    <w:rsid w:val="002D74E1"/>
    <w:rsid w:val="002D7971"/>
    <w:rsid w:val="002D7D40"/>
    <w:rsid w:val="002D7DBF"/>
    <w:rsid w:val="002E0066"/>
    <w:rsid w:val="002E043A"/>
    <w:rsid w:val="002E0847"/>
    <w:rsid w:val="002E21EC"/>
    <w:rsid w:val="002E2CB4"/>
    <w:rsid w:val="002E41B3"/>
    <w:rsid w:val="002E420A"/>
    <w:rsid w:val="002E49BC"/>
    <w:rsid w:val="002E4CDC"/>
    <w:rsid w:val="002E4D1B"/>
    <w:rsid w:val="002E4E10"/>
    <w:rsid w:val="002E58A6"/>
    <w:rsid w:val="002E595B"/>
    <w:rsid w:val="002E608E"/>
    <w:rsid w:val="002E65E8"/>
    <w:rsid w:val="002E6BED"/>
    <w:rsid w:val="002E6D82"/>
    <w:rsid w:val="002E76A5"/>
    <w:rsid w:val="002E7BFF"/>
    <w:rsid w:val="002F03D6"/>
    <w:rsid w:val="002F09A7"/>
    <w:rsid w:val="002F2144"/>
    <w:rsid w:val="002F29B9"/>
    <w:rsid w:val="002F302F"/>
    <w:rsid w:val="002F37F0"/>
    <w:rsid w:val="002F4946"/>
    <w:rsid w:val="002F4E15"/>
    <w:rsid w:val="002F4FEA"/>
    <w:rsid w:val="002F507B"/>
    <w:rsid w:val="002F586D"/>
    <w:rsid w:val="002F59B8"/>
    <w:rsid w:val="002F6685"/>
    <w:rsid w:val="002F6DAF"/>
    <w:rsid w:val="002F7692"/>
    <w:rsid w:val="002F7A6E"/>
    <w:rsid w:val="002F7F05"/>
    <w:rsid w:val="00300570"/>
    <w:rsid w:val="00301F62"/>
    <w:rsid w:val="00302ADB"/>
    <w:rsid w:val="0030332D"/>
    <w:rsid w:val="00303A80"/>
    <w:rsid w:val="00303D99"/>
    <w:rsid w:val="00303F8F"/>
    <w:rsid w:val="00304116"/>
    <w:rsid w:val="0030432E"/>
    <w:rsid w:val="00304528"/>
    <w:rsid w:val="00304D9E"/>
    <w:rsid w:val="00305648"/>
    <w:rsid w:val="00306398"/>
    <w:rsid w:val="00306CCF"/>
    <w:rsid w:val="003123BB"/>
    <w:rsid w:val="00312AFC"/>
    <w:rsid w:val="00313A64"/>
    <w:rsid w:val="00315512"/>
    <w:rsid w:val="003165C3"/>
    <w:rsid w:val="003166B2"/>
    <w:rsid w:val="00317D41"/>
    <w:rsid w:val="00320AA9"/>
    <w:rsid w:val="00320F2F"/>
    <w:rsid w:val="003215E6"/>
    <w:rsid w:val="0032197A"/>
    <w:rsid w:val="003224CA"/>
    <w:rsid w:val="003234CF"/>
    <w:rsid w:val="0032376E"/>
    <w:rsid w:val="00323C60"/>
    <w:rsid w:val="00323CD4"/>
    <w:rsid w:val="00323EE8"/>
    <w:rsid w:val="00324011"/>
    <w:rsid w:val="00324AB6"/>
    <w:rsid w:val="0032503A"/>
    <w:rsid w:val="00326DBC"/>
    <w:rsid w:val="00330672"/>
    <w:rsid w:val="00330A4F"/>
    <w:rsid w:val="00331061"/>
    <w:rsid w:val="0033171F"/>
    <w:rsid w:val="003321E6"/>
    <w:rsid w:val="003324AB"/>
    <w:rsid w:val="003326F9"/>
    <w:rsid w:val="003327DD"/>
    <w:rsid w:val="00332C6E"/>
    <w:rsid w:val="00332EC1"/>
    <w:rsid w:val="00334805"/>
    <w:rsid w:val="00335607"/>
    <w:rsid w:val="00336297"/>
    <w:rsid w:val="00336388"/>
    <w:rsid w:val="00336A94"/>
    <w:rsid w:val="00336D14"/>
    <w:rsid w:val="00337166"/>
    <w:rsid w:val="0033753C"/>
    <w:rsid w:val="0033788D"/>
    <w:rsid w:val="003379AB"/>
    <w:rsid w:val="00337D64"/>
    <w:rsid w:val="003408C2"/>
    <w:rsid w:val="003429C3"/>
    <w:rsid w:val="003432AA"/>
    <w:rsid w:val="00343490"/>
    <w:rsid w:val="00343982"/>
    <w:rsid w:val="00343A2E"/>
    <w:rsid w:val="003441D2"/>
    <w:rsid w:val="003441DE"/>
    <w:rsid w:val="003445C0"/>
    <w:rsid w:val="00344744"/>
    <w:rsid w:val="00344CBC"/>
    <w:rsid w:val="00346CE2"/>
    <w:rsid w:val="0034737F"/>
    <w:rsid w:val="003473BB"/>
    <w:rsid w:val="00347E19"/>
    <w:rsid w:val="003505D9"/>
    <w:rsid w:val="00351FF4"/>
    <w:rsid w:val="00352ACD"/>
    <w:rsid w:val="0035424B"/>
    <w:rsid w:val="00354479"/>
    <w:rsid w:val="00354B13"/>
    <w:rsid w:val="00354CCC"/>
    <w:rsid w:val="00355880"/>
    <w:rsid w:val="00355B97"/>
    <w:rsid w:val="00355BB6"/>
    <w:rsid w:val="00355C38"/>
    <w:rsid w:val="00356996"/>
    <w:rsid w:val="003579F3"/>
    <w:rsid w:val="00357FD0"/>
    <w:rsid w:val="00361729"/>
    <w:rsid w:val="0036209E"/>
    <w:rsid w:val="0036217F"/>
    <w:rsid w:val="0036256A"/>
    <w:rsid w:val="0036678A"/>
    <w:rsid w:val="003678C5"/>
    <w:rsid w:val="00370021"/>
    <w:rsid w:val="00370215"/>
    <w:rsid w:val="00370868"/>
    <w:rsid w:val="00372488"/>
    <w:rsid w:val="00372A07"/>
    <w:rsid w:val="00372CE4"/>
    <w:rsid w:val="003732AF"/>
    <w:rsid w:val="00373735"/>
    <w:rsid w:val="003739D9"/>
    <w:rsid w:val="003741B9"/>
    <w:rsid w:val="00374EB1"/>
    <w:rsid w:val="0037566B"/>
    <w:rsid w:val="00376036"/>
    <w:rsid w:val="0037677F"/>
    <w:rsid w:val="00377364"/>
    <w:rsid w:val="003803AC"/>
    <w:rsid w:val="00380620"/>
    <w:rsid w:val="00380AD7"/>
    <w:rsid w:val="0038106F"/>
    <w:rsid w:val="003815CC"/>
    <w:rsid w:val="00381EF6"/>
    <w:rsid w:val="00381F15"/>
    <w:rsid w:val="00382240"/>
    <w:rsid w:val="00382AE9"/>
    <w:rsid w:val="003841F2"/>
    <w:rsid w:val="0038465A"/>
    <w:rsid w:val="00384A6B"/>
    <w:rsid w:val="00384AC3"/>
    <w:rsid w:val="00384C24"/>
    <w:rsid w:val="003852D0"/>
    <w:rsid w:val="00385BE7"/>
    <w:rsid w:val="00385C09"/>
    <w:rsid w:val="003863C0"/>
    <w:rsid w:val="003863FB"/>
    <w:rsid w:val="0038666C"/>
    <w:rsid w:val="00386AB5"/>
    <w:rsid w:val="00387760"/>
    <w:rsid w:val="00387C98"/>
    <w:rsid w:val="0039011A"/>
    <w:rsid w:val="0039017E"/>
    <w:rsid w:val="00390217"/>
    <w:rsid w:val="00390355"/>
    <w:rsid w:val="0039208B"/>
    <w:rsid w:val="00392AFC"/>
    <w:rsid w:val="00392CB3"/>
    <w:rsid w:val="00393E54"/>
    <w:rsid w:val="003941D2"/>
    <w:rsid w:val="0039421A"/>
    <w:rsid w:val="003943A6"/>
    <w:rsid w:val="0039678E"/>
    <w:rsid w:val="00396ACC"/>
    <w:rsid w:val="00397651"/>
    <w:rsid w:val="003978F5"/>
    <w:rsid w:val="003A02BB"/>
    <w:rsid w:val="003A0D2F"/>
    <w:rsid w:val="003A14C2"/>
    <w:rsid w:val="003A1547"/>
    <w:rsid w:val="003A1AE8"/>
    <w:rsid w:val="003A20C9"/>
    <w:rsid w:val="003A211C"/>
    <w:rsid w:val="003A3483"/>
    <w:rsid w:val="003A3726"/>
    <w:rsid w:val="003A3A9F"/>
    <w:rsid w:val="003A3C12"/>
    <w:rsid w:val="003A3DBE"/>
    <w:rsid w:val="003A431F"/>
    <w:rsid w:val="003A4456"/>
    <w:rsid w:val="003A44B8"/>
    <w:rsid w:val="003A5188"/>
    <w:rsid w:val="003A75F9"/>
    <w:rsid w:val="003A77E9"/>
    <w:rsid w:val="003B00C4"/>
    <w:rsid w:val="003B0308"/>
    <w:rsid w:val="003B03F7"/>
    <w:rsid w:val="003B15E7"/>
    <w:rsid w:val="003B1729"/>
    <w:rsid w:val="003B1B43"/>
    <w:rsid w:val="003B1BAC"/>
    <w:rsid w:val="003B1F41"/>
    <w:rsid w:val="003B2DBB"/>
    <w:rsid w:val="003B3A21"/>
    <w:rsid w:val="003B3E2A"/>
    <w:rsid w:val="003B4029"/>
    <w:rsid w:val="003B4A58"/>
    <w:rsid w:val="003B5CA2"/>
    <w:rsid w:val="003B6099"/>
    <w:rsid w:val="003B6664"/>
    <w:rsid w:val="003B698E"/>
    <w:rsid w:val="003B7735"/>
    <w:rsid w:val="003C0B06"/>
    <w:rsid w:val="003C120D"/>
    <w:rsid w:val="003C1DC1"/>
    <w:rsid w:val="003C30DF"/>
    <w:rsid w:val="003C38A6"/>
    <w:rsid w:val="003C5218"/>
    <w:rsid w:val="003C53DA"/>
    <w:rsid w:val="003C5B9D"/>
    <w:rsid w:val="003C5E69"/>
    <w:rsid w:val="003C6406"/>
    <w:rsid w:val="003C6AAF"/>
    <w:rsid w:val="003C726D"/>
    <w:rsid w:val="003D0E29"/>
    <w:rsid w:val="003D1741"/>
    <w:rsid w:val="003D22CD"/>
    <w:rsid w:val="003D24CE"/>
    <w:rsid w:val="003D2523"/>
    <w:rsid w:val="003D269C"/>
    <w:rsid w:val="003D2B5D"/>
    <w:rsid w:val="003D2E7D"/>
    <w:rsid w:val="003D338F"/>
    <w:rsid w:val="003D3A5D"/>
    <w:rsid w:val="003D3AD5"/>
    <w:rsid w:val="003D4033"/>
    <w:rsid w:val="003D478B"/>
    <w:rsid w:val="003D48C6"/>
    <w:rsid w:val="003D4BA3"/>
    <w:rsid w:val="003D55DC"/>
    <w:rsid w:val="003D61EB"/>
    <w:rsid w:val="003D6D60"/>
    <w:rsid w:val="003D71C3"/>
    <w:rsid w:val="003E0402"/>
    <w:rsid w:val="003E04CD"/>
    <w:rsid w:val="003E10E6"/>
    <w:rsid w:val="003E1418"/>
    <w:rsid w:val="003E1608"/>
    <w:rsid w:val="003E2EE7"/>
    <w:rsid w:val="003E368C"/>
    <w:rsid w:val="003E3BF6"/>
    <w:rsid w:val="003E4EB5"/>
    <w:rsid w:val="003E527C"/>
    <w:rsid w:val="003E5857"/>
    <w:rsid w:val="003E5D0D"/>
    <w:rsid w:val="003E5F59"/>
    <w:rsid w:val="003E699E"/>
    <w:rsid w:val="003E6D70"/>
    <w:rsid w:val="003F0118"/>
    <w:rsid w:val="003F1358"/>
    <w:rsid w:val="003F1D00"/>
    <w:rsid w:val="003F2672"/>
    <w:rsid w:val="003F28D5"/>
    <w:rsid w:val="003F2927"/>
    <w:rsid w:val="003F2AFA"/>
    <w:rsid w:val="003F4519"/>
    <w:rsid w:val="003F57A6"/>
    <w:rsid w:val="003F587C"/>
    <w:rsid w:val="003F6363"/>
    <w:rsid w:val="003F70EC"/>
    <w:rsid w:val="003F7F8F"/>
    <w:rsid w:val="004004C2"/>
    <w:rsid w:val="00400525"/>
    <w:rsid w:val="004009F4"/>
    <w:rsid w:val="00400D65"/>
    <w:rsid w:val="0040103A"/>
    <w:rsid w:val="00403647"/>
    <w:rsid w:val="0040431E"/>
    <w:rsid w:val="00404A60"/>
    <w:rsid w:val="00404FCE"/>
    <w:rsid w:val="00406CF2"/>
    <w:rsid w:val="00407AF2"/>
    <w:rsid w:val="00410E14"/>
    <w:rsid w:val="0041154D"/>
    <w:rsid w:val="004127CB"/>
    <w:rsid w:val="0041369C"/>
    <w:rsid w:val="00413E97"/>
    <w:rsid w:val="00413FFE"/>
    <w:rsid w:val="004145E7"/>
    <w:rsid w:val="0041482B"/>
    <w:rsid w:val="004151AE"/>
    <w:rsid w:val="0041528C"/>
    <w:rsid w:val="004152DF"/>
    <w:rsid w:val="00415512"/>
    <w:rsid w:val="004155CE"/>
    <w:rsid w:val="004158D3"/>
    <w:rsid w:val="00415E79"/>
    <w:rsid w:val="00416752"/>
    <w:rsid w:val="0041677A"/>
    <w:rsid w:val="00417F9D"/>
    <w:rsid w:val="004217E7"/>
    <w:rsid w:val="00421A9A"/>
    <w:rsid w:val="00421E1C"/>
    <w:rsid w:val="00422033"/>
    <w:rsid w:val="0042219A"/>
    <w:rsid w:val="004221DB"/>
    <w:rsid w:val="0042428E"/>
    <w:rsid w:val="004243FF"/>
    <w:rsid w:val="0042525D"/>
    <w:rsid w:val="00425AA3"/>
    <w:rsid w:val="00425AFD"/>
    <w:rsid w:val="004260A0"/>
    <w:rsid w:val="00430213"/>
    <w:rsid w:val="0043149D"/>
    <w:rsid w:val="0043166F"/>
    <w:rsid w:val="00432028"/>
    <w:rsid w:val="004320EB"/>
    <w:rsid w:val="00432F51"/>
    <w:rsid w:val="00433CE7"/>
    <w:rsid w:val="004340BF"/>
    <w:rsid w:val="004349C9"/>
    <w:rsid w:val="00435BED"/>
    <w:rsid w:val="004363B7"/>
    <w:rsid w:val="004370F8"/>
    <w:rsid w:val="00437586"/>
    <w:rsid w:val="00437816"/>
    <w:rsid w:val="00437A93"/>
    <w:rsid w:val="00437E07"/>
    <w:rsid w:val="004402D4"/>
    <w:rsid w:val="00440BCB"/>
    <w:rsid w:val="00440CB4"/>
    <w:rsid w:val="00442030"/>
    <w:rsid w:val="0044210E"/>
    <w:rsid w:val="0044356A"/>
    <w:rsid w:val="00443CBC"/>
    <w:rsid w:val="00443FB8"/>
    <w:rsid w:val="004443D8"/>
    <w:rsid w:val="00444E09"/>
    <w:rsid w:val="00444F7A"/>
    <w:rsid w:val="00445AFF"/>
    <w:rsid w:val="0044677A"/>
    <w:rsid w:val="004467A3"/>
    <w:rsid w:val="0044685E"/>
    <w:rsid w:val="00446CD4"/>
    <w:rsid w:val="00447187"/>
    <w:rsid w:val="00447635"/>
    <w:rsid w:val="00447E7F"/>
    <w:rsid w:val="00450277"/>
    <w:rsid w:val="00454474"/>
    <w:rsid w:val="0045451F"/>
    <w:rsid w:val="00455CAC"/>
    <w:rsid w:val="004563A1"/>
    <w:rsid w:val="00456B96"/>
    <w:rsid w:val="00457001"/>
    <w:rsid w:val="00457701"/>
    <w:rsid w:val="004577B2"/>
    <w:rsid w:val="00457B88"/>
    <w:rsid w:val="00460407"/>
    <w:rsid w:val="004609F8"/>
    <w:rsid w:val="0046184C"/>
    <w:rsid w:val="0046359A"/>
    <w:rsid w:val="004637B4"/>
    <w:rsid w:val="004640EC"/>
    <w:rsid w:val="004641CB"/>
    <w:rsid w:val="00464F4F"/>
    <w:rsid w:val="00465146"/>
    <w:rsid w:val="0046653D"/>
    <w:rsid w:val="00466B5E"/>
    <w:rsid w:val="00470B77"/>
    <w:rsid w:val="00471426"/>
    <w:rsid w:val="00472BB7"/>
    <w:rsid w:val="00472D50"/>
    <w:rsid w:val="00474552"/>
    <w:rsid w:val="00474C24"/>
    <w:rsid w:val="00474CC9"/>
    <w:rsid w:val="00474EC2"/>
    <w:rsid w:val="00475876"/>
    <w:rsid w:val="00475B47"/>
    <w:rsid w:val="00476342"/>
    <w:rsid w:val="0047673A"/>
    <w:rsid w:val="00476C85"/>
    <w:rsid w:val="0047703B"/>
    <w:rsid w:val="00477D5D"/>
    <w:rsid w:val="00481205"/>
    <w:rsid w:val="00481512"/>
    <w:rsid w:val="00482506"/>
    <w:rsid w:val="004828A0"/>
    <w:rsid w:val="00482D59"/>
    <w:rsid w:val="00482F07"/>
    <w:rsid w:val="00483730"/>
    <w:rsid w:val="00484121"/>
    <w:rsid w:val="00484169"/>
    <w:rsid w:val="0048543A"/>
    <w:rsid w:val="00485C21"/>
    <w:rsid w:val="004861D7"/>
    <w:rsid w:val="004862F1"/>
    <w:rsid w:val="00486843"/>
    <w:rsid w:val="00486DCD"/>
    <w:rsid w:val="004873B5"/>
    <w:rsid w:val="004909FD"/>
    <w:rsid w:val="00490E88"/>
    <w:rsid w:val="0049162D"/>
    <w:rsid w:val="004917D9"/>
    <w:rsid w:val="004922AA"/>
    <w:rsid w:val="00492508"/>
    <w:rsid w:val="00492B9A"/>
    <w:rsid w:val="00493281"/>
    <w:rsid w:val="00493E16"/>
    <w:rsid w:val="004949D6"/>
    <w:rsid w:val="00494B52"/>
    <w:rsid w:val="0049602D"/>
    <w:rsid w:val="004962A1"/>
    <w:rsid w:val="00496B3D"/>
    <w:rsid w:val="004979E6"/>
    <w:rsid w:val="004A07EE"/>
    <w:rsid w:val="004A0DEF"/>
    <w:rsid w:val="004A1633"/>
    <w:rsid w:val="004A1D65"/>
    <w:rsid w:val="004A2034"/>
    <w:rsid w:val="004A2197"/>
    <w:rsid w:val="004A25A0"/>
    <w:rsid w:val="004A2722"/>
    <w:rsid w:val="004A2ACF"/>
    <w:rsid w:val="004A3159"/>
    <w:rsid w:val="004A3607"/>
    <w:rsid w:val="004A36DB"/>
    <w:rsid w:val="004A37CB"/>
    <w:rsid w:val="004A3E75"/>
    <w:rsid w:val="004A5157"/>
    <w:rsid w:val="004A65E5"/>
    <w:rsid w:val="004A6725"/>
    <w:rsid w:val="004A6DD0"/>
    <w:rsid w:val="004A72A4"/>
    <w:rsid w:val="004B0097"/>
    <w:rsid w:val="004B0B0C"/>
    <w:rsid w:val="004B0C9D"/>
    <w:rsid w:val="004B1270"/>
    <w:rsid w:val="004B228E"/>
    <w:rsid w:val="004B30C6"/>
    <w:rsid w:val="004B3D91"/>
    <w:rsid w:val="004B44BA"/>
    <w:rsid w:val="004B49EA"/>
    <w:rsid w:val="004B52ED"/>
    <w:rsid w:val="004B53E1"/>
    <w:rsid w:val="004B5FD3"/>
    <w:rsid w:val="004B6430"/>
    <w:rsid w:val="004B711B"/>
    <w:rsid w:val="004B73E9"/>
    <w:rsid w:val="004B7C84"/>
    <w:rsid w:val="004B7E3B"/>
    <w:rsid w:val="004B7E7D"/>
    <w:rsid w:val="004C068A"/>
    <w:rsid w:val="004C1345"/>
    <w:rsid w:val="004C17FC"/>
    <w:rsid w:val="004C1E4A"/>
    <w:rsid w:val="004C2A23"/>
    <w:rsid w:val="004C30AB"/>
    <w:rsid w:val="004C3C1A"/>
    <w:rsid w:val="004C4424"/>
    <w:rsid w:val="004C531F"/>
    <w:rsid w:val="004C54A6"/>
    <w:rsid w:val="004C590A"/>
    <w:rsid w:val="004C5ADC"/>
    <w:rsid w:val="004C662C"/>
    <w:rsid w:val="004C7378"/>
    <w:rsid w:val="004C77FA"/>
    <w:rsid w:val="004C78F5"/>
    <w:rsid w:val="004D0932"/>
    <w:rsid w:val="004D0F96"/>
    <w:rsid w:val="004D0FA7"/>
    <w:rsid w:val="004D2587"/>
    <w:rsid w:val="004D2A21"/>
    <w:rsid w:val="004D3999"/>
    <w:rsid w:val="004D4B1E"/>
    <w:rsid w:val="004D4D40"/>
    <w:rsid w:val="004D51EF"/>
    <w:rsid w:val="004D5A14"/>
    <w:rsid w:val="004D7493"/>
    <w:rsid w:val="004D79F3"/>
    <w:rsid w:val="004D7A5B"/>
    <w:rsid w:val="004D7D9C"/>
    <w:rsid w:val="004E0427"/>
    <w:rsid w:val="004E1744"/>
    <w:rsid w:val="004E2456"/>
    <w:rsid w:val="004E26F8"/>
    <w:rsid w:val="004E3153"/>
    <w:rsid w:val="004E3D0E"/>
    <w:rsid w:val="004E408D"/>
    <w:rsid w:val="004E411B"/>
    <w:rsid w:val="004E420E"/>
    <w:rsid w:val="004E65DA"/>
    <w:rsid w:val="004E6828"/>
    <w:rsid w:val="004E6AC7"/>
    <w:rsid w:val="004E786D"/>
    <w:rsid w:val="004E7A0B"/>
    <w:rsid w:val="004E7D3D"/>
    <w:rsid w:val="004F4123"/>
    <w:rsid w:val="004F5456"/>
    <w:rsid w:val="004F5EE5"/>
    <w:rsid w:val="004F6592"/>
    <w:rsid w:val="004F6670"/>
    <w:rsid w:val="004F69E6"/>
    <w:rsid w:val="00500289"/>
    <w:rsid w:val="005007C8"/>
    <w:rsid w:val="00500FCB"/>
    <w:rsid w:val="0050131F"/>
    <w:rsid w:val="005017AE"/>
    <w:rsid w:val="005021E8"/>
    <w:rsid w:val="00502440"/>
    <w:rsid w:val="00502489"/>
    <w:rsid w:val="00502588"/>
    <w:rsid w:val="00503656"/>
    <w:rsid w:val="00503968"/>
    <w:rsid w:val="005042DA"/>
    <w:rsid w:val="005044A4"/>
    <w:rsid w:val="00504D39"/>
    <w:rsid w:val="0050586A"/>
    <w:rsid w:val="0050619D"/>
    <w:rsid w:val="005066EB"/>
    <w:rsid w:val="00506910"/>
    <w:rsid w:val="00506E4E"/>
    <w:rsid w:val="0050706C"/>
    <w:rsid w:val="00507249"/>
    <w:rsid w:val="0051058F"/>
    <w:rsid w:val="00510B10"/>
    <w:rsid w:val="00510D24"/>
    <w:rsid w:val="005110D2"/>
    <w:rsid w:val="00512031"/>
    <w:rsid w:val="005120F4"/>
    <w:rsid w:val="0051279E"/>
    <w:rsid w:val="00512F45"/>
    <w:rsid w:val="0051341C"/>
    <w:rsid w:val="00513A76"/>
    <w:rsid w:val="00513E41"/>
    <w:rsid w:val="0051467E"/>
    <w:rsid w:val="005156DC"/>
    <w:rsid w:val="005157C2"/>
    <w:rsid w:val="0051637F"/>
    <w:rsid w:val="005173F8"/>
    <w:rsid w:val="00517429"/>
    <w:rsid w:val="00517CDE"/>
    <w:rsid w:val="00520038"/>
    <w:rsid w:val="00520E78"/>
    <w:rsid w:val="00522795"/>
    <w:rsid w:val="00522A7B"/>
    <w:rsid w:val="00522A97"/>
    <w:rsid w:val="00522E56"/>
    <w:rsid w:val="00523044"/>
    <w:rsid w:val="00523617"/>
    <w:rsid w:val="00523F2F"/>
    <w:rsid w:val="005241D0"/>
    <w:rsid w:val="00524D8A"/>
    <w:rsid w:val="00525225"/>
    <w:rsid w:val="00525333"/>
    <w:rsid w:val="00525AD4"/>
    <w:rsid w:val="00526255"/>
    <w:rsid w:val="00526E33"/>
    <w:rsid w:val="00526ED8"/>
    <w:rsid w:val="00527594"/>
    <w:rsid w:val="00530191"/>
    <w:rsid w:val="00530B8A"/>
    <w:rsid w:val="00531994"/>
    <w:rsid w:val="00531B27"/>
    <w:rsid w:val="00531FEF"/>
    <w:rsid w:val="005326AF"/>
    <w:rsid w:val="00533443"/>
    <w:rsid w:val="0053380E"/>
    <w:rsid w:val="00533B6E"/>
    <w:rsid w:val="00533D1E"/>
    <w:rsid w:val="005340AC"/>
    <w:rsid w:val="00534283"/>
    <w:rsid w:val="0053469C"/>
    <w:rsid w:val="005361F0"/>
    <w:rsid w:val="005362E0"/>
    <w:rsid w:val="005364ED"/>
    <w:rsid w:val="00536720"/>
    <w:rsid w:val="005367CB"/>
    <w:rsid w:val="00536FC7"/>
    <w:rsid w:val="005374CD"/>
    <w:rsid w:val="005401CF"/>
    <w:rsid w:val="00540760"/>
    <w:rsid w:val="005409A0"/>
    <w:rsid w:val="00540C41"/>
    <w:rsid w:val="00540E2A"/>
    <w:rsid w:val="00540FF4"/>
    <w:rsid w:val="005414A8"/>
    <w:rsid w:val="00541726"/>
    <w:rsid w:val="00541A19"/>
    <w:rsid w:val="0054378A"/>
    <w:rsid w:val="00544411"/>
    <w:rsid w:val="005446FB"/>
    <w:rsid w:val="00544EC7"/>
    <w:rsid w:val="00544F7F"/>
    <w:rsid w:val="005456E8"/>
    <w:rsid w:val="00545DA7"/>
    <w:rsid w:val="0054666B"/>
    <w:rsid w:val="00546890"/>
    <w:rsid w:val="00546CBB"/>
    <w:rsid w:val="005479E8"/>
    <w:rsid w:val="005500FD"/>
    <w:rsid w:val="00550243"/>
    <w:rsid w:val="00550814"/>
    <w:rsid w:val="00551553"/>
    <w:rsid w:val="00551EBB"/>
    <w:rsid w:val="00552573"/>
    <w:rsid w:val="00552688"/>
    <w:rsid w:val="0055368D"/>
    <w:rsid w:val="005537F2"/>
    <w:rsid w:val="00553E1F"/>
    <w:rsid w:val="00553E65"/>
    <w:rsid w:val="00554075"/>
    <w:rsid w:val="00555AC5"/>
    <w:rsid w:val="00555CD9"/>
    <w:rsid w:val="005566DF"/>
    <w:rsid w:val="0055672A"/>
    <w:rsid w:val="00556E4C"/>
    <w:rsid w:val="00557028"/>
    <w:rsid w:val="00557075"/>
    <w:rsid w:val="00557931"/>
    <w:rsid w:val="00557AC5"/>
    <w:rsid w:val="00557D3F"/>
    <w:rsid w:val="00560396"/>
    <w:rsid w:val="00560F5E"/>
    <w:rsid w:val="00561B76"/>
    <w:rsid w:val="00562A54"/>
    <w:rsid w:val="00562DBF"/>
    <w:rsid w:val="00563ACF"/>
    <w:rsid w:val="00563AF5"/>
    <w:rsid w:val="00563E3E"/>
    <w:rsid w:val="00564321"/>
    <w:rsid w:val="0056473C"/>
    <w:rsid w:val="00564DDB"/>
    <w:rsid w:val="00564E2E"/>
    <w:rsid w:val="00564F3D"/>
    <w:rsid w:val="005651BB"/>
    <w:rsid w:val="00565938"/>
    <w:rsid w:val="00566573"/>
    <w:rsid w:val="00566802"/>
    <w:rsid w:val="005677C5"/>
    <w:rsid w:val="00567865"/>
    <w:rsid w:val="00567D8D"/>
    <w:rsid w:val="00570F70"/>
    <w:rsid w:val="00571BDB"/>
    <w:rsid w:val="005723C2"/>
    <w:rsid w:val="00572462"/>
    <w:rsid w:val="00572AC6"/>
    <w:rsid w:val="00572E13"/>
    <w:rsid w:val="00572FBF"/>
    <w:rsid w:val="005735A3"/>
    <w:rsid w:val="00573B66"/>
    <w:rsid w:val="00574F15"/>
    <w:rsid w:val="00575D3B"/>
    <w:rsid w:val="00575FC6"/>
    <w:rsid w:val="00576661"/>
    <w:rsid w:val="00576A4D"/>
    <w:rsid w:val="00576B36"/>
    <w:rsid w:val="00576DA5"/>
    <w:rsid w:val="00576E77"/>
    <w:rsid w:val="0057715F"/>
    <w:rsid w:val="0058083B"/>
    <w:rsid w:val="005813C1"/>
    <w:rsid w:val="005816EF"/>
    <w:rsid w:val="00581A82"/>
    <w:rsid w:val="00581E1A"/>
    <w:rsid w:val="00581EF3"/>
    <w:rsid w:val="00582170"/>
    <w:rsid w:val="00582244"/>
    <w:rsid w:val="00583458"/>
    <w:rsid w:val="00583DE8"/>
    <w:rsid w:val="0058404B"/>
    <w:rsid w:val="005861FE"/>
    <w:rsid w:val="005872CA"/>
    <w:rsid w:val="005873C0"/>
    <w:rsid w:val="00587784"/>
    <w:rsid w:val="0059019D"/>
    <w:rsid w:val="00590267"/>
    <w:rsid w:val="00590410"/>
    <w:rsid w:val="00590496"/>
    <w:rsid w:val="00590FDE"/>
    <w:rsid w:val="00591465"/>
    <w:rsid w:val="00591743"/>
    <w:rsid w:val="00591AD9"/>
    <w:rsid w:val="0059224B"/>
    <w:rsid w:val="0059274A"/>
    <w:rsid w:val="00592AB0"/>
    <w:rsid w:val="005934E0"/>
    <w:rsid w:val="00593C73"/>
    <w:rsid w:val="00593E1A"/>
    <w:rsid w:val="005947AA"/>
    <w:rsid w:val="00595828"/>
    <w:rsid w:val="00595B5B"/>
    <w:rsid w:val="00595FB4"/>
    <w:rsid w:val="0059712F"/>
    <w:rsid w:val="005A04C6"/>
    <w:rsid w:val="005A077B"/>
    <w:rsid w:val="005A0AD7"/>
    <w:rsid w:val="005A1FB6"/>
    <w:rsid w:val="005A2620"/>
    <w:rsid w:val="005A2D26"/>
    <w:rsid w:val="005A3844"/>
    <w:rsid w:val="005A3AA6"/>
    <w:rsid w:val="005A3FC1"/>
    <w:rsid w:val="005A4257"/>
    <w:rsid w:val="005A45BC"/>
    <w:rsid w:val="005A4B83"/>
    <w:rsid w:val="005A50CE"/>
    <w:rsid w:val="005A514D"/>
    <w:rsid w:val="005A5F6E"/>
    <w:rsid w:val="005A642B"/>
    <w:rsid w:val="005A7215"/>
    <w:rsid w:val="005B003B"/>
    <w:rsid w:val="005B0A6D"/>
    <w:rsid w:val="005B0AB6"/>
    <w:rsid w:val="005B1600"/>
    <w:rsid w:val="005B1A62"/>
    <w:rsid w:val="005B22C1"/>
    <w:rsid w:val="005B281F"/>
    <w:rsid w:val="005B2D23"/>
    <w:rsid w:val="005B3A98"/>
    <w:rsid w:val="005B5C07"/>
    <w:rsid w:val="005B6799"/>
    <w:rsid w:val="005B6A25"/>
    <w:rsid w:val="005B7F4D"/>
    <w:rsid w:val="005C0330"/>
    <w:rsid w:val="005C0756"/>
    <w:rsid w:val="005C0EE3"/>
    <w:rsid w:val="005C0F0C"/>
    <w:rsid w:val="005C1391"/>
    <w:rsid w:val="005C13C7"/>
    <w:rsid w:val="005C23BD"/>
    <w:rsid w:val="005C2461"/>
    <w:rsid w:val="005C2650"/>
    <w:rsid w:val="005C33CC"/>
    <w:rsid w:val="005C36FE"/>
    <w:rsid w:val="005C4329"/>
    <w:rsid w:val="005C44A1"/>
    <w:rsid w:val="005C5B16"/>
    <w:rsid w:val="005C5F84"/>
    <w:rsid w:val="005C5FD8"/>
    <w:rsid w:val="005C7205"/>
    <w:rsid w:val="005C7A20"/>
    <w:rsid w:val="005C7DC5"/>
    <w:rsid w:val="005D0171"/>
    <w:rsid w:val="005D1864"/>
    <w:rsid w:val="005D187A"/>
    <w:rsid w:val="005D19A6"/>
    <w:rsid w:val="005D1D61"/>
    <w:rsid w:val="005D2161"/>
    <w:rsid w:val="005D2736"/>
    <w:rsid w:val="005D3161"/>
    <w:rsid w:val="005D317F"/>
    <w:rsid w:val="005D3AD7"/>
    <w:rsid w:val="005D6180"/>
    <w:rsid w:val="005D67F5"/>
    <w:rsid w:val="005D6A75"/>
    <w:rsid w:val="005D6C2D"/>
    <w:rsid w:val="005D768C"/>
    <w:rsid w:val="005D7D88"/>
    <w:rsid w:val="005E0D3B"/>
    <w:rsid w:val="005E1291"/>
    <w:rsid w:val="005E196D"/>
    <w:rsid w:val="005E1EEE"/>
    <w:rsid w:val="005E2801"/>
    <w:rsid w:val="005E3020"/>
    <w:rsid w:val="005E34E9"/>
    <w:rsid w:val="005E3A1E"/>
    <w:rsid w:val="005E509E"/>
    <w:rsid w:val="005E715A"/>
    <w:rsid w:val="005E71E9"/>
    <w:rsid w:val="005E79AB"/>
    <w:rsid w:val="005E7ACB"/>
    <w:rsid w:val="005E7C80"/>
    <w:rsid w:val="005F0D10"/>
    <w:rsid w:val="005F0D54"/>
    <w:rsid w:val="005F1B59"/>
    <w:rsid w:val="005F1C37"/>
    <w:rsid w:val="005F29F1"/>
    <w:rsid w:val="005F3C37"/>
    <w:rsid w:val="005F3D80"/>
    <w:rsid w:val="005F4156"/>
    <w:rsid w:val="005F4822"/>
    <w:rsid w:val="005F49D9"/>
    <w:rsid w:val="005F65A0"/>
    <w:rsid w:val="005F68B5"/>
    <w:rsid w:val="005F6D85"/>
    <w:rsid w:val="005F6DA7"/>
    <w:rsid w:val="005F6EF0"/>
    <w:rsid w:val="005F7244"/>
    <w:rsid w:val="005F7DA2"/>
    <w:rsid w:val="00600061"/>
    <w:rsid w:val="00600A9A"/>
    <w:rsid w:val="00600F31"/>
    <w:rsid w:val="00601FE6"/>
    <w:rsid w:val="0060205C"/>
    <w:rsid w:val="006022C3"/>
    <w:rsid w:val="0060263B"/>
    <w:rsid w:val="00603872"/>
    <w:rsid w:val="0060416C"/>
    <w:rsid w:val="006043E4"/>
    <w:rsid w:val="0060454F"/>
    <w:rsid w:val="006048B1"/>
    <w:rsid w:val="00605A0F"/>
    <w:rsid w:val="0060617E"/>
    <w:rsid w:val="00606341"/>
    <w:rsid w:val="00606535"/>
    <w:rsid w:val="00606D56"/>
    <w:rsid w:val="0060768A"/>
    <w:rsid w:val="00607783"/>
    <w:rsid w:val="006100DA"/>
    <w:rsid w:val="00610E41"/>
    <w:rsid w:val="0061142D"/>
    <w:rsid w:val="006117A1"/>
    <w:rsid w:val="00611931"/>
    <w:rsid w:val="00611CD2"/>
    <w:rsid w:val="00611FCB"/>
    <w:rsid w:val="0061218F"/>
    <w:rsid w:val="0061267E"/>
    <w:rsid w:val="00612994"/>
    <w:rsid w:val="0061303F"/>
    <w:rsid w:val="0061315A"/>
    <w:rsid w:val="00613989"/>
    <w:rsid w:val="006147B4"/>
    <w:rsid w:val="00614B31"/>
    <w:rsid w:val="00614F88"/>
    <w:rsid w:val="006153B9"/>
    <w:rsid w:val="0061546D"/>
    <w:rsid w:val="006163C1"/>
    <w:rsid w:val="00616440"/>
    <w:rsid w:val="00616A3F"/>
    <w:rsid w:val="00616BB8"/>
    <w:rsid w:val="006179F5"/>
    <w:rsid w:val="0062005F"/>
    <w:rsid w:val="006202E2"/>
    <w:rsid w:val="00620897"/>
    <w:rsid w:val="006215BC"/>
    <w:rsid w:val="00621A9B"/>
    <w:rsid w:val="00624667"/>
    <w:rsid w:val="0062466B"/>
    <w:rsid w:val="00624693"/>
    <w:rsid w:val="00624AF9"/>
    <w:rsid w:val="00625CDC"/>
    <w:rsid w:val="00625E9A"/>
    <w:rsid w:val="006262A9"/>
    <w:rsid w:val="006264AB"/>
    <w:rsid w:val="00630326"/>
    <w:rsid w:val="00630784"/>
    <w:rsid w:val="006311A8"/>
    <w:rsid w:val="006313B5"/>
    <w:rsid w:val="00632FA4"/>
    <w:rsid w:val="00633477"/>
    <w:rsid w:val="00633BB4"/>
    <w:rsid w:val="00633D66"/>
    <w:rsid w:val="006340C6"/>
    <w:rsid w:val="006345BD"/>
    <w:rsid w:val="006346BD"/>
    <w:rsid w:val="00634A16"/>
    <w:rsid w:val="00634AAB"/>
    <w:rsid w:val="00634D29"/>
    <w:rsid w:val="006359CE"/>
    <w:rsid w:val="006370D6"/>
    <w:rsid w:val="00637EA9"/>
    <w:rsid w:val="00640095"/>
    <w:rsid w:val="00640CF7"/>
    <w:rsid w:val="00640FC8"/>
    <w:rsid w:val="006411B5"/>
    <w:rsid w:val="00642102"/>
    <w:rsid w:val="006421DB"/>
    <w:rsid w:val="00642764"/>
    <w:rsid w:val="00642A4D"/>
    <w:rsid w:val="00642B8E"/>
    <w:rsid w:val="00642E4A"/>
    <w:rsid w:val="006432F7"/>
    <w:rsid w:val="00643CA9"/>
    <w:rsid w:val="00644013"/>
    <w:rsid w:val="006441D1"/>
    <w:rsid w:val="00644D46"/>
    <w:rsid w:val="006457F4"/>
    <w:rsid w:val="00645B07"/>
    <w:rsid w:val="00645D41"/>
    <w:rsid w:val="006462F6"/>
    <w:rsid w:val="00647EE0"/>
    <w:rsid w:val="0065004C"/>
    <w:rsid w:val="00650C2A"/>
    <w:rsid w:val="006514AF"/>
    <w:rsid w:val="00652A4F"/>
    <w:rsid w:val="00652B91"/>
    <w:rsid w:val="00653C5A"/>
    <w:rsid w:val="00653DFE"/>
    <w:rsid w:val="006547DE"/>
    <w:rsid w:val="00654E91"/>
    <w:rsid w:val="00655209"/>
    <w:rsid w:val="0065539F"/>
    <w:rsid w:val="00655991"/>
    <w:rsid w:val="006559D4"/>
    <w:rsid w:val="006563C0"/>
    <w:rsid w:val="00656FEC"/>
    <w:rsid w:val="00657D28"/>
    <w:rsid w:val="00660888"/>
    <w:rsid w:val="0066088E"/>
    <w:rsid w:val="00660949"/>
    <w:rsid w:val="00662DF0"/>
    <w:rsid w:val="00663C64"/>
    <w:rsid w:val="00665DB0"/>
    <w:rsid w:val="00665DD4"/>
    <w:rsid w:val="006661AE"/>
    <w:rsid w:val="006666E7"/>
    <w:rsid w:val="00666EC8"/>
    <w:rsid w:val="006679A2"/>
    <w:rsid w:val="00670999"/>
    <w:rsid w:val="00670C79"/>
    <w:rsid w:val="00671478"/>
    <w:rsid w:val="00671FDE"/>
    <w:rsid w:val="00672635"/>
    <w:rsid w:val="00673104"/>
    <w:rsid w:val="006747A7"/>
    <w:rsid w:val="00674A30"/>
    <w:rsid w:val="006753BF"/>
    <w:rsid w:val="006761C1"/>
    <w:rsid w:val="00676B73"/>
    <w:rsid w:val="00676E4C"/>
    <w:rsid w:val="006770C7"/>
    <w:rsid w:val="006777B4"/>
    <w:rsid w:val="006810A3"/>
    <w:rsid w:val="0068174F"/>
    <w:rsid w:val="006819D4"/>
    <w:rsid w:val="00681F7F"/>
    <w:rsid w:val="006822FA"/>
    <w:rsid w:val="006824FA"/>
    <w:rsid w:val="0068286B"/>
    <w:rsid w:val="00683F48"/>
    <w:rsid w:val="00684EFC"/>
    <w:rsid w:val="00684F7B"/>
    <w:rsid w:val="00685560"/>
    <w:rsid w:val="00686484"/>
    <w:rsid w:val="0068650A"/>
    <w:rsid w:val="00686A8C"/>
    <w:rsid w:val="00686F4B"/>
    <w:rsid w:val="00686FBB"/>
    <w:rsid w:val="00687637"/>
    <w:rsid w:val="00687AF1"/>
    <w:rsid w:val="00690471"/>
    <w:rsid w:val="00690AAD"/>
    <w:rsid w:val="00690E1D"/>
    <w:rsid w:val="006914F9"/>
    <w:rsid w:val="0069316A"/>
    <w:rsid w:val="00693573"/>
    <w:rsid w:val="00693598"/>
    <w:rsid w:val="00694711"/>
    <w:rsid w:val="00694891"/>
    <w:rsid w:val="00694BD3"/>
    <w:rsid w:val="00694C36"/>
    <w:rsid w:val="00695864"/>
    <w:rsid w:val="00695C4A"/>
    <w:rsid w:val="00697034"/>
    <w:rsid w:val="00697881"/>
    <w:rsid w:val="006A1461"/>
    <w:rsid w:val="006A1D04"/>
    <w:rsid w:val="006A30F6"/>
    <w:rsid w:val="006A3385"/>
    <w:rsid w:val="006A34AD"/>
    <w:rsid w:val="006A55FA"/>
    <w:rsid w:val="006A6108"/>
    <w:rsid w:val="006A660B"/>
    <w:rsid w:val="006B1572"/>
    <w:rsid w:val="006B1F82"/>
    <w:rsid w:val="006B24B7"/>
    <w:rsid w:val="006B255D"/>
    <w:rsid w:val="006B257A"/>
    <w:rsid w:val="006B2F1F"/>
    <w:rsid w:val="006B3185"/>
    <w:rsid w:val="006B31D9"/>
    <w:rsid w:val="006B3C1B"/>
    <w:rsid w:val="006B499F"/>
    <w:rsid w:val="006B7932"/>
    <w:rsid w:val="006B7A25"/>
    <w:rsid w:val="006B7DA9"/>
    <w:rsid w:val="006C1974"/>
    <w:rsid w:val="006C1F3E"/>
    <w:rsid w:val="006C221F"/>
    <w:rsid w:val="006C271C"/>
    <w:rsid w:val="006C29DA"/>
    <w:rsid w:val="006C40B6"/>
    <w:rsid w:val="006C469E"/>
    <w:rsid w:val="006C479C"/>
    <w:rsid w:val="006C4CE8"/>
    <w:rsid w:val="006C62CC"/>
    <w:rsid w:val="006C65D7"/>
    <w:rsid w:val="006C6ABE"/>
    <w:rsid w:val="006C6E28"/>
    <w:rsid w:val="006C7064"/>
    <w:rsid w:val="006C7889"/>
    <w:rsid w:val="006C7AB2"/>
    <w:rsid w:val="006D04DE"/>
    <w:rsid w:val="006D2B0C"/>
    <w:rsid w:val="006D2F34"/>
    <w:rsid w:val="006D46B9"/>
    <w:rsid w:val="006D52FD"/>
    <w:rsid w:val="006D577E"/>
    <w:rsid w:val="006D5BD7"/>
    <w:rsid w:val="006D6218"/>
    <w:rsid w:val="006D7C15"/>
    <w:rsid w:val="006E1CE6"/>
    <w:rsid w:val="006E1D60"/>
    <w:rsid w:val="006E278B"/>
    <w:rsid w:val="006E2A52"/>
    <w:rsid w:val="006E32FC"/>
    <w:rsid w:val="006E3773"/>
    <w:rsid w:val="006E37F1"/>
    <w:rsid w:val="006E3ACA"/>
    <w:rsid w:val="006E492E"/>
    <w:rsid w:val="006E4E6A"/>
    <w:rsid w:val="006E52DC"/>
    <w:rsid w:val="006E5A85"/>
    <w:rsid w:val="006E6B9F"/>
    <w:rsid w:val="006E72AB"/>
    <w:rsid w:val="006E7C69"/>
    <w:rsid w:val="006F01F4"/>
    <w:rsid w:val="006F09EB"/>
    <w:rsid w:val="006F0BB5"/>
    <w:rsid w:val="006F0EBE"/>
    <w:rsid w:val="006F0EDE"/>
    <w:rsid w:val="006F0F47"/>
    <w:rsid w:val="006F1CBE"/>
    <w:rsid w:val="006F2043"/>
    <w:rsid w:val="006F2968"/>
    <w:rsid w:val="006F3115"/>
    <w:rsid w:val="006F3DA9"/>
    <w:rsid w:val="006F3ECF"/>
    <w:rsid w:val="006F4119"/>
    <w:rsid w:val="006F4595"/>
    <w:rsid w:val="006F4D94"/>
    <w:rsid w:val="006F50CE"/>
    <w:rsid w:val="006F58A5"/>
    <w:rsid w:val="006F5FC9"/>
    <w:rsid w:val="006F6276"/>
    <w:rsid w:val="006F6566"/>
    <w:rsid w:val="006F66AA"/>
    <w:rsid w:val="006F6C8C"/>
    <w:rsid w:val="006F6DC4"/>
    <w:rsid w:val="006F7008"/>
    <w:rsid w:val="006F7FF1"/>
    <w:rsid w:val="0070032E"/>
    <w:rsid w:val="00700C32"/>
    <w:rsid w:val="007011BB"/>
    <w:rsid w:val="00701907"/>
    <w:rsid w:val="00701B81"/>
    <w:rsid w:val="00702A62"/>
    <w:rsid w:val="00702DB2"/>
    <w:rsid w:val="00702F32"/>
    <w:rsid w:val="00702FD0"/>
    <w:rsid w:val="00703273"/>
    <w:rsid w:val="007045E3"/>
    <w:rsid w:val="00704721"/>
    <w:rsid w:val="00704BCB"/>
    <w:rsid w:val="00706AD8"/>
    <w:rsid w:val="0070724B"/>
    <w:rsid w:val="00707B47"/>
    <w:rsid w:val="00707B51"/>
    <w:rsid w:val="00710174"/>
    <w:rsid w:val="0071087C"/>
    <w:rsid w:val="00710E4E"/>
    <w:rsid w:val="00710F8B"/>
    <w:rsid w:val="007113B2"/>
    <w:rsid w:val="007127FF"/>
    <w:rsid w:val="0071281F"/>
    <w:rsid w:val="00712E94"/>
    <w:rsid w:val="00712F81"/>
    <w:rsid w:val="0071345D"/>
    <w:rsid w:val="00713ADA"/>
    <w:rsid w:val="00713CC5"/>
    <w:rsid w:val="00714799"/>
    <w:rsid w:val="00714909"/>
    <w:rsid w:val="00714F3D"/>
    <w:rsid w:val="0071508B"/>
    <w:rsid w:val="00715176"/>
    <w:rsid w:val="00715450"/>
    <w:rsid w:val="00716AA7"/>
    <w:rsid w:val="007176D3"/>
    <w:rsid w:val="0071780D"/>
    <w:rsid w:val="00717B50"/>
    <w:rsid w:val="00721ABE"/>
    <w:rsid w:val="00721DB5"/>
    <w:rsid w:val="00722D2F"/>
    <w:rsid w:val="007238F1"/>
    <w:rsid w:val="00723FAF"/>
    <w:rsid w:val="007245C2"/>
    <w:rsid w:val="00724D9D"/>
    <w:rsid w:val="00724FED"/>
    <w:rsid w:val="0072725A"/>
    <w:rsid w:val="0072749A"/>
    <w:rsid w:val="007279D8"/>
    <w:rsid w:val="00730964"/>
    <w:rsid w:val="00731A50"/>
    <w:rsid w:val="00731FFC"/>
    <w:rsid w:val="007320F5"/>
    <w:rsid w:val="00732375"/>
    <w:rsid w:val="0073305C"/>
    <w:rsid w:val="007331AD"/>
    <w:rsid w:val="0073328B"/>
    <w:rsid w:val="0073398C"/>
    <w:rsid w:val="007340B5"/>
    <w:rsid w:val="007345C1"/>
    <w:rsid w:val="0073490F"/>
    <w:rsid w:val="007350C7"/>
    <w:rsid w:val="0073532C"/>
    <w:rsid w:val="00735B68"/>
    <w:rsid w:val="00736186"/>
    <w:rsid w:val="0073641D"/>
    <w:rsid w:val="007374AC"/>
    <w:rsid w:val="00737631"/>
    <w:rsid w:val="00737A47"/>
    <w:rsid w:val="0074030E"/>
    <w:rsid w:val="007405E2"/>
    <w:rsid w:val="00740C79"/>
    <w:rsid w:val="007410AE"/>
    <w:rsid w:val="007418CB"/>
    <w:rsid w:val="00741BE9"/>
    <w:rsid w:val="00741E98"/>
    <w:rsid w:val="0074237E"/>
    <w:rsid w:val="00742874"/>
    <w:rsid w:val="00742C53"/>
    <w:rsid w:val="00743550"/>
    <w:rsid w:val="00743855"/>
    <w:rsid w:val="00743E8A"/>
    <w:rsid w:val="00743FE1"/>
    <w:rsid w:val="00744028"/>
    <w:rsid w:val="00744BB1"/>
    <w:rsid w:val="00744D47"/>
    <w:rsid w:val="00745A15"/>
    <w:rsid w:val="00745C27"/>
    <w:rsid w:val="00747033"/>
    <w:rsid w:val="007474B6"/>
    <w:rsid w:val="00747A57"/>
    <w:rsid w:val="00747DE2"/>
    <w:rsid w:val="00750DDE"/>
    <w:rsid w:val="00751638"/>
    <w:rsid w:val="00751E90"/>
    <w:rsid w:val="00751F07"/>
    <w:rsid w:val="007530FD"/>
    <w:rsid w:val="00753417"/>
    <w:rsid w:val="0075392F"/>
    <w:rsid w:val="00754672"/>
    <w:rsid w:val="00754848"/>
    <w:rsid w:val="00754F8A"/>
    <w:rsid w:val="0075547D"/>
    <w:rsid w:val="00755776"/>
    <w:rsid w:val="00756DF5"/>
    <w:rsid w:val="00757F06"/>
    <w:rsid w:val="00757F73"/>
    <w:rsid w:val="0076063F"/>
    <w:rsid w:val="007608F9"/>
    <w:rsid w:val="0076176B"/>
    <w:rsid w:val="00761F62"/>
    <w:rsid w:val="00761FA4"/>
    <w:rsid w:val="00762928"/>
    <w:rsid w:val="00762B1A"/>
    <w:rsid w:val="00762E63"/>
    <w:rsid w:val="0076366F"/>
    <w:rsid w:val="0076485B"/>
    <w:rsid w:val="0076553D"/>
    <w:rsid w:val="00766435"/>
    <w:rsid w:val="007668B0"/>
    <w:rsid w:val="00766C5B"/>
    <w:rsid w:val="00766ED8"/>
    <w:rsid w:val="00767BBB"/>
    <w:rsid w:val="00770059"/>
    <w:rsid w:val="007700D9"/>
    <w:rsid w:val="0077067C"/>
    <w:rsid w:val="00771B8E"/>
    <w:rsid w:val="007720D1"/>
    <w:rsid w:val="00772C69"/>
    <w:rsid w:val="0077318F"/>
    <w:rsid w:val="007745B5"/>
    <w:rsid w:val="0077559F"/>
    <w:rsid w:val="00775FD5"/>
    <w:rsid w:val="007761DF"/>
    <w:rsid w:val="00776289"/>
    <w:rsid w:val="007773B0"/>
    <w:rsid w:val="00777570"/>
    <w:rsid w:val="00777EE0"/>
    <w:rsid w:val="00780839"/>
    <w:rsid w:val="0078235D"/>
    <w:rsid w:val="00782492"/>
    <w:rsid w:val="0078256E"/>
    <w:rsid w:val="00782B95"/>
    <w:rsid w:val="00782FF7"/>
    <w:rsid w:val="007856F1"/>
    <w:rsid w:val="00785ADC"/>
    <w:rsid w:val="007878D1"/>
    <w:rsid w:val="007904BF"/>
    <w:rsid w:val="00791336"/>
    <w:rsid w:val="00792634"/>
    <w:rsid w:val="0079326F"/>
    <w:rsid w:val="007935F6"/>
    <w:rsid w:val="0079412D"/>
    <w:rsid w:val="007943D5"/>
    <w:rsid w:val="00794709"/>
    <w:rsid w:val="00794EC6"/>
    <w:rsid w:val="00795456"/>
    <w:rsid w:val="00796652"/>
    <w:rsid w:val="0079678E"/>
    <w:rsid w:val="00796BCA"/>
    <w:rsid w:val="00796DBE"/>
    <w:rsid w:val="00797783"/>
    <w:rsid w:val="007A05FA"/>
    <w:rsid w:val="007A11DE"/>
    <w:rsid w:val="007A1861"/>
    <w:rsid w:val="007A588A"/>
    <w:rsid w:val="007A5E5B"/>
    <w:rsid w:val="007A6123"/>
    <w:rsid w:val="007A6E02"/>
    <w:rsid w:val="007A6E8B"/>
    <w:rsid w:val="007A7022"/>
    <w:rsid w:val="007A78D0"/>
    <w:rsid w:val="007A7941"/>
    <w:rsid w:val="007A7D82"/>
    <w:rsid w:val="007B0E7F"/>
    <w:rsid w:val="007B1D7F"/>
    <w:rsid w:val="007B1ED8"/>
    <w:rsid w:val="007B2491"/>
    <w:rsid w:val="007B27ED"/>
    <w:rsid w:val="007B29E8"/>
    <w:rsid w:val="007B2E94"/>
    <w:rsid w:val="007B31DC"/>
    <w:rsid w:val="007B371F"/>
    <w:rsid w:val="007B4806"/>
    <w:rsid w:val="007B4AC3"/>
    <w:rsid w:val="007B4BA5"/>
    <w:rsid w:val="007B4EC0"/>
    <w:rsid w:val="007B6102"/>
    <w:rsid w:val="007B63E9"/>
    <w:rsid w:val="007B7650"/>
    <w:rsid w:val="007C0148"/>
    <w:rsid w:val="007C08C2"/>
    <w:rsid w:val="007C1918"/>
    <w:rsid w:val="007C1A3F"/>
    <w:rsid w:val="007C1C8A"/>
    <w:rsid w:val="007C245A"/>
    <w:rsid w:val="007C39CF"/>
    <w:rsid w:val="007C4A15"/>
    <w:rsid w:val="007C4ED7"/>
    <w:rsid w:val="007C52DF"/>
    <w:rsid w:val="007C5884"/>
    <w:rsid w:val="007C75B3"/>
    <w:rsid w:val="007D028A"/>
    <w:rsid w:val="007D1821"/>
    <w:rsid w:val="007D1873"/>
    <w:rsid w:val="007D5265"/>
    <w:rsid w:val="007D5D95"/>
    <w:rsid w:val="007D5EBB"/>
    <w:rsid w:val="007D66A9"/>
    <w:rsid w:val="007D6F20"/>
    <w:rsid w:val="007D759A"/>
    <w:rsid w:val="007D762E"/>
    <w:rsid w:val="007E0919"/>
    <w:rsid w:val="007E2CED"/>
    <w:rsid w:val="007E2EFB"/>
    <w:rsid w:val="007E3A95"/>
    <w:rsid w:val="007E44B7"/>
    <w:rsid w:val="007E4931"/>
    <w:rsid w:val="007E4B6C"/>
    <w:rsid w:val="007E4FE2"/>
    <w:rsid w:val="007E5A29"/>
    <w:rsid w:val="007E62BD"/>
    <w:rsid w:val="007E777E"/>
    <w:rsid w:val="007E7E70"/>
    <w:rsid w:val="007F04EF"/>
    <w:rsid w:val="007F1768"/>
    <w:rsid w:val="007F2943"/>
    <w:rsid w:val="007F2C15"/>
    <w:rsid w:val="007F2E86"/>
    <w:rsid w:val="007F3A09"/>
    <w:rsid w:val="007F3E5F"/>
    <w:rsid w:val="007F4D09"/>
    <w:rsid w:val="007F5558"/>
    <w:rsid w:val="007F7CF6"/>
    <w:rsid w:val="008005B9"/>
    <w:rsid w:val="0080142E"/>
    <w:rsid w:val="00801CFE"/>
    <w:rsid w:val="00802551"/>
    <w:rsid w:val="00802600"/>
    <w:rsid w:val="00803BBD"/>
    <w:rsid w:val="0080467D"/>
    <w:rsid w:val="00805AFB"/>
    <w:rsid w:val="00805F8F"/>
    <w:rsid w:val="008065F8"/>
    <w:rsid w:val="00806C1D"/>
    <w:rsid w:val="00810AA8"/>
    <w:rsid w:val="00810D9A"/>
    <w:rsid w:val="0081405F"/>
    <w:rsid w:val="00814A58"/>
    <w:rsid w:val="00814B0F"/>
    <w:rsid w:val="0081521D"/>
    <w:rsid w:val="008159F1"/>
    <w:rsid w:val="00816485"/>
    <w:rsid w:val="00816526"/>
    <w:rsid w:val="008168D9"/>
    <w:rsid w:val="00816E83"/>
    <w:rsid w:val="008178DD"/>
    <w:rsid w:val="00817B96"/>
    <w:rsid w:val="00817CA7"/>
    <w:rsid w:val="008201AC"/>
    <w:rsid w:val="00821863"/>
    <w:rsid w:val="00822024"/>
    <w:rsid w:val="00822308"/>
    <w:rsid w:val="00822C4C"/>
    <w:rsid w:val="0082394C"/>
    <w:rsid w:val="00823953"/>
    <w:rsid w:val="00823BAB"/>
    <w:rsid w:val="00824715"/>
    <w:rsid w:val="0082480C"/>
    <w:rsid w:val="00824ECD"/>
    <w:rsid w:val="008256BD"/>
    <w:rsid w:val="00825A6F"/>
    <w:rsid w:val="00825D19"/>
    <w:rsid w:val="00825EF4"/>
    <w:rsid w:val="00826466"/>
    <w:rsid w:val="008277B2"/>
    <w:rsid w:val="0083051E"/>
    <w:rsid w:val="00832A00"/>
    <w:rsid w:val="00832C08"/>
    <w:rsid w:val="0083358C"/>
    <w:rsid w:val="008347FC"/>
    <w:rsid w:val="00834BE7"/>
    <w:rsid w:val="008351AD"/>
    <w:rsid w:val="00835781"/>
    <w:rsid w:val="00835819"/>
    <w:rsid w:val="00836309"/>
    <w:rsid w:val="008363E4"/>
    <w:rsid w:val="00836432"/>
    <w:rsid w:val="00836909"/>
    <w:rsid w:val="00837C4D"/>
    <w:rsid w:val="008408D4"/>
    <w:rsid w:val="00840BB1"/>
    <w:rsid w:val="00842B50"/>
    <w:rsid w:val="00843137"/>
    <w:rsid w:val="00843265"/>
    <w:rsid w:val="00844A49"/>
    <w:rsid w:val="00845C24"/>
    <w:rsid w:val="00845D87"/>
    <w:rsid w:val="00846918"/>
    <w:rsid w:val="00847E90"/>
    <w:rsid w:val="00847ECC"/>
    <w:rsid w:val="00851212"/>
    <w:rsid w:val="0085122F"/>
    <w:rsid w:val="008513B8"/>
    <w:rsid w:val="008519B8"/>
    <w:rsid w:val="00851F57"/>
    <w:rsid w:val="008527BA"/>
    <w:rsid w:val="00852D6A"/>
    <w:rsid w:val="00853232"/>
    <w:rsid w:val="008540EB"/>
    <w:rsid w:val="00854804"/>
    <w:rsid w:val="00854F1B"/>
    <w:rsid w:val="00855652"/>
    <w:rsid w:val="00855867"/>
    <w:rsid w:val="008574FA"/>
    <w:rsid w:val="00857B31"/>
    <w:rsid w:val="00857BF5"/>
    <w:rsid w:val="00857C2B"/>
    <w:rsid w:val="008602A4"/>
    <w:rsid w:val="0086054E"/>
    <w:rsid w:val="00860701"/>
    <w:rsid w:val="00861906"/>
    <w:rsid w:val="00861EC2"/>
    <w:rsid w:val="00863568"/>
    <w:rsid w:val="008636AB"/>
    <w:rsid w:val="00863A12"/>
    <w:rsid w:val="00865D1D"/>
    <w:rsid w:val="00866B7D"/>
    <w:rsid w:val="008672B2"/>
    <w:rsid w:val="008678F2"/>
    <w:rsid w:val="00867CB4"/>
    <w:rsid w:val="0087032B"/>
    <w:rsid w:val="00870792"/>
    <w:rsid w:val="00870931"/>
    <w:rsid w:val="00870D28"/>
    <w:rsid w:val="00871C9A"/>
    <w:rsid w:val="0087356D"/>
    <w:rsid w:val="008737A9"/>
    <w:rsid w:val="00873C7C"/>
    <w:rsid w:val="008748D4"/>
    <w:rsid w:val="00874BCF"/>
    <w:rsid w:val="00874CA3"/>
    <w:rsid w:val="00875480"/>
    <w:rsid w:val="00875B9E"/>
    <w:rsid w:val="008764CC"/>
    <w:rsid w:val="008770D5"/>
    <w:rsid w:val="00880D62"/>
    <w:rsid w:val="0088138E"/>
    <w:rsid w:val="0088165F"/>
    <w:rsid w:val="00881699"/>
    <w:rsid w:val="00882622"/>
    <w:rsid w:val="00882749"/>
    <w:rsid w:val="00882E43"/>
    <w:rsid w:val="00882E49"/>
    <w:rsid w:val="0088464F"/>
    <w:rsid w:val="00886832"/>
    <w:rsid w:val="008868E6"/>
    <w:rsid w:val="00887A08"/>
    <w:rsid w:val="00887F27"/>
    <w:rsid w:val="00890952"/>
    <w:rsid w:val="00891B78"/>
    <w:rsid w:val="00891D5C"/>
    <w:rsid w:val="00892468"/>
    <w:rsid w:val="00892719"/>
    <w:rsid w:val="00893405"/>
    <w:rsid w:val="00893AA4"/>
    <w:rsid w:val="00894555"/>
    <w:rsid w:val="0089469B"/>
    <w:rsid w:val="00894BA5"/>
    <w:rsid w:val="00895129"/>
    <w:rsid w:val="00895576"/>
    <w:rsid w:val="0089585A"/>
    <w:rsid w:val="00895DB4"/>
    <w:rsid w:val="0089614C"/>
    <w:rsid w:val="0089676C"/>
    <w:rsid w:val="0089797A"/>
    <w:rsid w:val="00897B1A"/>
    <w:rsid w:val="00897C82"/>
    <w:rsid w:val="008A0632"/>
    <w:rsid w:val="008A0EA4"/>
    <w:rsid w:val="008A121C"/>
    <w:rsid w:val="008A2511"/>
    <w:rsid w:val="008A2589"/>
    <w:rsid w:val="008A260B"/>
    <w:rsid w:val="008A2967"/>
    <w:rsid w:val="008A2BBC"/>
    <w:rsid w:val="008A2DFB"/>
    <w:rsid w:val="008A37B1"/>
    <w:rsid w:val="008A4018"/>
    <w:rsid w:val="008A434F"/>
    <w:rsid w:val="008A44E0"/>
    <w:rsid w:val="008A5076"/>
    <w:rsid w:val="008A570B"/>
    <w:rsid w:val="008A57D5"/>
    <w:rsid w:val="008A5D70"/>
    <w:rsid w:val="008A5EC4"/>
    <w:rsid w:val="008A698A"/>
    <w:rsid w:val="008A6D55"/>
    <w:rsid w:val="008B0115"/>
    <w:rsid w:val="008B0BF4"/>
    <w:rsid w:val="008B14E8"/>
    <w:rsid w:val="008B2D55"/>
    <w:rsid w:val="008B3FF0"/>
    <w:rsid w:val="008B4166"/>
    <w:rsid w:val="008B4AB4"/>
    <w:rsid w:val="008B52A2"/>
    <w:rsid w:val="008B559B"/>
    <w:rsid w:val="008B5CDD"/>
    <w:rsid w:val="008B689D"/>
    <w:rsid w:val="008B73DA"/>
    <w:rsid w:val="008B7583"/>
    <w:rsid w:val="008B785E"/>
    <w:rsid w:val="008B7C04"/>
    <w:rsid w:val="008C067D"/>
    <w:rsid w:val="008C0BBA"/>
    <w:rsid w:val="008C117F"/>
    <w:rsid w:val="008C16A3"/>
    <w:rsid w:val="008C17D2"/>
    <w:rsid w:val="008C25E9"/>
    <w:rsid w:val="008C3E3F"/>
    <w:rsid w:val="008C45A6"/>
    <w:rsid w:val="008C4D74"/>
    <w:rsid w:val="008C4EE5"/>
    <w:rsid w:val="008C59A9"/>
    <w:rsid w:val="008C5B7D"/>
    <w:rsid w:val="008C691C"/>
    <w:rsid w:val="008C6F61"/>
    <w:rsid w:val="008C764C"/>
    <w:rsid w:val="008C76E9"/>
    <w:rsid w:val="008C7701"/>
    <w:rsid w:val="008C7FC0"/>
    <w:rsid w:val="008D0906"/>
    <w:rsid w:val="008D1210"/>
    <w:rsid w:val="008D1649"/>
    <w:rsid w:val="008D1E2A"/>
    <w:rsid w:val="008D25A3"/>
    <w:rsid w:val="008D30E3"/>
    <w:rsid w:val="008D48A5"/>
    <w:rsid w:val="008D4D5C"/>
    <w:rsid w:val="008D4F5A"/>
    <w:rsid w:val="008D4F64"/>
    <w:rsid w:val="008D5081"/>
    <w:rsid w:val="008D5168"/>
    <w:rsid w:val="008D5878"/>
    <w:rsid w:val="008D5F7F"/>
    <w:rsid w:val="008E065A"/>
    <w:rsid w:val="008E0CEC"/>
    <w:rsid w:val="008E3153"/>
    <w:rsid w:val="008E3192"/>
    <w:rsid w:val="008E32D7"/>
    <w:rsid w:val="008E33DF"/>
    <w:rsid w:val="008E3A5D"/>
    <w:rsid w:val="008E4AFE"/>
    <w:rsid w:val="008E4FB4"/>
    <w:rsid w:val="008E52F3"/>
    <w:rsid w:val="008E537A"/>
    <w:rsid w:val="008E6267"/>
    <w:rsid w:val="008E763E"/>
    <w:rsid w:val="008F3175"/>
    <w:rsid w:val="008F4265"/>
    <w:rsid w:val="008F482B"/>
    <w:rsid w:val="008F4B85"/>
    <w:rsid w:val="008F4D2A"/>
    <w:rsid w:val="008F52AE"/>
    <w:rsid w:val="008F6331"/>
    <w:rsid w:val="008F6991"/>
    <w:rsid w:val="008F74C1"/>
    <w:rsid w:val="008F7FA7"/>
    <w:rsid w:val="00900231"/>
    <w:rsid w:val="00900C40"/>
    <w:rsid w:val="00902289"/>
    <w:rsid w:val="009031C8"/>
    <w:rsid w:val="009033BB"/>
    <w:rsid w:val="00904284"/>
    <w:rsid w:val="00904929"/>
    <w:rsid w:val="00905D46"/>
    <w:rsid w:val="00905F14"/>
    <w:rsid w:val="00906205"/>
    <w:rsid w:val="00906910"/>
    <w:rsid w:val="009073A0"/>
    <w:rsid w:val="0090797F"/>
    <w:rsid w:val="00907AE6"/>
    <w:rsid w:val="00910877"/>
    <w:rsid w:val="00910C02"/>
    <w:rsid w:val="00912538"/>
    <w:rsid w:val="0091313F"/>
    <w:rsid w:val="00913558"/>
    <w:rsid w:val="0091463F"/>
    <w:rsid w:val="00914DB1"/>
    <w:rsid w:val="009158EC"/>
    <w:rsid w:val="009160DD"/>
    <w:rsid w:val="0091628C"/>
    <w:rsid w:val="00916768"/>
    <w:rsid w:val="00916C7E"/>
    <w:rsid w:val="00916E5D"/>
    <w:rsid w:val="00916F51"/>
    <w:rsid w:val="00920A1F"/>
    <w:rsid w:val="00920A28"/>
    <w:rsid w:val="00920CD5"/>
    <w:rsid w:val="00921BD0"/>
    <w:rsid w:val="0092215A"/>
    <w:rsid w:val="00924717"/>
    <w:rsid w:val="0092474A"/>
    <w:rsid w:val="009255B4"/>
    <w:rsid w:val="00925608"/>
    <w:rsid w:val="00925C91"/>
    <w:rsid w:val="00927293"/>
    <w:rsid w:val="009309B3"/>
    <w:rsid w:val="00930E0B"/>
    <w:rsid w:val="00930E52"/>
    <w:rsid w:val="009311ED"/>
    <w:rsid w:val="00931AD9"/>
    <w:rsid w:val="00932C81"/>
    <w:rsid w:val="009332B0"/>
    <w:rsid w:val="009336E8"/>
    <w:rsid w:val="0093371E"/>
    <w:rsid w:val="009340D6"/>
    <w:rsid w:val="00934265"/>
    <w:rsid w:val="00934724"/>
    <w:rsid w:val="00934812"/>
    <w:rsid w:val="009350CC"/>
    <w:rsid w:val="0093557C"/>
    <w:rsid w:val="0093613C"/>
    <w:rsid w:val="00936868"/>
    <w:rsid w:val="00936E5B"/>
    <w:rsid w:val="0093763F"/>
    <w:rsid w:val="009376F8"/>
    <w:rsid w:val="009402E9"/>
    <w:rsid w:val="009413B4"/>
    <w:rsid w:val="00941658"/>
    <w:rsid w:val="00941BB2"/>
    <w:rsid w:val="00941EA4"/>
    <w:rsid w:val="009427C1"/>
    <w:rsid w:val="00943618"/>
    <w:rsid w:val="009436B6"/>
    <w:rsid w:val="00944CCA"/>
    <w:rsid w:val="00944E58"/>
    <w:rsid w:val="00944FE3"/>
    <w:rsid w:val="00945141"/>
    <w:rsid w:val="00945525"/>
    <w:rsid w:val="009455F6"/>
    <w:rsid w:val="00945C0A"/>
    <w:rsid w:val="0095083A"/>
    <w:rsid w:val="00950F0E"/>
    <w:rsid w:val="0095157D"/>
    <w:rsid w:val="00953410"/>
    <w:rsid w:val="0095387A"/>
    <w:rsid w:val="00953F25"/>
    <w:rsid w:val="00955FE9"/>
    <w:rsid w:val="009560BF"/>
    <w:rsid w:val="009570AA"/>
    <w:rsid w:val="009601BE"/>
    <w:rsid w:val="009614AA"/>
    <w:rsid w:val="009617CE"/>
    <w:rsid w:val="00961A18"/>
    <w:rsid w:val="00961CC1"/>
    <w:rsid w:val="00962828"/>
    <w:rsid w:val="00962EBB"/>
    <w:rsid w:val="0096339C"/>
    <w:rsid w:val="00963B3A"/>
    <w:rsid w:val="00964555"/>
    <w:rsid w:val="009663A5"/>
    <w:rsid w:val="00966D16"/>
    <w:rsid w:val="00967C3C"/>
    <w:rsid w:val="009706EA"/>
    <w:rsid w:val="009708E3"/>
    <w:rsid w:val="00970D47"/>
    <w:rsid w:val="00970DD9"/>
    <w:rsid w:val="00972569"/>
    <w:rsid w:val="009727E4"/>
    <w:rsid w:val="00972E4C"/>
    <w:rsid w:val="0097424D"/>
    <w:rsid w:val="00976233"/>
    <w:rsid w:val="00982E70"/>
    <w:rsid w:val="00983094"/>
    <w:rsid w:val="00983189"/>
    <w:rsid w:val="00983503"/>
    <w:rsid w:val="00983597"/>
    <w:rsid w:val="009844DF"/>
    <w:rsid w:val="00984985"/>
    <w:rsid w:val="00985588"/>
    <w:rsid w:val="00985F31"/>
    <w:rsid w:val="009864BE"/>
    <w:rsid w:val="009869CD"/>
    <w:rsid w:val="009878D3"/>
    <w:rsid w:val="00991596"/>
    <w:rsid w:val="0099167F"/>
    <w:rsid w:val="00991D33"/>
    <w:rsid w:val="009924E8"/>
    <w:rsid w:val="009926A5"/>
    <w:rsid w:val="00992F1A"/>
    <w:rsid w:val="009939A9"/>
    <w:rsid w:val="0099404A"/>
    <w:rsid w:val="0099440C"/>
    <w:rsid w:val="009954DE"/>
    <w:rsid w:val="00995710"/>
    <w:rsid w:val="00995A3F"/>
    <w:rsid w:val="00996068"/>
    <w:rsid w:val="009962DC"/>
    <w:rsid w:val="009968FF"/>
    <w:rsid w:val="00996A31"/>
    <w:rsid w:val="0099763C"/>
    <w:rsid w:val="0099790D"/>
    <w:rsid w:val="009979B7"/>
    <w:rsid w:val="00997EE1"/>
    <w:rsid w:val="009A0121"/>
    <w:rsid w:val="009A0765"/>
    <w:rsid w:val="009A116C"/>
    <w:rsid w:val="009A13AA"/>
    <w:rsid w:val="009A1E1F"/>
    <w:rsid w:val="009A2CD4"/>
    <w:rsid w:val="009A4A11"/>
    <w:rsid w:val="009A5429"/>
    <w:rsid w:val="009A5ADC"/>
    <w:rsid w:val="009B02F2"/>
    <w:rsid w:val="009B1067"/>
    <w:rsid w:val="009B1300"/>
    <w:rsid w:val="009B194A"/>
    <w:rsid w:val="009B24BC"/>
    <w:rsid w:val="009B24ED"/>
    <w:rsid w:val="009B277F"/>
    <w:rsid w:val="009B298A"/>
    <w:rsid w:val="009B2E9C"/>
    <w:rsid w:val="009B4A68"/>
    <w:rsid w:val="009B59C9"/>
    <w:rsid w:val="009B60AF"/>
    <w:rsid w:val="009B7C4F"/>
    <w:rsid w:val="009C0C3A"/>
    <w:rsid w:val="009C1961"/>
    <w:rsid w:val="009C19E8"/>
    <w:rsid w:val="009C1F3C"/>
    <w:rsid w:val="009C25C6"/>
    <w:rsid w:val="009C2FAC"/>
    <w:rsid w:val="009C34EF"/>
    <w:rsid w:val="009C409F"/>
    <w:rsid w:val="009C4BE5"/>
    <w:rsid w:val="009C503E"/>
    <w:rsid w:val="009C50DC"/>
    <w:rsid w:val="009C581C"/>
    <w:rsid w:val="009C6984"/>
    <w:rsid w:val="009C6ACF"/>
    <w:rsid w:val="009C7123"/>
    <w:rsid w:val="009C731C"/>
    <w:rsid w:val="009C783B"/>
    <w:rsid w:val="009D05B8"/>
    <w:rsid w:val="009D0F4C"/>
    <w:rsid w:val="009D15B0"/>
    <w:rsid w:val="009D16DE"/>
    <w:rsid w:val="009D1981"/>
    <w:rsid w:val="009D1C3D"/>
    <w:rsid w:val="009D1D54"/>
    <w:rsid w:val="009D2422"/>
    <w:rsid w:val="009D2C14"/>
    <w:rsid w:val="009D2CF4"/>
    <w:rsid w:val="009D2D90"/>
    <w:rsid w:val="009D3307"/>
    <w:rsid w:val="009D48A0"/>
    <w:rsid w:val="009D5071"/>
    <w:rsid w:val="009D5627"/>
    <w:rsid w:val="009D5BA8"/>
    <w:rsid w:val="009D6CE4"/>
    <w:rsid w:val="009D70CB"/>
    <w:rsid w:val="009D77CA"/>
    <w:rsid w:val="009D7FA2"/>
    <w:rsid w:val="009E0595"/>
    <w:rsid w:val="009E06F2"/>
    <w:rsid w:val="009E0AB6"/>
    <w:rsid w:val="009E0F90"/>
    <w:rsid w:val="009E1130"/>
    <w:rsid w:val="009E197D"/>
    <w:rsid w:val="009E203B"/>
    <w:rsid w:val="009E235F"/>
    <w:rsid w:val="009E2E65"/>
    <w:rsid w:val="009E2F58"/>
    <w:rsid w:val="009E2F83"/>
    <w:rsid w:val="009E3069"/>
    <w:rsid w:val="009E38BC"/>
    <w:rsid w:val="009E477F"/>
    <w:rsid w:val="009E50DA"/>
    <w:rsid w:val="009E5493"/>
    <w:rsid w:val="009E55DC"/>
    <w:rsid w:val="009E61EA"/>
    <w:rsid w:val="009E6566"/>
    <w:rsid w:val="009E75BF"/>
    <w:rsid w:val="009F161B"/>
    <w:rsid w:val="009F1A53"/>
    <w:rsid w:val="009F2C93"/>
    <w:rsid w:val="009F36DD"/>
    <w:rsid w:val="009F3920"/>
    <w:rsid w:val="009F3B96"/>
    <w:rsid w:val="009F42B2"/>
    <w:rsid w:val="009F45F6"/>
    <w:rsid w:val="009F4CBE"/>
    <w:rsid w:val="009F5290"/>
    <w:rsid w:val="009F5949"/>
    <w:rsid w:val="009F5A38"/>
    <w:rsid w:val="009F5C23"/>
    <w:rsid w:val="009F6595"/>
    <w:rsid w:val="009F743C"/>
    <w:rsid w:val="009F7506"/>
    <w:rsid w:val="00A00369"/>
    <w:rsid w:val="00A00722"/>
    <w:rsid w:val="00A010CB"/>
    <w:rsid w:val="00A010CC"/>
    <w:rsid w:val="00A0157E"/>
    <w:rsid w:val="00A022BD"/>
    <w:rsid w:val="00A031EF"/>
    <w:rsid w:val="00A04986"/>
    <w:rsid w:val="00A051C7"/>
    <w:rsid w:val="00A05672"/>
    <w:rsid w:val="00A05FAA"/>
    <w:rsid w:val="00A06ECD"/>
    <w:rsid w:val="00A10528"/>
    <w:rsid w:val="00A10A37"/>
    <w:rsid w:val="00A11067"/>
    <w:rsid w:val="00A118E7"/>
    <w:rsid w:val="00A1247C"/>
    <w:rsid w:val="00A127F8"/>
    <w:rsid w:val="00A12A09"/>
    <w:rsid w:val="00A12B91"/>
    <w:rsid w:val="00A12F90"/>
    <w:rsid w:val="00A13F09"/>
    <w:rsid w:val="00A14821"/>
    <w:rsid w:val="00A14EEC"/>
    <w:rsid w:val="00A15A42"/>
    <w:rsid w:val="00A166C6"/>
    <w:rsid w:val="00A16826"/>
    <w:rsid w:val="00A16DA1"/>
    <w:rsid w:val="00A17F93"/>
    <w:rsid w:val="00A21046"/>
    <w:rsid w:val="00A217F1"/>
    <w:rsid w:val="00A21BE8"/>
    <w:rsid w:val="00A21C2A"/>
    <w:rsid w:val="00A22337"/>
    <w:rsid w:val="00A22686"/>
    <w:rsid w:val="00A22BE5"/>
    <w:rsid w:val="00A23015"/>
    <w:rsid w:val="00A23BAD"/>
    <w:rsid w:val="00A2442B"/>
    <w:rsid w:val="00A248D5"/>
    <w:rsid w:val="00A24C55"/>
    <w:rsid w:val="00A2553C"/>
    <w:rsid w:val="00A256A5"/>
    <w:rsid w:val="00A25D36"/>
    <w:rsid w:val="00A26A77"/>
    <w:rsid w:val="00A26DF5"/>
    <w:rsid w:val="00A278F9"/>
    <w:rsid w:val="00A30C8B"/>
    <w:rsid w:val="00A30DE0"/>
    <w:rsid w:val="00A31C30"/>
    <w:rsid w:val="00A32D6E"/>
    <w:rsid w:val="00A333E1"/>
    <w:rsid w:val="00A33918"/>
    <w:rsid w:val="00A340A8"/>
    <w:rsid w:val="00A34593"/>
    <w:rsid w:val="00A34C71"/>
    <w:rsid w:val="00A34E04"/>
    <w:rsid w:val="00A35411"/>
    <w:rsid w:val="00A35A72"/>
    <w:rsid w:val="00A35BF0"/>
    <w:rsid w:val="00A35C0C"/>
    <w:rsid w:val="00A36BBD"/>
    <w:rsid w:val="00A36BDA"/>
    <w:rsid w:val="00A37D41"/>
    <w:rsid w:val="00A4017C"/>
    <w:rsid w:val="00A402C5"/>
    <w:rsid w:val="00A40338"/>
    <w:rsid w:val="00A407CD"/>
    <w:rsid w:val="00A40ED5"/>
    <w:rsid w:val="00A42E63"/>
    <w:rsid w:val="00A43536"/>
    <w:rsid w:val="00A448C1"/>
    <w:rsid w:val="00A44973"/>
    <w:rsid w:val="00A46166"/>
    <w:rsid w:val="00A5032F"/>
    <w:rsid w:val="00A5075E"/>
    <w:rsid w:val="00A52A2C"/>
    <w:rsid w:val="00A53428"/>
    <w:rsid w:val="00A545C0"/>
    <w:rsid w:val="00A54939"/>
    <w:rsid w:val="00A54FA9"/>
    <w:rsid w:val="00A55149"/>
    <w:rsid w:val="00A555AE"/>
    <w:rsid w:val="00A563B6"/>
    <w:rsid w:val="00A570C2"/>
    <w:rsid w:val="00A57BFC"/>
    <w:rsid w:val="00A57D42"/>
    <w:rsid w:val="00A60B1B"/>
    <w:rsid w:val="00A60B51"/>
    <w:rsid w:val="00A60C19"/>
    <w:rsid w:val="00A639F4"/>
    <w:rsid w:val="00A63DE6"/>
    <w:rsid w:val="00A64FB6"/>
    <w:rsid w:val="00A65089"/>
    <w:rsid w:val="00A654DB"/>
    <w:rsid w:val="00A659AE"/>
    <w:rsid w:val="00A65C35"/>
    <w:rsid w:val="00A669DB"/>
    <w:rsid w:val="00A66DC8"/>
    <w:rsid w:val="00A6766A"/>
    <w:rsid w:val="00A70358"/>
    <w:rsid w:val="00A70942"/>
    <w:rsid w:val="00A712A4"/>
    <w:rsid w:val="00A72CCC"/>
    <w:rsid w:val="00A72E74"/>
    <w:rsid w:val="00A731B2"/>
    <w:rsid w:val="00A7503C"/>
    <w:rsid w:val="00A75352"/>
    <w:rsid w:val="00A75A1E"/>
    <w:rsid w:val="00A76AE9"/>
    <w:rsid w:val="00A76D09"/>
    <w:rsid w:val="00A77531"/>
    <w:rsid w:val="00A804C4"/>
    <w:rsid w:val="00A8066D"/>
    <w:rsid w:val="00A80AB4"/>
    <w:rsid w:val="00A81BDA"/>
    <w:rsid w:val="00A820ED"/>
    <w:rsid w:val="00A8266B"/>
    <w:rsid w:val="00A84187"/>
    <w:rsid w:val="00A84560"/>
    <w:rsid w:val="00A84B5A"/>
    <w:rsid w:val="00A85288"/>
    <w:rsid w:val="00A8570A"/>
    <w:rsid w:val="00A8672C"/>
    <w:rsid w:val="00A86845"/>
    <w:rsid w:val="00A873E2"/>
    <w:rsid w:val="00A875D7"/>
    <w:rsid w:val="00A87B31"/>
    <w:rsid w:val="00A90201"/>
    <w:rsid w:val="00A90898"/>
    <w:rsid w:val="00A90A7B"/>
    <w:rsid w:val="00A90F3E"/>
    <w:rsid w:val="00A9118C"/>
    <w:rsid w:val="00A913DC"/>
    <w:rsid w:val="00A91F5E"/>
    <w:rsid w:val="00A922E4"/>
    <w:rsid w:val="00A92FBC"/>
    <w:rsid w:val="00A93917"/>
    <w:rsid w:val="00A93F66"/>
    <w:rsid w:val="00A94010"/>
    <w:rsid w:val="00A94606"/>
    <w:rsid w:val="00A94898"/>
    <w:rsid w:val="00A9523B"/>
    <w:rsid w:val="00A9638C"/>
    <w:rsid w:val="00A972BB"/>
    <w:rsid w:val="00A97A09"/>
    <w:rsid w:val="00AA0192"/>
    <w:rsid w:val="00AA03ED"/>
    <w:rsid w:val="00AA0BE6"/>
    <w:rsid w:val="00AA0D36"/>
    <w:rsid w:val="00AA0D4A"/>
    <w:rsid w:val="00AA1045"/>
    <w:rsid w:val="00AA10BB"/>
    <w:rsid w:val="00AA1B93"/>
    <w:rsid w:val="00AA252F"/>
    <w:rsid w:val="00AA2AE8"/>
    <w:rsid w:val="00AA2F95"/>
    <w:rsid w:val="00AA508B"/>
    <w:rsid w:val="00AA5407"/>
    <w:rsid w:val="00AA5AF7"/>
    <w:rsid w:val="00AA628E"/>
    <w:rsid w:val="00AA6A38"/>
    <w:rsid w:val="00AA7866"/>
    <w:rsid w:val="00AB11E3"/>
    <w:rsid w:val="00AB2213"/>
    <w:rsid w:val="00AB2B01"/>
    <w:rsid w:val="00AB4BAB"/>
    <w:rsid w:val="00AB5994"/>
    <w:rsid w:val="00AB5EBC"/>
    <w:rsid w:val="00AC022F"/>
    <w:rsid w:val="00AC0C01"/>
    <w:rsid w:val="00AC0CCA"/>
    <w:rsid w:val="00AC10FE"/>
    <w:rsid w:val="00AC1F0C"/>
    <w:rsid w:val="00AC2A09"/>
    <w:rsid w:val="00AC2BC9"/>
    <w:rsid w:val="00AC2FC3"/>
    <w:rsid w:val="00AC31ED"/>
    <w:rsid w:val="00AC33D5"/>
    <w:rsid w:val="00AC3818"/>
    <w:rsid w:val="00AC3E62"/>
    <w:rsid w:val="00AC44BF"/>
    <w:rsid w:val="00AC4896"/>
    <w:rsid w:val="00AC498A"/>
    <w:rsid w:val="00AC4B14"/>
    <w:rsid w:val="00AC6AFD"/>
    <w:rsid w:val="00AC7315"/>
    <w:rsid w:val="00AC7D97"/>
    <w:rsid w:val="00AC7FE1"/>
    <w:rsid w:val="00AD0079"/>
    <w:rsid w:val="00AD1AAA"/>
    <w:rsid w:val="00AD2010"/>
    <w:rsid w:val="00AD2689"/>
    <w:rsid w:val="00AD3271"/>
    <w:rsid w:val="00AD4133"/>
    <w:rsid w:val="00AD57E1"/>
    <w:rsid w:val="00AD58EA"/>
    <w:rsid w:val="00AD5B25"/>
    <w:rsid w:val="00AD6006"/>
    <w:rsid w:val="00AD61EC"/>
    <w:rsid w:val="00AD62E5"/>
    <w:rsid w:val="00AD6ED6"/>
    <w:rsid w:val="00AD70E3"/>
    <w:rsid w:val="00AD73A3"/>
    <w:rsid w:val="00AD7561"/>
    <w:rsid w:val="00AE09AB"/>
    <w:rsid w:val="00AE1636"/>
    <w:rsid w:val="00AE1A67"/>
    <w:rsid w:val="00AE20FB"/>
    <w:rsid w:val="00AE333A"/>
    <w:rsid w:val="00AE39AC"/>
    <w:rsid w:val="00AE4130"/>
    <w:rsid w:val="00AE4477"/>
    <w:rsid w:val="00AE5545"/>
    <w:rsid w:val="00AE5949"/>
    <w:rsid w:val="00AE64CA"/>
    <w:rsid w:val="00AE68C2"/>
    <w:rsid w:val="00AE6D26"/>
    <w:rsid w:val="00AE6DDC"/>
    <w:rsid w:val="00AE6E5B"/>
    <w:rsid w:val="00AE70CE"/>
    <w:rsid w:val="00AF058A"/>
    <w:rsid w:val="00AF12BB"/>
    <w:rsid w:val="00AF1C86"/>
    <w:rsid w:val="00AF254B"/>
    <w:rsid w:val="00AF2840"/>
    <w:rsid w:val="00AF2DC1"/>
    <w:rsid w:val="00AF3EDE"/>
    <w:rsid w:val="00AF41FD"/>
    <w:rsid w:val="00AF4E5C"/>
    <w:rsid w:val="00AF5A2D"/>
    <w:rsid w:val="00AF5A4E"/>
    <w:rsid w:val="00AF6060"/>
    <w:rsid w:val="00AF70B4"/>
    <w:rsid w:val="00AF7ADA"/>
    <w:rsid w:val="00AF7F83"/>
    <w:rsid w:val="00AF7FBD"/>
    <w:rsid w:val="00B00159"/>
    <w:rsid w:val="00B009DA"/>
    <w:rsid w:val="00B017D7"/>
    <w:rsid w:val="00B01A7E"/>
    <w:rsid w:val="00B01D08"/>
    <w:rsid w:val="00B020E0"/>
    <w:rsid w:val="00B021DA"/>
    <w:rsid w:val="00B025B7"/>
    <w:rsid w:val="00B02823"/>
    <w:rsid w:val="00B03D92"/>
    <w:rsid w:val="00B041F6"/>
    <w:rsid w:val="00B045BD"/>
    <w:rsid w:val="00B045C0"/>
    <w:rsid w:val="00B04AA0"/>
    <w:rsid w:val="00B0578A"/>
    <w:rsid w:val="00B058FD"/>
    <w:rsid w:val="00B06001"/>
    <w:rsid w:val="00B064C3"/>
    <w:rsid w:val="00B066AE"/>
    <w:rsid w:val="00B0698D"/>
    <w:rsid w:val="00B06B69"/>
    <w:rsid w:val="00B07560"/>
    <w:rsid w:val="00B07A0C"/>
    <w:rsid w:val="00B07B7D"/>
    <w:rsid w:val="00B07D97"/>
    <w:rsid w:val="00B1001F"/>
    <w:rsid w:val="00B10B80"/>
    <w:rsid w:val="00B1192A"/>
    <w:rsid w:val="00B11FD0"/>
    <w:rsid w:val="00B12158"/>
    <w:rsid w:val="00B125DC"/>
    <w:rsid w:val="00B130C0"/>
    <w:rsid w:val="00B1346F"/>
    <w:rsid w:val="00B1392C"/>
    <w:rsid w:val="00B13D3D"/>
    <w:rsid w:val="00B14DA3"/>
    <w:rsid w:val="00B15343"/>
    <w:rsid w:val="00B15538"/>
    <w:rsid w:val="00B15AA8"/>
    <w:rsid w:val="00B16046"/>
    <w:rsid w:val="00B16EBB"/>
    <w:rsid w:val="00B1752D"/>
    <w:rsid w:val="00B17D4D"/>
    <w:rsid w:val="00B20CCB"/>
    <w:rsid w:val="00B21ACB"/>
    <w:rsid w:val="00B2216E"/>
    <w:rsid w:val="00B23104"/>
    <w:rsid w:val="00B2310E"/>
    <w:rsid w:val="00B2458E"/>
    <w:rsid w:val="00B24815"/>
    <w:rsid w:val="00B24C84"/>
    <w:rsid w:val="00B2509F"/>
    <w:rsid w:val="00B2546F"/>
    <w:rsid w:val="00B25A14"/>
    <w:rsid w:val="00B25CE1"/>
    <w:rsid w:val="00B25D38"/>
    <w:rsid w:val="00B25E5F"/>
    <w:rsid w:val="00B26184"/>
    <w:rsid w:val="00B26345"/>
    <w:rsid w:val="00B27115"/>
    <w:rsid w:val="00B27486"/>
    <w:rsid w:val="00B277A6"/>
    <w:rsid w:val="00B3014D"/>
    <w:rsid w:val="00B30C78"/>
    <w:rsid w:val="00B31424"/>
    <w:rsid w:val="00B31916"/>
    <w:rsid w:val="00B3192E"/>
    <w:rsid w:val="00B31F09"/>
    <w:rsid w:val="00B32DBF"/>
    <w:rsid w:val="00B33065"/>
    <w:rsid w:val="00B34395"/>
    <w:rsid w:val="00B344C4"/>
    <w:rsid w:val="00B34BFE"/>
    <w:rsid w:val="00B36EC8"/>
    <w:rsid w:val="00B3708D"/>
    <w:rsid w:val="00B3758D"/>
    <w:rsid w:val="00B37712"/>
    <w:rsid w:val="00B377A1"/>
    <w:rsid w:val="00B41662"/>
    <w:rsid w:val="00B41997"/>
    <w:rsid w:val="00B41EF9"/>
    <w:rsid w:val="00B41EFB"/>
    <w:rsid w:val="00B41F7A"/>
    <w:rsid w:val="00B4294F"/>
    <w:rsid w:val="00B429D0"/>
    <w:rsid w:val="00B42D19"/>
    <w:rsid w:val="00B42F8A"/>
    <w:rsid w:val="00B4364A"/>
    <w:rsid w:val="00B4386F"/>
    <w:rsid w:val="00B45C2C"/>
    <w:rsid w:val="00B47434"/>
    <w:rsid w:val="00B47A83"/>
    <w:rsid w:val="00B501A0"/>
    <w:rsid w:val="00B50A6B"/>
    <w:rsid w:val="00B50BEF"/>
    <w:rsid w:val="00B518CA"/>
    <w:rsid w:val="00B5240B"/>
    <w:rsid w:val="00B52495"/>
    <w:rsid w:val="00B528D5"/>
    <w:rsid w:val="00B5304B"/>
    <w:rsid w:val="00B53E48"/>
    <w:rsid w:val="00B53FD6"/>
    <w:rsid w:val="00B543DC"/>
    <w:rsid w:val="00B55250"/>
    <w:rsid w:val="00B555C8"/>
    <w:rsid w:val="00B55D7A"/>
    <w:rsid w:val="00B55E25"/>
    <w:rsid w:val="00B55F32"/>
    <w:rsid w:val="00B565C4"/>
    <w:rsid w:val="00B56905"/>
    <w:rsid w:val="00B618D7"/>
    <w:rsid w:val="00B62781"/>
    <w:rsid w:val="00B62E80"/>
    <w:rsid w:val="00B63F2D"/>
    <w:rsid w:val="00B644F8"/>
    <w:rsid w:val="00B645FE"/>
    <w:rsid w:val="00B64918"/>
    <w:rsid w:val="00B64EFA"/>
    <w:rsid w:val="00B679D7"/>
    <w:rsid w:val="00B67AA9"/>
    <w:rsid w:val="00B67AE2"/>
    <w:rsid w:val="00B713CE"/>
    <w:rsid w:val="00B71788"/>
    <w:rsid w:val="00B71F94"/>
    <w:rsid w:val="00B72B9C"/>
    <w:rsid w:val="00B75A0F"/>
    <w:rsid w:val="00B76284"/>
    <w:rsid w:val="00B7648D"/>
    <w:rsid w:val="00B772F6"/>
    <w:rsid w:val="00B7738C"/>
    <w:rsid w:val="00B80086"/>
    <w:rsid w:val="00B80634"/>
    <w:rsid w:val="00B80D8A"/>
    <w:rsid w:val="00B83A36"/>
    <w:rsid w:val="00B83AED"/>
    <w:rsid w:val="00B84237"/>
    <w:rsid w:val="00B84974"/>
    <w:rsid w:val="00B852FA"/>
    <w:rsid w:val="00B85B3C"/>
    <w:rsid w:val="00B86AA6"/>
    <w:rsid w:val="00B86B31"/>
    <w:rsid w:val="00B86B6C"/>
    <w:rsid w:val="00B93931"/>
    <w:rsid w:val="00B957B9"/>
    <w:rsid w:val="00B9593A"/>
    <w:rsid w:val="00B96322"/>
    <w:rsid w:val="00B9717C"/>
    <w:rsid w:val="00B97436"/>
    <w:rsid w:val="00B97594"/>
    <w:rsid w:val="00B97966"/>
    <w:rsid w:val="00BA03F7"/>
    <w:rsid w:val="00BA081C"/>
    <w:rsid w:val="00BA096C"/>
    <w:rsid w:val="00BA0AAA"/>
    <w:rsid w:val="00BA0B6F"/>
    <w:rsid w:val="00BA1602"/>
    <w:rsid w:val="00BA1AC7"/>
    <w:rsid w:val="00BA22F3"/>
    <w:rsid w:val="00BA2525"/>
    <w:rsid w:val="00BA2CCF"/>
    <w:rsid w:val="00BA313B"/>
    <w:rsid w:val="00BA47D1"/>
    <w:rsid w:val="00BA48C5"/>
    <w:rsid w:val="00BA5B7C"/>
    <w:rsid w:val="00BA61AC"/>
    <w:rsid w:val="00BA6378"/>
    <w:rsid w:val="00BA6E60"/>
    <w:rsid w:val="00BA73BD"/>
    <w:rsid w:val="00BA755F"/>
    <w:rsid w:val="00BA7B58"/>
    <w:rsid w:val="00BA7FF0"/>
    <w:rsid w:val="00BB0594"/>
    <w:rsid w:val="00BB0AE1"/>
    <w:rsid w:val="00BB0EDC"/>
    <w:rsid w:val="00BB1AE2"/>
    <w:rsid w:val="00BB232B"/>
    <w:rsid w:val="00BB2461"/>
    <w:rsid w:val="00BB3843"/>
    <w:rsid w:val="00BB3F8A"/>
    <w:rsid w:val="00BB52C9"/>
    <w:rsid w:val="00BB5751"/>
    <w:rsid w:val="00BB5D1E"/>
    <w:rsid w:val="00BB6585"/>
    <w:rsid w:val="00BB799A"/>
    <w:rsid w:val="00BB7BF2"/>
    <w:rsid w:val="00BC008D"/>
    <w:rsid w:val="00BC02D6"/>
    <w:rsid w:val="00BC0352"/>
    <w:rsid w:val="00BC04E5"/>
    <w:rsid w:val="00BC0609"/>
    <w:rsid w:val="00BC1A4B"/>
    <w:rsid w:val="00BC1AB5"/>
    <w:rsid w:val="00BC1B08"/>
    <w:rsid w:val="00BC1D89"/>
    <w:rsid w:val="00BC29BC"/>
    <w:rsid w:val="00BC2A58"/>
    <w:rsid w:val="00BC2D14"/>
    <w:rsid w:val="00BC344E"/>
    <w:rsid w:val="00BC367B"/>
    <w:rsid w:val="00BC43D1"/>
    <w:rsid w:val="00BC4D51"/>
    <w:rsid w:val="00BC50EB"/>
    <w:rsid w:val="00BC5626"/>
    <w:rsid w:val="00BC5C4F"/>
    <w:rsid w:val="00BC6E8E"/>
    <w:rsid w:val="00BC761A"/>
    <w:rsid w:val="00BC7787"/>
    <w:rsid w:val="00BC790F"/>
    <w:rsid w:val="00BD0F98"/>
    <w:rsid w:val="00BD123E"/>
    <w:rsid w:val="00BD191E"/>
    <w:rsid w:val="00BD2984"/>
    <w:rsid w:val="00BD51B1"/>
    <w:rsid w:val="00BD6636"/>
    <w:rsid w:val="00BD7D14"/>
    <w:rsid w:val="00BE0B7C"/>
    <w:rsid w:val="00BE11B0"/>
    <w:rsid w:val="00BE1449"/>
    <w:rsid w:val="00BE24C9"/>
    <w:rsid w:val="00BE34BD"/>
    <w:rsid w:val="00BE4377"/>
    <w:rsid w:val="00BE450C"/>
    <w:rsid w:val="00BE5557"/>
    <w:rsid w:val="00BE6830"/>
    <w:rsid w:val="00BE737F"/>
    <w:rsid w:val="00BE7B5A"/>
    <w:rsid w:val="00BE7C8D"/>
    <w:rsid w:val="00BF0190"/>
    <w:rsid w:val="00BF0448"/>
    <w:rsid w:val="00BF0680"/>
    <w:rsid w:val="00BF0899"/>
    <w:rsid w:val="00BF2243"/>
    <w:rsid w:val="00BF290D"/>
    <w:rsid w:val="00BF3E02"/>
    <w:rsid w:val="00BF437E"/>
    <w:rsid w:val="00BF500A"/>
    <w:rsid w:val="00BF52C7"/>
    <w:rsid w:val="00BF55A6"/>
    <w:rsid w:val="00BF5802"/>
    <w:rsid w:val="00BF5C05"/>
    <w:rsid w:val="00C00056"/>
    <w:rsid w:val="00C00900"/>
    <w:rsid w:val="00C01279"/>
    <w:rsid w:val="00C01F01"/>
    <w:rsid w:val="00C03B90"/>
    <w:rsid w:val="00C03FB9"/>
    <w:rsid w:val="00C04130"/>
    <w:rsid w:val="00C04E2E"/>
    <w:rsid w:val="00C05C3C"/>
    <w:rsid w:val="00C05FF2"/>
    <w:rsid w:val="00C0636E"/>
    <w:rsid w:val="00C06A01"/>
    <w:rsid w:val="00C0756D"/>
    <w:rsid w:val="00C0757B"/>
    <w:rsid w:val="00C0781E"/>
    <w:rsid w:val="00C07FF1"/>
    <w:rsid w:val="00C10499"/>
    <w:rsid w:val="00C10804"/>
    <w:rsid w:val="00C1104A"/>
    <w:rsid w:val="00C11551"/>
    <w:rsid w:val="00C11BE4"/>
    <w:rsid w:val="00C12FAF"/>
    <w:rsid w:val="00C13166"/>
    <w:rsid w:val="00C1324E"/>
    <w:rsid w:val="00C135F4"/>
    <w:rsid w:val="00C13F5E"/>
    <w:rsid w:val="00C13FA9"/>
    <w:rsid w:val="00C14436"/>
    <w:rsid w:val="00C14821"/>
    <w:rsid w:val="00C152AE"/>
    <w:rsid w:val="00C157B7"/>
    <w:rsid w:val="00C15A17"/>
    <w:rsid w:val="00C169DC"/>
    <w:rsid w:val="00C2038F"/>
    <w:rsid w:val="00C20614"/>
    <w:rsid w:val="00C209BE"/>
    <w:rsid w:val="00C20E2C"/>
    <w:rsid w:val="00C2131D"/>
    <w:rsid w:val="00C222A7"/>
    <w:rsid w:val="00C2253D"/>
    <w:rsid w:val="00C22B91"/>
    <w:rsid w:val="00C22BF6"/>
    <w:rsid w:val="00C23EBA"/>
    <w:rsid w:val="00C240BA"/>
    <w:rsid w:val="00C2515E"/>
    <w:rsid w:val="00C261BA"/>
    <w:rsid w:val="00C268ED"/>
    <w:rsid w:val="00C27020"/>
    <w:rsid w:val="00C272CA"/>
    <w:rsid w:val="00C277EE"/>
    <w:rsid w:val="00C278AB"/>
    <w:rsid w:val="00C27AEA"/>
    <w:rsid w:val="00C27EAD"/>
    <w:rsid w:val="00C30234"/>
    <w:rsid w:val="00C30A28"/>
    <w:rsid w:val="00C30FF9"/>
    <w:rsid w:val="00C321DA"/>
    <w:rsid w:val="00C32665"/>
    <w:rsid w:val="00C33676"/>
    <w:rsid w:val="00C35288"/>
    <w:rsid w:val="00C3568E"/>
    <w:rsid w:val="00C358D0"/>
    <w:rsid w:val="00C3598B"/>
    <w:rsid w:val="00C3689D"/>
    <w:rsid w:val="00C368AD"/>
    <w:rsid w:val="00C37007"/>
    <w:rsid w:val="00C37DBB"/>
    <w:rsid w:val="00C408BA"/>
    <w:rsid w:val="00C419C4"/>
    <w:rsid w:val="00C41F05"/>
    <w:rsid w:val="00C420F3"/>
    <w:rsid w:val="00C4211B"/>
    <w:rsid w:val="00C423A6"/>
    <w:rsid w:val="00C429CF"/>
    <w:rsid w:val="00C42ED1"/>
    <w:rsid w:val="00C4329A"/>
    <w:rsid w:val="00C44EF8"/>
    <w:rsid w:val="00C45367"/>
    <w:rsid w:val="00C45DCB"/>
    <w:rsid w:val="00C462D2"/>
    <w:rsid w:val="00C463CD"/>
    <w:rsid w:val="00C468B1"/>
    <w:rsid w:val="00C46A0F"/>
    <w:rsid w:val="00C46A4D"/>
    <w:rsid w:val="00C4757B"/>
    <w:rsid w:val="00C4779C"/>
    <w:rsid w:val="00C47F94"/>
    <w:rsid w:val="00C507FB"/>
    <w:rsid w:val="00C50B36"/>
    <w:rsid w:val="00C50EA0"/>
    <w:rsid w:val="00C50F6C"/>
    <w:rsid w:val="00C51055"/>
    <w:rsid w:val="00C514ED"/>
    <w:rsid w:val="00C51BD2"/>
    <w:rsid w:val="00C51EA6"/>
    <w:rsid w:val="00C52B67"/>
    <w:rsid w:val="00C5305D"/>
    <w:rsid w:val="00C530AA"/>
    <w:rsid w:val="00C53141"/>
    <w:rsid w:val="00C53880"/>
    <w:rsid w:val="00C53F1E"/>
    <w:rsid w:val="00C54210"/>
    <w:rsid w:val="00C544F0"/>
    <w:rsid w:val="00C54CFF"/>
    <w:rsid w:val="00C56BBF"/>
    <w:rsid w:val="00C60219"/>
    <w:rsid w:val="00C6037C"/>
    <w:rsid w:val="00C6047F"/>
    <w:rsid w:val="00C611E8"/>
    <w:rsid w:val="00C616A5"/>
    <w:rsid w:val="00C61864"/>
    <w:rsid w:val="00C62692"/>
    <w:rsid w:val="00C62A1A"/>
    <w:rsid w:val="00C63DE1"/>
    <w:rsid w:val="00C641D3"/>
    <w:rsid w:val="00C65745"/>
    <w:rsid w:val="00C65B11"/>
    <w:rsid w:val="00C66957"/>
    <w:rsid w:val="00C70B53"/>
    <w:rsid w:val="00C70F87"/>
    <w:rsid w:val="00C71D3F"/>
    <w:rsid w:val="00C72178"/>
    <w:rsid w:val="00C723DE"/>
    <w:rsid w:val="00C73037"/>
    <w:rsid w:val="00C731DD"/>
    <w:rsid w:val="00C73598"/>
    <w:rsid w:val="00C73EA2"/>
    <w:rsid w:val="00C74011"/>
    <w:rsid w:val="00C74A11"/>
    <w:rsid w:val="00C74B72"/>
    <w:rsid w:val="00C74E0A"/>
    <w:rsid w:val="00C74E35"/>
    <w:rsid w:val="00C765FD"/>
    <w:rsid w:val="00C76622"/>
    <w:rsid w:val="00C769AD"/>
    <w:rsid w:val="00C76A57"/>
    <w:rsid w:val="00C7725F"/>
    <w:rsid w:val="00C77389"/>
    <w:rsid w:val="00C773B1"/>
    <w:rsid w:val="00C773E8"/>
    <w:rsid w:val="00C77BCE"/>
    <w:rsid w:val="00C804C6"/>
    <w:rsid w:val="00C807E8"/>
    <w:rsid w:val="00C80C96"/>
    <w:rsid w:val="00C818FB"/>
    <w:rsid w:val="00C827F3"/>
    <w:rsid w:val="00C837A5"/>
    <w:rsid w:val="00C84942"/>
    <w:rsid w:val="00C84A34"/>
    <w:rsid w:val="00C85592"/>
    <w:rsid w:val="00C86EE9"/>
    <w:rsid w:val="00C871AA"/>
    <w:rsid w:val="00C878E0"/>
    <w:rsid w:val="00C87DBB"/>
    <w:rsid w:val="00C901CE"/>
    <w:rsid w:val="00C901DE"/>
    <w:rsid w:val="00C90CA1"/>
    <w:rsid w:val="00C9129B"/>
    <w:rsid w:val="00C91B71"/>
    <w:rsid w:val="00C91F53"/>
    <w:rsid w:val="00C9217A"/>
    <w:rsid w:val="00C92A97"/>
    <w:rsid w:val="00C92BDA"/>
    <w:rsid w:val="00C93292"/>
    <w:rsid w:val="00C942BB"/>
    <w:rsid w:val="00C953C4"/>
    <w:rsid w:val="00C9541F"/>
    <w:rsid w:val="00C954E1"/>
    <w:rsid w:val="00C95ECF"/>
    <w:rsid w:val="00C968CA"/>
    <w:rsid w:val="00C968F6"/>
    <w:rsid w:val="00C96F38"/>
    <w:rsid w:val="00C9750E"/>
    <w:rsid w:val="00CA03A6"/>
    <w:rsid w:val="00CA064D"/>
    <w:rsid w:val="00CA1C74"/>
    <w:rsid w:val="00CA21B8"/>
    <w:rsid w:val="00CA3965"/>
    <w:rsid w:val="00CA4A26"/>
    <w:rsid w:val="00CA57E8"/>
    <w:rsid w:val="00CA58B6"/>
    <w:rsid w:val="00CA5E2A"/>
    <w:rsid w:val="00CA60D4"/>
    <w:rsid w:val="00CA6BAC"/>
    <w:rsid w:val="00CA6D21"/>
    <w:rsid w:val="00CA6D49"/>
    <w:rsid w:val="00CA7F44"/>
    <w:rsid w:val="00CB1708"/>
    <w:rsid w:val="00CB19FA"/>
    <w:rsid w:val="00CB1ABC"/>
    <w:rsid w:val="00CB2EDB"/>
    <w:rsid w:val="00CB33E2"/>
    <w:rsid w:val="00CB3BEC"/>
    <w:rsid w:val="00CB3CBA"/>
    <w:rsid w:val="00CB4196"/>
    <w:rsid w:val="00CB5093"/>
    <w:rsid w:val="00CB57BA"/>
    <w:rsid w:val="00CB5842"/>
    <w:rsid w:val="00CB58A2"/>
    <w:rsid w:val="00CB5D5E"/>
    <w:rsid w:val="00CB5F23"/>
    <w:rsid w:val="00CB6345"/>
    <w:rsid w:val="00CB7A3C"/>
    <w:rsid w:val="00CC01EE"/>
    <w:rsid w:val="00CC03EE"/>
    <w:rsid w:val="00CC04E9"/>
    <w:rsid w:val="00CC0893"/>
    <w:rsid w:val="00CC0E71"/>
    <w:rsid w:val="00CC271A"/>
    <w:rsid w:val="00CC2DBD"/>
    <w:rsid w:val="00CC3170"/>
    <w:rsid w:val="00CC3602"/>
    <w:rsid w:val="00CC3B57"/>
    <w:rsid w:val="00CC3CA0"/>
    <w:rsid w:val="00CC460F"/>
    <w:rsid w:val="00CC4C58"/>
    <w:rsid w:val="00CC4D05"/>
    <w:rsid w:val="00CC4D6E"/>
    <w:rsid w:val="00CC55A9"/>
    <w:rsid w:val="00CC58FB"/>
    <w:rsid w:val="00CC5ABB"/>
    <w:rsid w:val="00CC72DB"/>
    <w:rsid w:val="00CC7B0B"/>
    <w:rsid w:val="00CD029A"/>
    <w:rsid w:val="00CD0CAD"/>
    <w:rsid w:val="00CD0D56"/>
    <w:rsid w:val="00CD1589"/>
    <w:rsid w:val="00CD1CF9"/>
    <w:rsid w:val="00CD2374"/>
    <w:rsid w:val="00CD2383"/>
    <w:rsid w:val="00CD25A4"/>
    <w:rsid w:val="00CD26B3"/>
    <w:rsid w:val="00CD29C4"/>
    <w:rsid w:val="00CD2A67"/>
    <w:rsid w:val="00CD31E2"/>
    <w:rsid w:val="00CD3887"/>
    <w:rsid w:val="00CD4224"/>
    <w:rsid w:val="00CD44CB"/>
    <w:rsid w:val="00CD4999"/>
    <w:rsid w:val="00CD4B94"/>
    <w:rsid w:val="00CD4C11"/>
    <w:rsid w:val="00CD61E5"/>
    <w:rsid w:val="00CD7AFC"/>
    <w:rsid w:val="00CE038E"/>
    <w:rsid w:val="00CE0451"/>
    <w:rsid w:val="00CE07E1"/>
    <w:rsid w:val="00CE08A0"/>
    <w:rsid w:val="00CE1198"/>
    <w:rsid w:val="00CE24CF"/>
    <w:rsid w:val="00CE2AC3"/>
    <w:rsid w:val="00CE3A53"/>
    <w:rsid w:val="00CE3DAC"/>
    <w:rsid w:val="00CE41CB"/>
    <w:rsid w:val="00CE448B"/>
    <w:rsid w:val="00CE466D"/>
    <w:rsid w:val="00CE5275"/>
    <w:rsid w:val="00CE6721"/>
    <w:rsid w:val="00CE6B5F"/>
    <w:rsid w:val="00CE7AC4"/>
    <w:rsid w:val="00CE7AE0"/>
    <w:rsid w:val="00CF14D2"/>
    <w:rsid w:val="00CF19E9"/>
    <w:rsid w:val="00CF3604"/>
    <w:rsid w:val="00CF3680"/>
    <w:rsid w:val="00CF3929"/>
    <w:rsid w:val="00CF44F1"/>
    <w:rsid w:val="00CF45E3"/>
    <w:rsid w:val="00CF4742"/>
    <w:rsid w:val="00CF475D"/>
    <w:rsid w:val="00CF6782"/>
    <w:rsid w:val="00CF6911"/>
    <w:rsid w:val="00CF73F8"/>
    <w:rsid w:val="00CF7FAE"/>
    <w:rsid w:val="00D00C2F"/>
    <w:rsid w:val="00D011BD"/>
    <w:rsid w:val="00D01B54"/>
    <w:rsid w:val="00D01DE2"/>
    <w:rsid w:val="00D0254E"/>
    <w:rsid w:val="00D02612"/>
    <w:rsid w:val="00D02E5A"/>
    <w:rsid w:val="00D02EC3"/>
    <w:rsid w:val="00D04180"/>
    <w:rsid w:val="00D047C2"/>
    <w:rsid w:val="00D0501A"/>
    <w:rsid w:val="00D059CC"/>
    <w:rsid w:val="00D06273"/>
    <w:rsid w:val="00D06378"/>
    <w:rsid w:val="00D06DDB"/>
    <w:rsid w:val="00D06F9C"/>
    <w:rsid w:val="00D07C82"/>
    <w:rsid w:val="00D07EDB"/>
    <w:rsid w:val="00D107D4"/>
    <w:rsid w:val="00D10BCD"/>
    <w:rsid w:val="00D10C6F"/>
    <w:rsid w:val="00D10D3E"/>
    <w:rsid w:val="00D114F9"/>
    <w:rsid w:val="00D12E71"/>
    <w:rsid w:val="00D13711"/>
    <w:rsid w:val="00D13788"/>
    <w:rsid w:val="00D13B72"/>
    <w:rsid w:val="00D14B75"/>
    <w:rsid w:val="00D14EB1"/>
    <w:rsid w:val="00D16AA0"/>
    <w:rsid w:val="00D174A1"/>
    <w:rsid w:val="00D176E4"/>
    <w:rsid w:val="00D20805"/>
    <w:rsid w:val="00D20C5C"/>
    <w:rsid w:val="00D21C45"/>
    <w:rsid w:val="00D21D43"/>
    <w:rsid w:val="00D2248A"/>
    <w:rsid w:val="00D2271D"/>
    <w:rsid w:val="00D238A8"/>
    <w:rsid w:val="00D249EF"/>
    <w:rsid w:val="00D24DD8"/>
    <w:rsid w:val="00D24E7F"/>
    <w:rsid w:val="00D25B22"/>
    <w:rsid w:val="00D26BD7"/>
    <w:rsid w:val="00D26E5A"/>
    <w:rsid w:val="00D272F6"/>
    <w:rsid w:val="00D274FE"/>
    <w:rsid w:val="00D27EDE"/>
    <w:rsid w:val="00D3024E"/>
    <w:rsid w:val="00D3056D"/>
    <w:rsid w:val="00D30A0B"/>
    <w:rsid w:val="00D30BEC"/>
    <w:rsid w:val="00D312A7"/>
    <w:rsid w:val="00D31318"/>
    <w:rsid w:val="00D316D8"/>
    <w:rsid w:val="00D32D7C"/>
    <w:rsid w:val="00D3354F"/>
    <w:rsid w:val="00D3378B"/>
    <w:rsid w:val="00D33A5E"/>
    <w:rsid w:val="00D3482B"/>
    <w:rsid w:val="00D34985"/>
    <w:rsid w:val="00D353F4"/>
    <w:rsid w:val="00D354A5"/>
    <w:rsid w:val="00D35C73"/>
    <w:rsid w:val="00D36B1A"/>
    <w:rsid w:val="00D36B90"/>
    <w:rsid w:val="00D36F0B"/>
    <w:rsid w:val="00D373E7"/>
    <w:rsid w:val="00D4074A"/>
    <w:rsid w:val="00D41282"/>
    <w:rsid w:val="00D42140"/>
    <w:rsid w:val="00D426D1"/>
    <w:rsid w:val="00D43950"/>
    <w:rsid w:val="00D439AA"/>
    <w:rsid w:val="00D440DF"/>
    <w:rsid w:val="00D44AC3"/>
    <w:rsid w:val="00D45175"/>
    <w:rsid w:val="00D459E2"/>
    <w:rsid w:val="00D45EC5"/>
    <w:rsid w:val="00D476E8"/>
    <w:rsid w:val="00D5039D"/>
    <w:rsid w:val="00D50818"/>
    <w:rsid w:val="00D511BA"/>
    <w:rsid w:val="00D51C95"/>
    <w:rsid w:val="00D52BAE"/>
    <w:rsid w:val="00D52C69"/>
    <w:rsid w:val="00D55012"/>
    <w:rsid w:val="00D55967"/>
    <w:rsid w:val="00D55F51"/>
    <w:rsid w:val="00D564C8"/>
    <w:rsid w:val="00D56871"/>
    <w:rsid w:val="00D56DFF"/>
    <w:rsid w:val="00D5728D"/>
    <w:rsid w:val="00D57502"/>
    <w:rsid w:val="00D60260"/>
    <w:rsid w:val="00D61027"/>
    <w:rsid w:val="00D61137"/>
    <w:rsid w:val="00D61777"/>
    <w:rsid w:val="00D62538"/>
    <w:rsid w:val="00D626B5"/>
    <w:rsid w:val="00D63689"/>
    <w:rsid w:val="00D63B02"/>
    <w:rsid w:val="00D64291"/>
    <w:rsid w:val="00D644D5"/>
    <w:rsid w:val="00D64506"/>
    <w:rsid w:val="00D64981"/>
    <w:rsid w:val="00D64E51"/>
    <w:rsid w:val="00D6537C"/>
    <w:rsid w:val="00D6608C"/>
    <w:rsid w:val="00D66C32"/>
    <w:rsid w:val="00D67310"/>
    <w:rsid w:val="00D67400"/>
    <w:rsid w:val="00D67B79"/>
    <w:rsid w:val="00D70A74"/>
    <w:rsid w:val="00D70F08"/>
    <w:rsid w:val="00D7121E"/>
    <w:rsid w:val="00D7192E"/>
    <w:rsid w:val="00D71A3D"/>
    <w:rsid w:val="00D71C5D"/>
    <w:rsid w:val="00D720F5"/>
    <w:rsid w:val="00D726DD"/>
    <w:rsid w:val="00D7288A"/>
    <w:rsid w:val="00D74B01"/>
    <w:rsid w:val="00D759DD"/>
    <w:rsid w:val="00D765D3"/>
    <w:rsid w:val="00D767FD"/>
    <w:rsid w:val="00D77150"/>
    <w:rsid w:val="00D771DD"/>
    <w:rsid w:val="00D77497"/>
    <w:rsid w:val="00D80988"/>
    <w:rsid w:val="00D80A31"/>
    <w:rsid w:val="00D80E89"/>
    <w:rsid w:val="00D810F6"/>
    <w:rsid w:val="00D816C2"/>
    <w:rsid w:val="00D81CF6"/>
    <w:rsid w:val="00D827A6"/>
    <w:rsid w:val="00D828C7"/>
    <w:rsid w:val="00D83179"/>
    <w:rsid w:val="00D83782"/>
    <w:rsid w:val="00D83945"/>
    <w:rsid w:val="00D85349"/>
    <w:rsid w:val="00D8585F"/>
    <w:rsid w:val="00D85ADD"/>
    <w:rsid w:val="00D85DD5"/>
    <w:rsid w:val="00D8687F"/>
    <w:rsid w:val="00D868F0"/>
    <w:rsid w:val="00D86A80"/>
    <w:rsid w:val="00D86CE1"/>
    <w:rsid w:val="00D86DC0"/>
    <w:rsid w:val="00D86E8A"/>
    <w:rsid w:val="00D874DE"/>
    <w:rsid w:val="00D87A32"/>
    <w:rsid w:val="00D90137"/>
    <w:rsid w:val="00D90461"/>
    <w:rsid w:val="00D90AAB"/>
    <w:rsid w:val="00D91F2C"/>
    <w:rsid w:val="00D921C7"/>
    <w:rsid w:val="00D92442"/>
    <w:rsid w:val="00D93438"/>
    <w:rsid w:val="00D939BA"/>
    <w:rsid w:val="00D93B40"/>
    <w:rsid w:val="00D93F4A"/>
    <w:rsid w:val="00D945C3"/>
    <w:rsid w:val="00D95936"/>
    <w:rsid w:val="00D95A48"/>
    <w:rsid w:val="00D95CAE"/>
    <w:rsid w:val="00D963F8"/>
    <w:rsid w:val="00D97371"/>
    <w:rsid w:val="00D977D5"/>
    <w:rsid w:val="00D97961"/>
    <w:rsid w:val="00D97F7F"/>
    <w:rsid w:val="00DA0038"/>
    <w:rsid w:val="00DA08BD"/>
    <w:rsid w:val="00DA18A3"/>
    <w:rsid w:val="00DA2B15"/>
    <w:rsid w:val="00DA2DA0"/>
    <w:rsid w:val="00DA3307"/>
    <w:rsid w:val="00DA3563"/>
    <w:rsid w:val="00DA358F"/>
    <w:rsid w:val="00DA41DC"/>
    <w:rsid w:val="00DA4215"/>
    <w:rsid w:val="00DA4627"/>
    <w:rsid w:val="00DA4974"/>
    <w:rsid w:val="00DA520D"/>
    <w:rsid w:val="00DA53BB"/>
    <w:rsid w:val="00DA587F"/>
    <w:rsid w:val="00DA658D"/>
    <w:rsid w:val="00DA7D53"/>
    <w:rsid w:val="00DB076A"/>
    <w:rsid w:val="00DB1171"/>
    <w:rsid w:val="00DB1408"/>
    <w:rsid w:val="00DB2684"/>
    <w:rsid w:val="00DB3C5F"/>
    <w:rsid w:val="00DB57D3"/>
    <w:rsid w:val="00DB6730"/>
    <w:rsid w:val="00DB6775"/>
    <w:rsid w:val="00DB693C"/>
    <w:rsid w:val="00DB6B04"/>
    <w:rsid w:val="00DB6C04"/>
    <w:rsid w:val="00DB72E0"/>
    <w:rsid w:val="00DB743D"/>
    <w:rsid w:val="00DC0389"/>
    <w:rsid w:val="00DC0D5A"/>
    <w:rsid w:val="00DC16BA"/>
    <w:rsid w:val="00DC2252"/>
    <w:rsid w:val="00DC269D"/>
    <w:rsid w:val="00DC3355"/>
    <w:rsid w:val="00DC36F7"/>
    <w:rsid w:val="00DC3E36"/>
    <w:rsid w:val="00DC53AF"/>
    <w:rsid w:val="00DC5411"/>
    <w:rsid w:val="00DC5CAE"/>
    <w:rsid w:val="00DC69D1"/>
    <w:rsid w:val="00DC6BE3"/>
    <w:rsid w:val="00DC7B4A"/>
    <w:rsid w:val="00DC7C8B"/>
    <w:rsid w:val="00DD034C"/>
    <w:rsid w:val="00DD0540"/>
    <w:rsid w:val="00DD1AFA"/>
    <w:rsid w:val="00DD27DB"/>
    <w:rsid w:val="00DD2E44"/>
    <w:rsid w:val="00DD314E"/>
    <w:rsid w:val="00DD4080"/>
    <w:rsid w:val="00DD4561"/>
    <w:rsid w:val="00DD529F"/>
    <w:rsid w:val="00DD546B"/>
    <w:rsid w:val="00DD78CF"/>
    <w:rsid w:val="00DD7C97"/>
    <w:rsid w:val="00DE043D"/>
    <w:rsid w:val="00DE06E0"/>
    <w:rsid w:val="00DE0905"/>
    <w:rsid w:val="00DE0D8A"/>
    <w:rsid w:val="00DE0EAE"/>
    <w:rsid w:val="00DE139F"/>
    <w:rsid w:val="00DE1442"/>
    <w:rsid w:val="00DE1608"/>
    <w:rsid w:val="00DE171F"/>
    <w:rsid w:val="00DE1FC8"/>
    <w:rsid w:val="00DE272F"/>
    <w:rsid w:val="00DE3988"/>
    <w:rsid w:val="00DE3A72"/>
    <w:rsid w:val="00DE4A4C"/>
    <w:rsid w:val="00DE4E93"/>
    <w:rsid w:val="00DE53FA"/>
    <w:rsid w:val="00DE55F4"/>
    <w:rsid w:val="00DE5B08"/>
    <w:rsid w:val="00DE6413"/>
    <w:rsid w:val="00DE66A7"/>
    <w:rsid w:val="00DF0548"/>
    <w:rsid w:val="00DF0F4A"/>
    <w:rsid w:val="00DF1A88"/>
    <w:rsid w:val="00DF20B6"/>
    <w:rsid w:val="00DF3C60"/>
    <w:rsid w:val="00DF5DAB"/>
    <w:rsid w:val="00DF65B9"/>
    <w:rsid w:val="00DF7C49"/>
    <w:rsid w:val="00DF7CFF"/>
    <w:rsid w:val="00DF7FDC"/>
    <w:rsid w:val="00E00026"/>
    <w:rsid w:val="00E00288"/>
    <w:rsid w:val="00E01423"/>
    <w:rsid w:val="00E01836"/>
    <w:rsid w:val="00E01BCC"/>
    <w:rsid w:val="00E01D06"/>
    <w:rsid w:val="00E021C1"/>
    <w:rsid w:val="00E022F4"/>
    <w:rsid w:val="00E03729"/>
    <w:rsid w:val="00E03AC4"/>
    <w:rsid w:val="00E04478"/>
    <w:rsid w:val="00E04BC2"/>
    <w:rsid w:val="00E063AA"/>
    <w:rsid w:val="00E06A19"/>
    <w:rsid w:val="00E06CF4"/>
    <w:rsid w:val="00E07AE0"/>
    <w:rsid w:val="00E07B8D"/>
    <w:rsid w:val="00E07D5B"/>
    <w:rsid w:val="00E07DDA"/>
    <w:rsid w:val="00E10481"/>
    <w:rsid w:val="00E110B9"/>
    <w:rsid w:val="00E116AD"/>
    <w:rsid w:val="00E11B09"/>
    <w:rsid w:val="00E12A40"/>
    <w:rsid w:val="00E13DEB"/>
    <w:rsid w:val="00E14C77"/>
    <w:rsid w:val="00E1563C"/>
    <w:rsid w:val="00E15CD2"/>
    <w:rsid w:val="00E160D7"/>
    <w:rsid w:val="00E16F96"/>
    <w:rsid w:val="00E20886"/>
    <w:rsid w:val="00E20D35"/>
    <w:rsid w:val="00E20FB8"/>
    <w:rsid w:val="00E211FB"/>
    <w:rsid w:val="00E22385"/>
    <w:rsid w:val="00E23C03"/>
    <w:rsid w:val="00E248FF"/>
    <w:rsid w:val="00E24F0A"/>
    <w:rsid w:val="00E251B6"/>
    <w:rsid w:val="00E25A3B"/>
    <w:rsid w:val="00E25E3E"/>
    <w:rsid w:val="00E26E26"/>
    <w:rsid w:val="00E27440"/>
    <w:rsid w:val="00E274F3"/>
    <w:rsid w:val="00E277F8"/>
    <w:rsid w:val="00E30D44"/>
    <w:rsid w:val="00E31901"/>
    <w:rsid w:val="00E31D4C"/>
    <w:rsid w:val="00E32856"/>
    <w:rsid w:val="00E32B1F"/>
    <w:rsid w:val="00E345C8"/>
    <w:rsid w:val="00E34A40"/>
    <w:rsid w:val="00E34F1D"/>
    <w:rsid w:val="00E3518B"/>
    <w:rsid w:val="00E351EC"/>
    <w:rsid w:val="00E35498"/>
    <w:rsid w:val="00E356E3"/>
    <w:rsid w:val="00E35BAF"/>
    <w:rsid w:val="00E35FA1"/>
    <w:rsid w:val="00E36964"/>
    <w:rsid w:val="00E371C4"/>
    <w:rsid w:val="00E4040C"/>
    <w:rsid w:val="00E404F8"/>
    <w:rsid w:val="00E4109F"/>
    <w:rsid w:val="00E41868"/>
    <w:rsid w:val="00E42535"/>
    <w:rsid w:val="00E433AC"/>
    <w:rsid w:val="00E435D8"/>
    <w:rsid w:val="00E46118"/>
    <w:rsid w:val="00E46463"/>
    <w:rsid w:val="00E502AB"/>
    <w:rsid w:val="00E51A96"/>
    <w:rsid w:val="00E51B78"/>
    <w:rsid w:val="00E5250B"/>
    <w:rsid w:val="00E5340B"/>
    <w:rsid w:val="00E5481C"/>
    <w:rsid w:val="00E54BC8"/>
    <w:rsid w:val="00E5555A"/>
    <w:rsid w:val="00E55695"/>
    <w:rsid w:val="00E559CC"/>
    <w:rsid w:val="00E5610C"/>
    <w:rsid w:val="00E56FE5"/>
    <w:rsid w:val="00E61F34"/>
    <w:rsid w:val="00E628AB"/>
    <w:rsid w:val="00E63B5A"/>
    <w:rsid w:val="00E64036"/>
    <w:rsid w:val="00E64645"/>
    <w:rsid w:val="00E65526"/>
    <w:rsid w:val="00E66F5C"/>
    <w:rsid w:val="00E70117"/>
    <w:rsid w:val="00E7024B"/>
    <w:rsid w:val="00E706F3"/>
    <w:rsid w:val="00E718D9"/>
    <w:rsid w:val="00E71E6A"/>
    <w:rsid w:val="00E720CC"/>
    <w:rsid w:val="00E72FA6"/>
    <w:rsid w:val="00E73057"/>
    <w:rsid w:val="00E73283"/>
    <w:rsid w:val="00E73C65"/>
    <w:rsid w:val="00E73D60"/>
    <w:rsid w:val="00E74D1F"/>
    <w:rsid w:val="00E750A4"/>
    <w:rsid w:val="00E75A5B"/>
    <w:rsid w:val="00E76B8B"/>
    <w:rsid w:val="00E76C48"/>
    <w:rsid w:val="00E76EBD"/>
    <w:rsid w:val="00E771A3"/>
    <w:rsid w:val="00E812C8"/>
    <w:rsid w:val="00E81E38"/>
    <w:rsid w:val="00E82A09"/>
    <w:rsid w:val="00E836B7"/>
    <w:rsid w:val="00E83CFB"/>
    <w:rsid w:val="00E84F62"/>
    <w:rsid w:val="00E857F7"/>
    <w:rsid w:val="00E9009C"/>
    <w:rsid w:val="00E90385"/>
    <w:rsid w:val="00E909FB"/>
    <w:rsid w:val="00E90C66"/>
    <w:rsid w:val="00E913D2"/>
    <w:rsid w:val="00E91CC5"/>
    <w:rsid w:val="00E91FD5"/>
    <w:rsid w:val="00E9201F"/>
    <w:rsid w:val="00E928A6"/>
    <w:rsid w:val="00E92FDC"/>
    <w:rsid w:val="00E93232"/>
    <w:rsid w:val="00E93C0D"/>
    <w:rsid w:val="00E94AE9"/>
    <w:rsid w:val="00E95334"/>
    <w:rsid w:val="00E9716E"/>
    <w:rsid w:val="00E97403"/>
    <w:rsid w:val="00E97564"/>
    <w:rsid w:val="00E9791C"/>
    <w:rsid w:val="00EA1851"/>
    <w:rsid w:val="00EA18A9"/>
    <w:rsid w:val="00EA2704"/>
    <w:rsid w:val="00EA2AA9"/>
    <w:rsid w:val="00EA3169"/>
    <w:rsid w:val="00EA3717"/>
    <w:rsid w:val="00EA423C"/>
    <w:rsid w:val="00EA58FA"/>
    <w:rsid w:val="00EA6B2A"/>
    <w:rsid w:val="00EA787E"/>
    <w:rsid w:val="00EB0195"/>
    <w:rsid w:val="00EB091B"/>
    <w:rsid w:val="00EB0C86"/>
    <w:rsid w:val="00EB0CAD"/>
    <w:rsid w:val="00EB0D3E"/>
    <w:rsid w:val="00EB1834"/>
    <w:rsid w:val="00EB1E5C"/>
    <w:rsid w:val="00EB2684"/>
    <w:rsid w:val="00EB29A7"/>
    <w:rsid w:val="00EB35D8"/>
    <w:rsid w:val="00EB3C3E"/>
    <w:rsid w:val="00EB3E3A"/>
    <w:rsid w:val="00EB4314"/>
    <w:rsid w:val="00EB4EF9"/>
    <w:rsid w:val="00EB534C"/>
    <w:rsid w:val="00EB59D8"/>
    <w:rsid w:val="00EB59EB"/>
    <w:rsid w:val="00EB6F81"/>
    <w:rsid w:val="00EB735B"/>
    <w:rsid w:val="00EB7641"/>
    <w:rsid w:val="00EC0A71"/>
    <w:rsid w:val="00EC234C"/>
    <w:rsid w:val="00EC2469"/>
    <w:rsid w:val="00EC2557"/>
    <w:rsid w:val="00EC2B60"/>
    <w:rsid w:val="00EC3F76"/>
    <w:rsid w:val="00EC440B"/>
    <w:rsid w:val="00EC4CD1"/>
    <w:rsid w:val="00EC4FF9"/>
    <w:rsid w:val="00EC536A"/>
    <w:rsid w:val="00EC5E65"/>
    <w:rsid w:val="00EC664C"/>
    <w:rsid w:val="00EC69FC"/>
    <w:rsid w:val="00EC6BFD"/>
    <w:rsid w:val="00EC76BA"/>
    <w:rsid w:val="00EC7CE9"/>
    <w:rsid w:val="00ED113E"/>
    <w:rsid w:val="00ED1A86"/>
    <w:rsid w:val="00ED1ADA"/>
    <w:rsid w:val="00ED20EA"/>
    <w:rsid w:val="00ED268E"/>
    <w:rsid w:val="00ED2EFF"/>
    <w:rsid w:val="00ED319A"/>
    <w:rsid w:val="00ED3F48"/>
    <w:rsid w:val="00ED40CE"/>
    <w:rsid w:val="00ED451F"/>
    <w:rsid w:val="00ED5DC4"/>
    <w:rsid w:val="00ED6550"/>
    <w:rsid w:val="00ED7347"/>
    <w:rsid w:val="00ED7BE0"/>
    <w:rsid w:val="00ED7E2D"/>
    <w:rsid w:val="00EE05DB"/>
    <w:rsid w:val="00EE0924"/>
    <w:rsid w:val="00EE0DC6"/>
    <w:rsid w:val="00EE164A"/>
    <w:rsid w:val="00EE1CB2"/>
    <w:rsid w:val="00EE1F63"/>
    <w:rsid w:val="00EE2079"/>
    <w:rsid w:val="00EE2EE3"/>
    <w:rsid w:val="00EE31D4"/>
    <w:rsid w:val="00EE3541"/>
    <w:rsid w:val="00EE3BFB"/>
    <w:rsid w:val="00EE44BB"/>
    <w:rsid w:val="00EE4F2C"/>
    <w:rsid w:val="00EE54C9"/>
    <w:rsid w:val="00EE55AF"/>
    <w:rsid w:val="00EE6D70"/>
    <w:rsid w:val="00EE78A9"/>
    <w:rsid w:val="00EE78D7"/>
    <w:rsid w:val="00EF0748"/>
    <w:rsid w:val="00EF097B"/>
    <w:rsid w:val="00EF09C9"/>
    <w:rsid w:val="00EF0C0C"/>
    <w:rsid w:val="00EF0C4C"/>
    <w:rsid w:val="00EF1CAD"/>
    <w:rsid w:val="00EF2599"/>
    <w:rsid w:val="00EF25FD"/>
    <w:rsid w:val="00EF26FC"/>
    <w:rsid w:val="00EF27EA"/>
    <w:rsid w:val="00EF2A6F"/>
    <w:rsid w:val="00EF2A75"/>
    <w:rsid w:val="00EF2AA0"/>
    <w:rsid w:val="00EF357C"/>
    <w:rsid w:val="00EF35E0"/>
    <w:rsid w:val="00EF3C92"/>
    <w:rsid w:val="00EF3F08"/>
    <w:rsid w:val="00EF4BBD"/>
    <w:rsid w:val="00EF4DF2"/>
    <w:rsid w:val="00EF5764"/>
    <w:rsid w:val="00EF5B89"/>
    <w:rsid w:val="00EF64DC"/>
    <w:rsid w:val="00EF69FF"/>
    <w:rsid w:val="00EF6FB1"/>
    <w:rsid w:val="00EF7BB4"/>
    <w:rsid w:val="00EF7F1F"/>
    <w:rsid w:val="00F02632"/>
    <w:rsid w:val="00F02759"/>
    <w:rsid w:val="00F03B61"/>
    <w:rsid w:val="00F045EE"/>
    <w:rsid w:val="00F04872"/>
    <w:rsid w:val="00F04CAB"/>
    <w:rsid w:val="00F051CC"/>
    <w:rsid w:val="00F05939"/>
    <w:rsid w:val="00F062C1"/>
    <w:rsid w:val="00F06512"/>
    <w:rsid w:val="00F0688B"/>
    <w:rsid w:val="00F07152"/>
    <w:rsid w:val="00F076E3"/>
    <w:rsid w:val="00F07FE1"/>
    <w:rsid w:val="00F10358"/>
    <w:rsid w:val="00F106AA"/>
    <w:rsid w:val="00F1104A"/>
    <w:rsid w:val="00F12400"/>
    <w:rsid w:val="00F12A7C"/>
    <w:rsid w:val="00F12F4C"/>
    <w:rsid w:val="00F1316A"/>
    <w:rsid w:val="00F14694"/>
    <w:rsid w:val="00F14A13"/>
    <w:rsid w:val="00F14C90"/>
    <w:rsid w:val="00F15A61"/>
    <w:rsid w:val="00F164DF"/>
    <w:rsid w:val="00F165E8"/>
    <w:rsid w:val="00F16A1D"/>
    <w:rsid w:val="00F2019F"/>
    <w:rsid w:val="00F201B6"/>
    <w:rsid w:val="00F20526"/>
    <w:rsid w:val="00F21C54"/>
    <w:rsid w:val="00F22133"/>
    <w:rsid w:val="00F224B4"/>
    <w:rsid w:val="00F23121"/>
    <w:rsid w:val="00F247F3"/>
    <w:rsid w:val="00F24BC5"/>
    <w:rsid w:val="00F24F37"/>
    <w:rsid w:val="00F24F8D"/>
    <w:rsid w:val="00F25973"/>
    <w:rsid w:val="00F25F32"/>
    <w:rsid w:val="00F26F89"/>
    <w:rsid w:val="00F275EC"/>
    <w:rsid w:val="00F301A1"/>
    <w:rsid w:val="00F306B2"/>
    <w:rsid w:val="00F30960"/>
    <w:rsid w:val="00F316C9"/>
    <w:rsid w:val="00F329DE"/>
    <w:rsid w:val="00F32B72"/>
    <w:rsid w:val="00F33A6E"/>
    <w:rsid w:val="00F33B46"/>
    <w:rsid w:val="00F34520"/>
    <w:rsid w:val="00F34F06"/>
    <w:rsid w:val="00F34F33"/>
    <w:rsid w:val="00F3514A"/>
    <w:rsid w:val="00F365D8"/>
    <w:rsid w:val="00F36A17"/>
    <w:rsid w:val="00F3767F"/>
    <w:rsid w:val="00F40B90"/>
    <w:rsid w:val="00F41C10"/>
    <w:rsid w:val="00F42E34"/>
    <w:rsid w:val="00F42FCA"/>
    <w:rsid w:val="00F433BC"/>
    <w:rsid w:val="00F43DE6"/>
    <w:rsid w:val="00F44285"/>
    <w:rsid w:val="00F46327"/>
    <w:rsid w:val="00F467A8"/>
    <w:rsid w:val="00F46905"/>
    <w:rsid w:val="00F46AAE"/>
    <w:rsid w:val="00F475F1"/>
    <w:rsid w:val="00F47745"/>
    <w:rsid w:val="00F47858"/>
    <w:rsid w:val="00F47D57"/>
    <w:rsid w:val="00F5044D"/>
    <w:rsid w:val="00F50557"/>
    <w:rsid w:val="00F5106E"/>
    <w:rsid w:val="00F51310"/>
    <w:rsid w:val="00F51600"/>
    <w:rsid w:val="00F51DA5"/>
    <w:rsid w:val="00F520A2"/>
    <w:rsid w:val="00F52223"/>
    <w:rsid w:val="00F52C39"/>
    <w:rsid w:val="00F5386D"/>
    <w:rsid w:val="00F54130"/>
    <w:rsid w:val="00F55377"/>
    <w:rsid w:val="00F554C7"/>
    <w:rsid w:val="00F55BEF"/>
    <w:rsid w:val="00F55EB3"/>
    <w:rsid w:val="00F56589"/>
    <w:rsid w:val="00F569BF"/>
    <w:rsid w:val="00F60121"/>
    <w:rsid w:val="00F61016"/>
    <w:rsid w:val="00F61217"/>
    <w:rsid w:val="00F61664"/>
    <w:rsid w:val="00F619D5"/>
    <w:rsid w:val="00F61C3F"/>
    <w:rsid w:val="00F61CA8"/>
    <w:rsid w:val="00F623A8"/>
    <w:rsid w:val="00F62CC7"/>
    <w:rsid w:val="00F63A08"/>
    <w:rsid w:val="00F63FB3"/>
    <w:rsid w:val="00F64112"/>
    <w:rsid w:val="00F64BEE"/>
    <w:rsid w:val="00F657B4"/>
    <w:rsid w:val="00F657EF"/>
    <w:rsid w:val="00F6590F"/>
    <w:rsid w:val="00F65B55"/>
    <w:rsid w:val="00F6656D"/>
    <w:rsid w:val="00F667E7"/>
    <w:rsid w:val="00F66CE7"/>
    <w:rsid w:val="00F66FCF"/>
    <w:rsid w:val="00F6739E"/>
    <w:rsid w:val="00F67504"/>
    <w:rsid w:val="00F67F51"/>
    <w:rsid w:val="00F67FED"/>
    <w:rsid w:val="00F70AC7"/>
    <w:rsid w:val="00F712AA"/>
    <w:rsid w:val="00F71A3C"/>
    <w:rsid w:val="00F71C2C"/>
    <w:rsid w:val="00F72336"/>
    <w:rsid w:val="00F72833"/>
    <w:rsid w:val="00F72B11"/>
    <w:rsid w:val="00F72C52"/>
    <w:rsid w:val="00F74DC4"/>
    <w:rsid w:val="00F7575A"/>
    <w:rsid w:val="00F757D4"/>
    <w:rsid w:val="00F77F0C"/>
    <w:rsid w:val="00F80923"/>
    <w:rsid w:val="00F81A79"/>
    <w:rsid w:val="00F81AC1"/>
    <w:rsid w:val="00F82BB9"/>
    <w:rsid w:val="00F83C05"/>
    <w:rsid w:val="00F849C8"/>
    <w:rsid w:val="00F854E3"/>
    <w:rsid w:val="00F85781"/>
    <w:rsid w:val="00F85A1D"/>
    <w:rsid w:val="00F86829"/>
    <w:rsid w:val="00F87677"/>
    <w:rsid w:val="00F90680"/>
    <w:rsid w:val="00F91671"/>
    <w:rsid w:val="00F929A3"/>
    <w:rsid w:val="00F9335C"/>
    <w:rsid w:val="00F94121"/>
    <w:rsid w:val="00F945A4"/>
    <w:rsid w:val="00F94616"/>
    <w:rsid w:val="00F95092"/>
    <w:rsid w:val="00F95EB9"/>
    <w:rsid w:val="00F95ED7"/>
    <w:rsid w:val="00F96CF4"/>
    <w:rsid w:val="00F9702C"/>
    <w:rsid w:val="00FA0079"/>
    <w:rsid w:val="00FA0156"/>
    <w:rsid w:val="00FA027E"/>
    <w:rsid w:val="00FA0738"/>
    <w:rsid w:val="00FA1051"/>
    <w:rsid w:val="00FA1764"/>
    <w:rsid w:val="00FA2321"/>
    <w:rsid w:val="00FA2827"/>
    <w:rsid w:val="00FA36C3"/>
    <w:rsid w:val="00FA3958"/>
    <w:rsid w:val="00FA3A68"/>
    <w:rsid w:val="00FA4002"/>
    <w:rsid w:val="00FA4940"/>
    <w:rsid w:val="00FA5C6E"/>
    <w:rsid w:val="00FA5EC2"/>
    <w:rsid w:val="00FA602F"/>
    <w:rsid w:val="00FA6849"/>
    <w:rsid w:val="00FA7723"/>
    <w:rsid w:val="00FB0481"/>
    <w:rsid w:val="00FB0A01"/>
    <w:rsid w:val="00FB1108"/>
    <w:rsid w:val="00FB1513"/>
    <w:rsid w:val="00FB1C96"/>
    <w:rsid w:val="00FB21C3"/>
    <w:rsid w:val="00FB277F"/>
    <w:rsid w:val="00FB2941"/>
    <w:rsid w:val="00FB3204"/>
    <w:rsid w:val="00FB5884"/>
    <w:rsid w:val="00FB5CAE"/>
    <w:rsid w:val="00FB610D"/>
    <w:rsid w:val="00FB728D"/>
    <w:rsid w:val="00FC1794"/>
    <w:rsid w:val="00FC37A5"/>
    <w:rsid w:val="00FC3E02"/>
    <w:rsid w:val="00FC3E36"/>
    <w:rsid w:val="00FC42CD"/>
    <w:rsid w:val="00FC4B79"/>
    <w:rsid w:val="00FC5150"/>
    <w:rsid w:val="00FC56CC"/>
    <w:rsid w:val="00FC5A36"/>
    <w:rsid w:val="00FC63DB"/>
    <w:rsid w:val="00FC691C"/>
    <w:rsid w:val="00FC7B37"/>
    <w:rsid w:val="00FC7DB8"/>
    <w:rsid w:val="00FD06AC"/>
    <w:rsid w:val="00FD146E"/>
    <w:rsid w:val="00FD1539"/>
    <w:rsid w:val="00FD17DB"/>
    <w:rsid w:val="00FD1B87"/>
    <w:rsid w:val="00FD1D83"/>
    <w:rsid w:val="00FD339C"/>
    <w:rsid w:val="00FD399F"/>
    <w:rsid w:val="00FD43FD"/>
    <w:rsid w:val="00FD460F"/>
    <w:rsid w:val="00FD49C0"/>
    <w:rsid w:val="00FD54BA"/>
    <w:rsid w:val="00FD5C03"/>
    <w:rsid w:val="00FD66B7"/>
    <w:rsid w:val="00FD6FCE"/>
    <w:rsid w:val="00FD7418"/>
    <w:rsid w:val="00FD7AC3"/>
    <w:rsid w:val="00FE02AD"/>
    <w:rsid w:val="00FE0B7F"/>
    <w:rsid w:val="00FE0E70"/>
    <w:rsid w:val="00FE10AB"/>
    <w:rsid w:val="00FE162C"/>
    <w:rsid w:val="00FE16D6"/>
    <w:rsid w:val="00FE171F"/>
    <w:rsid w:val="00FE1B95"/>
    <w:rsid w:val="00FE1D0D"/>
    <w:rsid w:val="00FE1E9A"/>
    <w:rsid w:val="00FE2443"/>
    <w:rsid w:val="00FE2CC4"/>
    <w:rsid w:val="00FE3354"/>
    <w:rsid w:val="00FE4BF4"/>
    <w:rsid w:val="00FE5BF0"/>
    <w:rsid w:val="00FE60B1"/>
    <w:rsid w:val="00FE7A71"/>
    <w:rsid w:val="00FF11F7"/>
    <w:rsid w:val="00FF15C8"/>
    <w:rsid w:val="00FF18D9"/>
    <w:rsid w:val="00FF21E4"/>
    <w:rsid w:val="00FF2331"/>
    <w:rsid w:val="00FF44CA"/>
    <w:rsid w:val="00FF4587"/>
    <w:rsid w:val="00FF4CCF"/>
    <w:rsid w:val="00FF4E6C"/>
    <w:rsid w:val="00FF5005"/>
    <w:rsid w:val="00FF629B"/>
    <w:rsid w:val="00FF6965"/>
    <w:rsid w:val="00FF6FF9"/>
    <w:rsid w:val="00FF7C1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98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C69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6984"/>
    <w:rPr>
      <w:rFonts w:ascii="Tahoma" w:hAnsi="Tahoma" w:cs="Tahoma"/>
      <w:sz w:val="16"/>
      <w:szCs w:val="16"/>
    </w:rPr>
  </w:style>
  <w:style w:type="paragraph" w:styleId="Paragraphedeliste">
    <w:name w:val="List Paragraph"/>
    <w:basedOn w:val="Normal"/>
    <w:uiPriority w:val="34"/>
    <w:qFormat/>
    <w:rsid w:val="009C6984"/>
    <w:pPr>
      <w:ind w:left="720"/>
      <w:contextualSpacing/>
    </w:pPr>
  </w:style>
  <w:style w:type="paragraph" w:customStyle="1" w:styleId="Default">
    <w:name w:val="Default"/>
    <w:rsid w:val="00756DF5"/>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CA3965"/>
    <w:pPr>
      <w:tabs>
        <w:tab w:val="center" w:pos="4536"/>
        <w:tab w:val="right" w:pos="9072"/>
      </w:tabs>
      <w:spacing w:after="0" w:line="240" w:lineRule="auto"/>
    </w:pPr>
  </w:style>
  <w:style w:type="character" w:customStyle="1" w:styleId="En-tteCar">
    <w:name w:val="En-tête Car"/>
    <w:basedOn w:val="Policepardfaut"/>
    <w:link w:val="En-tte"/>
    <w:uiPriority w:val="99"/>
    <w:rsid w:val="00CA3965"/>
  </w:style>
  <w:style w:type="paragraph" w:styleId="Pieddepage">
    <w:name w:val="footer"/>
    <w:basedOn w:val="Normal"/>
    <w:link w:val="PieddepageCar"/>
    <w:uiPriority w:val="99"/>
    <w:unhideWhenUsed/>
    <w:rsid w:val="00CA39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396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Ita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Neue-Roman">
    <w:altName w:val="Arial"/>
    <w:panose1 w:val="00000000000000000000"/>
    <w:charset w:val="00"/>
    <w:family w:val="swiss"/>
    <w:notTrueType/>
    <w:pitch w:val="default"/>
    <w:sig w:usb0="00000003" w:usb1="00000000" w:usb2="00000000" w:usb3="00000000" w:csb0="00000001" w:csb1="00000000"/>
  </w:font>
  <w:font w:name="Minion-Regular">
    <w:altName w:val="Times New Roman"/>
    <w:panose1 w:val="00000000000000000000"/>
    <w:charset w:val="00"/>
    <w:family w:val="roman"/>
    <w:notTrueType/>
    <w:pitch w:val="default"/>
    <w:sig w:usb0="00000003" w:usb1="00000000" w:usb2="00000000" w:usb3="00000000" w:csb0="00000001" w:csb1="00000000"/>
  </w:font>
  <w:font w:name="TimesNRMT">
    <w:altName w:val="Times New Roman"/>
    <w:panose1 w:val="00000000000000000000"/>
    <w:charset w:val="00"/>
    <w:family w:val="roman"/>
    <w:notTrueType/>
    <w:pitch w:val="default"/>
    <w:sig w:usb0="00000003" w:usb1="00000000" w:usb2="00000000" w:usb3="00000000" w:csb0="00000001" w:csb1="00000000"/>
  </w:font>
  <w:font w:name="MetaPlusBold-Roman">
    <w:altName w:val="Arial"/>
    <w:panose1 w:val="00000000000000000000"/>
    <w:charset w:val="00"/>
    <w:family w:val="swiss"/>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Neo-Symbol">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Monotype Corsiva">
    <w:panose1 w:val="03010101010201010101"/>
    <w:charset w:val="00"/>
    <w:family w:val="script"/>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80405"/>
    <w:rsid w:val="00191A2E"/>
    <w:rsid w:val="00193CA9"/>
    <w:rsid w:val="003A48EF"/>
    <w:rsid w:val="00D80405"/>
    <w:rsid w:val="00E15136"/>
    <w:rsid w:val="00F212B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A2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54EFCFE4AC2404BA58862A4F2498283">
    <w:name w:val="F54EFCFE4AC2404BA58862A4F2498283"/>
    <w:rsid w:val="00D80405"/>
  </w:style>
  <w:style w:type="paragraph" w:customStyle="1" w:styleId="6510576B34D645CDABAC132E206B12C0">
    <w:name w:val="6510576B34D645CDABAC132E206B12C0"/>
    <w:rsid w:val="00D80405"/>
  </w:style>
  <w:style w:type="paragraph" w:customStyle="1" w:styleId="195C557C3E394ED5998240D6C6C73B0A">
    <w:name w:val="195C557C3E394ED5998240D6C6C73B0A"/>
    <w:rsid w:val="00D80405"/>
  </w:style>
  <w:style w:type="paragraph" w:customStyle="1" w:styleId="C1C2897ED728478BA7494F63D855F02B">
    <w:name w:val="C1C2897ED728478BA7494F63D855F02B"/>
    <w:rsid w:val="00D80405"/>
  </w:style>
  <w:style w:type="paragraph" w:customStyle="1" w:styleId="4888CB2FF00B46D0BEDE099F000857AC">
    <w:name w:val="4888CB2FF00B46D0BEDE099F000857AC"/>
    <w:rsid w:val="00D8040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26644</TotalTime>
  <Pages>1</Pages>
  <Words>6803</Words>
  <Characters>37420</Characters>
  <Application>Microsoft Office Word</Application>
  <DocSecurity>0</DocSecurity>
  <Lines>311</Lines>
  <Paragraphs>88</Paragraphs>
  <ScaleCrop>false</ScaleCrop>
  <HeadingPairs>
    <vt:vector size="2" baseType="variant">
      <vt:variant>
        <vt:lpstr>Titre</vt:lpstr>
      </vt:variant>
      <vt:variant>
        <vt:i4>1</vt:i4>
      </vt:variant>
    </vt:vector>
  </HeadingPairs>
  <TitlesOfParts>
    <vt:vector size="1" baseType="lpstr">
      <vt:lpstr>Polycopié de communication et signalisation cellulaire  </vt:lpstr>
    </vt:vector>
  </TitlesOfParts>
  <Company>Dr.GHOUT.A</Company>
  <LinksUpToDate>false</LinksUpToDate>
  <CharactersWithSpaces>44135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Polycopié de communication et signalisation cellulaire</dc:title>
  <dc:creator>gina</dc:creator>
  <cp:lastModifiedBy>MicroTech</cp:lastModifiedBy>
  <cp:revision>94</cp:revision>
  <cp:lastPrinted>2023-05-03T13:06:00Z</cp:lastPrinted>
  <dcterms:created xsi:type="dcterms:W3CDTF">2023-02-15T19:25:00Z</dcterms:created>
  <dcterms:modified xsi:type="dcterms:W3CDTF">2024-11-14T21:42:00Z</dcterms:modified>
</cp:coreProperties>
</file>