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A4" w:rsidRDefault="005E40A4" w:rsidP="00023F0B">
      <w:pPr>
        <w:spacing w:before="100" w:beforeAutospacing="1" w:after="100" w:afterAutospacing="1" w:line="360" w:lineRule="auto"/>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t>II. Les récepteurs membranaires :</w:t>
      </w:r>
    </w:p>
    <w:p w:rsidR="00B93934" w:rsidRPr="00266988" w:rsidRDefault="005E40A4"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II.1. </w:t>
      </w:r>
      <w:r w:rsidR="00B93934" w:rsidRPr="00266988">
        <w:rPr>
          <w:rFonts w:asciiTheme="majorBidi" w:hAnsiTheme="majorBidi" w:cstheme="majorBidi"/>
          <w:b/>
          <w:bCs/>
          <w:sz w:val="24"/>
          <w:szCs w:val="24"/>
        </w:rPr>
        <w:t>Les récepteurs couplés aux protéines G(RCPG) :</w:t>
      </w:r>
    </w:p>
    <w:p w:rsidR="00B93934" w:rsidRPr="00266988" w:rsidRDefault="005D0F94"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II.1.1. </w:t>
      </w:r>
      <w:r w:rsidR="00B93934" w:rsidRPr="00266988">
        <w:rPr>
          <w:rFonts w:asciiTheme="majorBidi" w:hAnsiTheme="majorBidi" w:cstheme="majorBidi"/>
          <w:b/>
          <w:bCs/>
          <w:sz w:val="24"/>
          <w:szCs w:val="24"/>
        </w:rPr>
        <w:t>Définition :</w:t>
      </w:r>
    </w:p>
    <w:p w:rsidR="00BF682E" w:rsidRDefault="00B93934"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F27A83">
        <w:rPr>
          <w:rFonts w:asciiTheme="majorBidi" w:hAnsiTheme="majorBidi" w:cstheme="majorBidi"/>
          <w:sz w:val="24"/>
          <w:szCs w:val="24"/>
        </w:rPr>
        <w:t>Les récepteurs couples aux protéines G (RCPG), famille de protéines à sept hélices transmembranaires  réunis en faisceau, constitués d’acides aminés très hydrophobes et reliés par trois boucles externes et trois boucles cytoplasmiques, avec un domaine extracellulaire (ectodomaine N-terminal) et un domaine intracellulaire (endodomaine C-terminal).</w:t>
      </w:r>
      <w:r w:rsidRPr="0078359E">
        <w:rPr>
          <w:rFonts w:asciiTheme="majorBidi" w:hAnsiTheme="majorBidi" w:cstheme="majorBidi"/>
          <w:sz w:val="24"/>
          <w:szCs w:val="24"/>
        </w:rPr>
        <w:t xml:space="preserve">constituent la plus grande famille de récepteurs membranaires chez l’Homme. </w:t>
      </w:r>
    </w:p>
    <w:p w:rsidR="00BF682E" w:rsidRDefault="00B93934"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8359E">
        <w:rPr>
          <w:rFonts w:asciiTheme="majorBidi" w:hAnsiTheme="majorBidi" w:cstheme="majorBidi"/>
          <w:sz w:val="24"/>
          <w:szCs w:val="24"/>
        </w:rPr>
        <w:t>Ils sont ubiquitaires et contrôlent les principales fonctions de l’organisme tels que l’odorat, le gout, la vision, ainsi que la réponse cellulaire aux horm</w:t>
      </w:r>
      <w:r>
        <w:rPr>
          <w:rFonts w:asciiTheme="majorBidi" w:hAnsiTheme="majorBidi" w:cstheme="majorBidi"/>
          <w:sz w:val="24"/>
          <w:szCs w:val="24"/>
        </w:rPr>
        <w:t>ones et neurotransmetteurs</w:t>
      </w:r>
      <w:r w:rsidRPr="0078359E">
        <w:rPr>
          <w:rFonts w:asciiTheme="majorBidi" w:hAnsiTheme="majorBidi" w:cstheme="majorBidi"/>
          <w:sz w:val="24"/>
          <w:szCs w:val="24"/>
        </w:rPr>
        <w:t xml:space="preserve">. Il a été démontré qu’environ mille gènes codent ces récepteurs, ce qui représente environ 2% du génome humain, </w:t>
      </w:r>
      <w:r>
        <w:rPr>
          <w:rFonts w:asciiTheme="majorBidi" w:hAnsiTheme="majorBidi" w:cstheme="majorBidi"/>
          <w:sz w:val="24"/>
          <w:szCs w:val="24"/>
        </w:rPr>
        <w:t xml:space="preserve">à </w:t>
      </w:r>
      <w:r w:rsidRPr="0078359E">
        <w:rPr>
          <w:rFonts w:asciiTheme="majorBidi" w:hAnsiTheme="majorBidi" w:cstheme="majorBidi"/>
          <w:sz w:val="24"/>
          <w:szCs w:val="24"/>
        </w:rPr>
        <w:t xml:space="preserve"> ce</w:t>
      </w:r>
      <w:r w:rsidR="00BF682E">
        <w:rPr>
          <w:rFonts w:asciiTheme="majorBidi" w:hAnsiTheme="majorBidi" w:cstheme="majorBidi"/>
          <w:sz w:val="24"/>
          <w:szCs w:val="24"/>
        </w:rPr>
        <w:t>jour, plus de 800 RCPG ont été</w:t>
      </w:r>
      <w:r w:rsidRPr="0078359E">
        <w:rPr>
          <w:rFonts w:asciiTheme="majorBidi" w:hAnsiTheme="majorBidi" w:cstheme="majorBidi"/>
          <w:sz w:val="24"/>
          <w:szCs w:val="24"/>
        </w:rPr>
        <w:t xml:space="preserve"> identif</w:t>
      </w:r>
      <w:r w:rsidR="00BF682E">
        <w:rPr>
          <w:rFonts w:asciiTheme="majorBidi" w:hAnsiTheme="majorBidi" w:cstheme="majorBidi"/>
          <w:sz w:val="24"/>
          <w:szCs w:val="24"/>
        </w:rPr>
        <w:t>iés</w:t>
      </w:r>
      <w:r>
        <w:rPr>
          <w:rFonts w:asciiTheme="majorBidi" w:hAnsiTheme="majorBidi" w:cstheme="majorBidi"/>
          <w:sz w:val="24"/>
          <w:szCs w:val="24"/>
        </w:rPr>
        <w:t xml:space="preserve"> dans le gé</w:t>
      </w:r>
      <w:r w:rsidRPr="0078359E">
        <w:rPr>
          <w:rFonts w:asciiTheme="majorBidi" w:hAnsiTheme="majorBidi" w:cstheme="majorBidi"/>
          <w:sz w:val="24"/>
          <w:szCs w:val="24"/>
        </w:rPr>
        <w:t>nome humain.</w:t>
      </w:r>
    </w:p>
    <w:p w:rsidR="00BF682E" w:rsidRDefault="00B93934"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8359E">
        <w:rPr>
          <w:rFonts w:asciiTheme="majorBidi" w:hAnsiTheme="majorBidi" w:cstheme="majorBidi"/>
          <w:sz w:val="24"/>
          <w:szCs w:val="24"/>
        </w:rPr>
        <w:t xml:space="preserve"> Des signaux extracell</w:t>
      </w:r>
      <w:r>
        <w:rPr>
          <w:rFonts w:asciiTheme="majorBidi" w:hAnsiTheme="majorBidi" w:cstheme="majorBidi"/>
          <w:sz w:val="24"/>
          <w:szCs w:val="24"/>
        </w:rPr>
        <w:t>ulaires de nature chimique très diversifié</w:t>
      </w:r>
      <w:r w:rsidRPr="0078359E">
        <w:rPr>
          <w:rFonts w:asciiTheme="majorBidi" w:hAnsiTheme="majorBidi" w:cstheme="majorBidi"/>
          <w:sz w:val="24"/>
          <w:szCs w:val="24"/>
        </w:rPr>
        <w:t>e, telles que des hormones, des neurotransmetteurs, des lipides, des aminoacides, la lumière, des monoamines (adrénaline, sérotonine), des acides amines (acide glutamique), des glycoprotéines, des lipides, des nucléosides ou nucléotides (adénosine, ATP, …).</w:t>
      </w:r>
      <w:r>
        <w:rPr>
          <w:rFonts w:asciiTheme="majorBidi" w:hAnsiTheme="majorBidi" w:cstheme="majorBidi"/>
          <w:sz w:val="24"/>
          <w:szCs w:val="24"/>
        </w:rPr>
        <w:t>des ions, ciblent les récepteurs à</w:t>
      </w:r>
      <w:r w:rsidRPr="0078359E">
        <w:rPr>
          <w:rFonts w:asciiTheme="majorBidi" w:hAnsiTheme="majorBidi" w:cstheme="majorBidi"/>
          <w:sz w:val="24"/>
          <w:szCs w:val="24"/>
        </w:rPr>
        <w:t xml:space="preserve"> sept domaines transm</w:t>
      </w:r>
      <w:r>
        <w:rPr>
          <w:rFonts w:asciiTheme="majorBidi" w:hAnsiTheme="majorBidi" w:cstheme="majorBidi"/>
          <w:sz w:val="24"/>
          <w:szCs w:val="24"/>
        </w:rPr>
        <w:t>embranaires couplés aux proté</w:t>
      </w:r>
      <w:r w:rsidRPr="0078359E">
        <w:rPr>
          <w:rFonts w:asciiTheme="majorBidi" w:hAnsiTheme="majorBidi" w:cstheme="majorBidi"/>
          <w:sz w:val="24"/>
          <w:szCs w:val="24"/>
        </w:rPr>
        <w:t>ines G (RCPG</w:t>
      </w:r>
      <w:r w:rsidRPr="0078359E">
        <w:rPr>
          <w:rFonts w:asciiTheme="majorBidi" w:hAnsiTheme="majorBidi" w:cstheme="majorBidi"/>
          <w:b/>
          <w:bCs/>
          <w:sz w:val="24"/>
          <w:szCs w:val="24"/>
        </w:rPr>
        <w:t>).</w:t>
      </w:r>
      <w:r w:rsidRPr="0078359E">
        <w:rPr>
          <w:rFonts w:asciiTheme="majorBidi" w:hAnsiTheme="majorBidi" w:cstheme="majorBidi"/>
          <w:sz w:val="24"/>
          <w:szCs w:val="24"/>
        </w:rPr>
        <w:t xml:space="preserve"> Cela aboutit a de multiples voies de signalisation qui sont autant de cibles </w:t>
      </w:r>
      <w:r w:rsidR="00BF682E" w:rsidRPr="0078359E">
        <w:rPr>
          <w:rFonts w:asciiTheme="majorBidi" w:hAnsiTheme="majorBidi" w:cstheme="majorBidi"/>
          <w:sz w:val="24"/>
          <w:szCs w:val="24"/>
        </w:rPr>
        <w:t>thérapeutiques</w:t>
      </w:r>
      <w:r w:rsidRPr="0078359E">
        <w:rPr>
          <w:rFonts w:asciiTheme="majorBidi" w:hAnsiTheme="majorBidi" w:cstheme="majorBidi"/>
          <w:sz w:val="24"/>
          <w:szCs w:val="24"/>
        </w:rPr>
        <w:t xml:space="preserve"> dans divers domaines (cancer, maladies cardiovasculaires et du système nerveux, diabète, obésité, inflammation, …). </w:t>
      </w:r>
    </w:p>
    <w:p w:rsidR="00B93934" w:rsidRPr="00022C20" w:rsidRDefault="00B93934" w:rsidP="00023F0B">
      <w:pPr>
        <w:autoSpaceDE w:val="0"/>
        <w:autoSpaceDN w:val="0"/>
        <w:adjustRightInd w:val="0"/>
        <w:spacing w:before="100" w:beforeAutospacing="1" w:after="100" w:afterAutospacing="1" w:line="360" w:lineRule="auto"/>
        <w:jc w:val="both"/>
        <w:rPr>
          <w:rFonts w:ascii="Times-Roman" w:hAnsi="Times-Roman" w:cs="Times-Roman"/>
          <w:sz w:val="20"/>
          <w:szCs w:val="20"/>
        </w:rPr>
      </w:pPr>
      <w:r w:rsidRPr="0078359E">
        <w:rPr>
          <w:rFonts w:asciiTheme="majorBidi" w:hAnsiTheme="majorBidi" w:cstheme="majorBidi"/>
          <w:sz w:val="24"/>
          <w:szCs w:val="24"/>
        </w:rPr>
        <w:t>La transmission de la ma</w:t>
      </w:r>
      <w:r w:rsidR="00BF682E">
        <w:rPr>
          <w:rFonts w:asciiTheme="majorBidi" w:hAnsiTheme="majorBidi" w:cstheme="majorBidi"/>
          <w:sz w:val="24"/>
          <w:szCs w:val="24"/>
        </w:rPr>
        <w:t>jorité des signaux cellulaires à</w:t>
      </w:r>
      <w:r w:rsidRPr="0078359E">
        <w:rPr>
          <w:rFonts w:asciiTheme="majorBidi" w:hAnsiTheme="majorBidi" w:cstheme="majorBidi"/>
          <w:sz w:val="24"/>
          <w:szCs w:val="24"/>
        </w:rPr>
        <w:t xml:space="preserve"> travers la membrane plasmique se fait par l’intermédiaire des RCPG</w:t>
      </w:r>
      <w:r w:rsidRPr="00022C20">
        <w:rPr>
          <w:rFonts w:asciiTheme="majorBidi" w:hAnsiTheme="majorBidi" w:cstheme="majorBidi"/>
          <w:b/>
          <w:bCs/>
          <w:sz w:val="24"/>
          <w:szCs w:val="24"/>
        </w:rPr>
        <w:t>.</w:t>
      </w:r>
      <w:r w:rsidRPr="0078359E">
        <w:rPr>
          <w:rFonts w:asciiTheme="majorBidi" w:hAnsiTheme="majorBidi" w:cstheme="majorBidi"/>
          <w:sz w:val="24"/>
          <w:szCs w:val="24"/>
        </w:rPr>
        <w:t xml:space="preserve"> Ainsi, toute perturbation dans leur fonctionnement peut conduire a des pathologies comme l’allergie, l’hypertension artérielle, la maladie d’Alzheimer ou encore la schizophrenie . De nombreux médicaments sont agonistes ou antagonistes des RCPG qui représentent la cible d’environ 50% d’entre eux </w:t>
      </w:r>
    </w:p>
    <w:p w:rsidR="00CF2F99" w:rsidRPr="0078359E" w:rsidRDefault="00B93934" w:rsidP="0012748C">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8359E">
        <w:rPr>
          <w:rFonts w:asciiTheme="majorBidi" w:hAnsiTheme="majorBidi" w:cstheme="majorBidi"/>
          <w:sz w:val="24"/>
          <w:szCs w:val="24"/>
        </w:rPr>
        <w:t xml:space="preserve"> Ces récepteurs ont une structure tridimensionnelle flexible, qui oscille d’une façon dynamique entre des conformations in</w:t>
      </w:r>
      <w:r w:rsidR="00BF682E">
        <w:rPr>
          <w:rFonts w:asciiTheme="majorBidi" w:hAnsiTheme="majorBidi" w:cstheme="majorBidi"/>
          <w:sz w:val="24"/>
          <w:szCs w:val="24"/>
        </w:rPr>
        <w:t>actives et actives, stabilisées</w:t>
      </w:r>
      <w:r w:rsidRPr="0078359E">
        <w:rPr>
          <w:rFonts w:asciiTheme="majorBidi" w:hAnsiTheme="majorBidi" w:cstheme="majorBidi"/>
          <w:sz w:val="24"/>
          <w:szCs w:val="24"/>
        </w:rPr>
        <w:t xml:space="preserve"> par le ligand spécifique et par le couplage aux protéines de transduction du signal</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lastRenderedPageBreak/>
        <w:t xml:space="preserve">Le système </w:t>
      </w:r>
      <w:r w:rsidRPr="00BF682E">
        <w:rPr>
          <w:rFonts w:asciiTheme="majorBidi" w:hAnsiTheme="majorBidi" w:cstheme="majorBidi"/>
          <w:b/>
          <w:bCs/>
          <w:sz w:val="24"/>
          <w:szCs w:val="24"/>
        </w:rPr>
        <w:t xml:space="preserve">RCPG </w:t>
      </w:r>
      <w:r w:rsidRPr="00BF682E">
        <w:rPr>
          <w:rFonts w:asciiTheme="majorBidi" w:hAnsiTheme="majorBidi" w:cstheme="majorBidi"/>
          <w:sz w:val="24"/>
          <w:szCs w:val="24"/>
        </w:rPr>
        <w:t>concerne une séquence de transduction d'un message porté par unemolécule-signal « premier messager » à l’extérieur de la cellule, vers le milieu intracellulaire. Il</w:t>
      </w:r>
      <w:r w:rsidR="005E40A4" w:rsidRPr="00BF682E">
        <w:rPr>
          <w:rFonts w:asciiTheme="majorBidi" w:hAnsiTheme="majorBidi" w:cstheme="majorBidi"/>
          <w:sz w:val="24"/>
          <w:szCs w:val="24"/>
        </w:rPr>
        <w:t xml:space="preserve"> comprend </w:t>
      </w:r>
      <w:r w:rsidRPr="00BF682E">
        <w:rPr>
          <w:rFonts w:asciiTheme="majorBidi" w:hAnsiTheme="majorBidi" w:cstheme="majorBidi"/>
          <w:sz w:val="24"/>
          <w:szCs w:val="24"/>
        </w:rPr>
        <w:t>:</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1) la liaison du ligand (molécule-signal) à son récepteur spécifique ;</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2) l'activation d'une protéine G ;</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3) l'activation d'un système enzymatique effecteur impliqué dans la production de « seconds</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messagers ». Ces seconds messagers vont induire des effets physiologiques par l'intermédiaire</w:t>
      </w:r>
    </w:p>
    <w:p w:rsidR="00CF2F99" w:rsidRPr="00BF682E" w:rsidRDefault="00CF2F99"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d'une modulation de l'activité de différentes protéines surtout de type kinasique, mais égalementde canaux ioniques et des GEF (Facteurs d'éch</w:t>
      </w:r>
      <w:r w:rsidR="00BF682E">
        <w:rPr>
          <w:rFonts w:asciiTheme="majorBidi" w:hAnsiTheme="majorBidi" w:cstheme="majorBidi"/>
          <w:sz w:val="24"/>
          <w:szCs w:val="24"/>
        </w:rPr>
        <w:t xml:space="preserve">ange guanilique </w:t>
      </w:r>
      <w:r w:rsidRPr="00BF682E">
        <w:rPr>
          <w:rFonts w:asciiTheme="majorBidi" w:hAnsiTheme="majorBidi" w:cstheme="majorBidi"/>
          <w:sz w:val="24"/>
          <w:szCs w:val="24"/>
        </w:rPr>
        <w:t>).</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Les récepteurs du système RCPG constituent la famille la plus nombreuse des récepteurs</w:t>
      </w:r>
    </w:p>
    <w:p w:rsidR="00CF2F99" w:rsidRPr="00BF682E" w:rsidRDefault="0012748C"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m</w:t>
      </w:r>
      <w:r w:rsidR="00CF2F99" w:rsidRPr="00BF682E">
        <w:rPr>
          <w:rFonts w:asciiTheme="majorBidi" w:hAnsiTheme="majorBidi" w:cstheme="majorBidi"/>
          <w:sz w:val="24"/>
          <w:szCs w:val="24"/>
        </w:rPr>
        <w:t>embranaires. Les ligands de plus de 200 récepteurs couplés aux protéines G sont connus</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actuellement. Mais le nombre de sous-types de ces récepteurs dépasse le millier si l'on tient</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compte des récepteurs sensoriels gustatifs et surtout olfactifs qui constituent une famille à part deRCPG. Ce chiffre représente environ 1-2 % de l'ensemble des gènes du génome des mammifères.</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Les RCPG présentent tous des caractéristiques structurales</w:t>
      </w:r>
      <w:r w:rsidR="00BF682E" w:rsidRPr="00BF682E">
        <w:rPr>
          <w:rFonts w:asciiTheme="majorBidi" w:hAnsiTheme="majorBidi" w:cstheme="majorBidi"/>
          <w:sz w:val="24"/>
          <w:szCs w:val="24"/>
        </w:rPr>
        <w:t xml:space="preserve"> fondamentales communes</w:t>
      </w:r>
      <w:r w:rsidRPr="00BF682E">
        <w:rPr>
          <w:rFonts w:asciiTheme="majorBidi" w:hAnsiTheme="majorBidi" w:cstheme="majorBidi"/>
          <w:sz w:val="24"/>
          <w:szCs w:val="24"/>
        </w:rPr>
        <w:t>.Ils sont tous constitués d'une seule chaîne polypeptidique possédant 7 segments</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transmembranaires en hélice . L'extrémité N-terminale est localisée dans le milieu</w:t>
      </w:r>
    </w:p>
    <w:p w:rsidR="00CF2F99" w:rsidRPr="00BF682E" w:rsidRDefault="00CF2F99"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extracellulaire. L'extrémité C-terminale est cytoplasmique.</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Le rôle des RCPG est triple :</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1) ils fixent spécifiquement une molécule-signal donnée ;</w:t>
      </w:r>
    </w:p>
    <w:p w:rsidR="00CF2F99" w:rsidRPr="00BF682E"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t>2) ils transmettent le signal au sein de la membrane ;</w:t>
      </w:r>
    </w:p>
    <w:p w:rsidR="00B93934" w:rsidRPr="009A3DF3" w:rsidRDefault="00CF2F99"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BF682E">
        <w:rPr>
          <w:rFonts w:asciiTheme="majorBidi" w:hAnsiTheme="majorBidi" w:cstheme="majorBidi"/>
          <w:sz w:val="24"/>
          <w:szCs w:val="24"/>
        </w:rPr>
        <w:lastRenderedPageBreak/>
        <w:t>3) ils interagissent avec des protéines G permettant ainsi la sollicitation de systèmeseffecteurs.</w:t>
      </w:r>
    </w:p>
    <w:p w:rsidR="00B93934" w:rsidRPr="00266988" w:rsidRDefault="003833DD" w:rsidP="00023F0B">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w:t>
      </w:r>
      <w:r w:rsidR="005D0F94">
        <w:rPr>
          <w:rFonts w:asciiTheme="majorBidi" w:hAnsiTheme="majorBidi" w:cstheme="majorBidi"/>
          <w:b/>
          <w:bCs/>
          <w:sz w:val="24"/>
          <w:szCs w:val="24"/>
        </w:rPr>
        <w:t>1.</w:t>
      </w:r>
      <w:r w:rsidR="00B93934" w:rsidRPr="00266988">
        <w:rPr>
          <w:rFonts w:asciiTheme="majorBidi" w:hAnsiTheme="majorBidi" w:cstheme="majorBidi"/>
          <w:b/>
          <w:bCs/>
          <w:sz w:val="24"/>
          <w:szCs w:val="24"/>
        </w:rPr>
        <w:t>2. Structure</w:t>
      </w:r>
    </w:p>
    <w:p w:rsidR="003833DD" w:rsidRPr="00F6361A" w:rsidRDefault="00B93934" w:rsidP="00F6361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35A38">
        <w:rPr>
          <w:rFonts w:asciiTheme="majorBidi" w:hAnsiTheme="majorBidi" w:cstheme="majorBidi"/>
          <w:sz w:val="24"/>
          <w:szCs w:val="24"/>
        </w:rPr>
        <w:t>Tous les RCPG possèdent une structure générale identique, malgré une faible homologie de séquence. Ils sont composés d’une région N-terminale extracellulaire qui peut faire l’objet de modifications post-traductionnelles de type N-glycosylation, de sept domaines (hélices alpha) transmembranaires (TM 1 a 7) lies par 3 boucles extracellulaires (E1, E2 et E3) et 3 boucles intracellulaires (I1, I2 et I3) Les extrémités N-terminale et C-terminale se situent respectivement du côté extracellulaire et intracellulaire, la région C</w:t>
      </w:r>
      <w:r w:rsidR="00BF682E">
        <w:rPr>
          <w:rFonts w:asciiTheme="majorBidi" w:hAnsiTheme="majorBidi" w:cstheme="majorBidi"/>
          <w:sz w:val="24"/>
          <w:szCs w:val="24"/>
        </w:rPr>
        <w:t xml:space="preserve">-terminale intracellulaire </w:t>
      </w:r>
      <w:r w:rsidRPr="00E35A38">
        <w:rPr>
          <w:rFonts w:asciiTheme="majorBidi" w:hAnsiTheme="majorBidi" w:cstheme="majorBidi"/>
          <w:sz w:val="24"/>
          <w:szCs w:val="24"/>
        </w:rPr>
        <w:t xml:space="preserve"> peut être phosphorylée sur différents résidus par la kinase A, la protéine kinase C ou les GRK (G-protein-receptor kinase), L’extrémité N-terminale constitue la région le plus variable,</w:t>
      </w:r>
      <w:r w:rsidR="00BF682E">
        <w:rPr>
          <w:rFonts w:asciiTheme="majorBidi" w:hAnsiTheme="majorBidi" w:cstheme="majorBidi"/>
          <w:sz w:val="24"/>
          <w:szCs w:val="24"/>
        </w:rPr>
        <w:t xml:space="preserve"> pouvant être constituée de 7 acide aminé</w:t>
      </w:r>
      <w:r w:rsidRPr="00E35A38">
        <w:rPr>
          <w:rFonts w:asciiTheme="majorBidi" w:hAnsiTheme="majorBidi" w:cstheme="majorBidi"/>
          <w:sz w:val="24"/>
          <w:szCs w:val="24"/>
        </w:rPr>
        <w:t xml:space="preserve"> comme dans le cas du récepteur A2</w:t>
      </w:r>
      <w:r w:rsidR="003833DD">
        <w:rPr>
          <w:rFonts w:asciiTheme="majorBidi" w:hAnsiTheme="majorBidi" w:cstheme="majorBidi"/>
          <w:sz w:val="24"/>
          <w:szCs w:val="24"/>
        </w:rPr>
        <w:t xml:space="preserve"> de l’adénosine comme de 5900 acide aminé</w:t>
      </w:r>
      <w:r w:rsidRPr="00E35A38">
        <w:rPr>
          <w:rFonts w:asciiTheme="majorBidi" w:hAnsiTheme="majorBidi" w:cstheme="majorBidi"/>
          <w:sz w:val="24"/>
          <w:szCs w:val="24"/>
        </w:rPr>
        <w:t xml:space="preserve"> dans le cas du VLGR (Very Large G-protein coupled Receptor). Ces variations de taille importantes dans la longueur des extrémités N-terminale et des boucles constituent un des critères permettant de caractériser le</w:t>
      </w:r>
      <w:r w:rsidR="00F6361A">
        <w:rPr>
          <w:rFonts w:asciiTheme="majorBidi" w:hAnsiTheme="majorBidi" w:cstheme="majorBidi"/>
          <w:sz w:val="24"/>
          <w:szCs w:val="24"/>
        </w:rPr>
        <w:t>s différentes familles de RCPG.</w:t>
      </w:r>
    </w:p>
    <w:p w:rsidR="00B93934" w:rsidRPr="00D517C1" w:rsidRDefault="00B93934" w:rsidP="00D517C1">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2110805"/>
            <wp:effectExtent l="19050" t="19050" r="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760720" cy="2110805"/>
                    </a:xfrm>
                    <a:prstGeom prst="rect">
                      <a:avLst/>
                    </a:prstGeom>
                    <a:noFill/>
                    <a:ln w="9525">
                      <a:solidFill>
                        <a:schemeClr val="tx1"/>
                      </a:solidFill>
                      <a:miter lim="800000"/>
                      <a:headEnd/>
                      <a:tailEnd/>
                    </a:ln>
                  </pic:spPr>
                </pic:pic>
              </a:graphicData>
            </a:graphic>
          </wp:inline>
        </w:drawing>
      </w:r>
    </w:p>
    <w:p w:rsidR="00B93934" w:rsidRPr="00266988" w:rsidRDefault="003833DD" w:rsidP="00023F0B">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 09</w:t>
      </w:r>
      <w:r w:rsidR="00B93934" w:rsidRPr="00266988">
        <w:rPr>
          <w:rFonts w:asciiTheme="majorBidi" w:hAnsiTheme="majorBidi" w:cstheme="majorBidi"/>
          <w:b/>
          <w:bCs/>
          <w:sz w:val="24"/>
          <w:szCs w:val="24"/>
        </w:rPr>
        <w:t> :</w:t>
      </w:r>
      <w:r w:rsidR="00B93934">
        <w:rPr>
          <w:rFonts w:asciiTheme="majorBidi" w:hAnsiTheme="majorBidi" w:cstheme="majorBidi"/>
          <w:sz w:val="24"/>
          <w:szCs w:val="24"/>
        </w:rPr>
        <w:t xml:space="preserve">Structure générale des RCPG </w:t>
      </w:r>
      <w:r w:rsidR="00B93934" w:rsidRPr="00266988">
        <w:rPr>
          <w:rFonts w:asciiTheme="majorBidi" w:hAnsiTheme="majorBidi" w:cstheme="majorBidi"/>
          <w:sz w:val="24"/>
          <w:szCs w:val="24"/>
        </w:rPr>
        <w:t xml:space="preserve"> (</w:t>
      </w:r>
      <w:r w:rsidR="00B93934" w:rsidRPr="00266988">
        <w:rPr>
          <w:rFonts w:asciiTheme="majorBidi" w:hAnsiTheme="majorBidi" w:cstheme="majorBidi"/>
          <w:b/>
          <w:bCs/>
          <w:sz w:val="24"/>
          <w:szCs w:val="24"/>
        </w:rPr>
        <w:t>Déséchaliers, 2016)</w:t>
      </w:r>
    </w:p>
    <w:p w:rsidR="00D517C1" w:rsidRDefault="00D517C1" w:rsidP="00023F0B">
      <w:pPr>
        <w:spacing w:before="100" w:beforeAutospacing="1" w:after="100" w:afterAutospacing="1" w:line="360" w:lineRule="auto"/>
        <w:rPr>
          <w:rFonts w:asciiTheme="majorBidi" w:hAnsiTheme="majorBidi" w:cstheme="majorBidi"/>
          <w:b/>
          <w:bCs/>
          <w:sz w:val="24"/>
          <w:szCs w:val="24"/>
        </w:rPr>
      </w:pPr>
    </w:p>
    <w:p w:rsidR="00F6361A" w:rsidRDefault="00F6361A" w:rsidP="00023F0B">
      <w:pPr>
        <w:spacing w:before="100" w:beforeAutospacing="1" w:after="100" w:afterAutospacing="1" w:line="360" w:lineRule="auto"/>
        <w:rPr>
          <w:rFonts w:asciiTheme="majorBidi" w:hAnsiTheme="majorBidi" w:cstheme="majorBidi"/>
          <w:b/>
          <w:bCs/>
          <w:sz w:val="24"/>
          <w:szCs w:val="24"/>
        </w:rPr>
      </w:pPr>
    </w:p>
    <w:p w:rsidR="00F6361A" w:rsidRDefault="00F6361A" w:rsidP="00023F0B">
      <w:pPr>
        <w:spacing w:before="100" w:beforeAutospacing="1" w:after="100" w:afterAutospacing="1" w:line="360" w:lineRule="auto"/>
        <w:rPr>
          <w:rFonts w:asciiTheme="majorBidi" w:hAnsiTheme="majorBidi" w:cstheme="majorBidi"/>
          <w:b/>
          <w:bCs/>
          <w:sz w:val="24"/>
          <w:szCs w:val="24"/>
        </w:rPr>
      </w:pPr>
    </w:p>
    <w:p w:rsidR="00B93934" w:rsidRPr="0011701C" w:rsidRDefault="003833DD"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lastRenderedPageBreak/>
        <w:t>II.</w:t>
      </w:r>
      <w:r w:rsidR="005D0F94">
        <w:rPr>
          <w:rFonts w:asciiTheme="majorBidi" w:hAnsiTheme="majorBidi" w:cstheme="majorBidi"/>
          <w:b/>
          <w:bCs/>
          <w:sz w:val="24"/>
          <w:szCs w:val="24"/>
        </w:rPr>
        <w:t>1.</w:t>
      </w:r>
      <w:r>
        <w:rPr>
          <w:rFonts w:asciiTheme="majorBidi" w:hAnsiTheme="majorBidi" w:cstheme="majorBidi"/>
          <w:b/>
          <w:bCs/>
          <w:sz w:val="24"/>
          <w:szCs w:val="24"/>
        </w:rPr>
        <w:t xml:space="preserve">3. </w:t>
      </w:r>
      <w:r w:rsidR="00B93934" w:rsidRPr="0011701C">
        <w:rPr>
          <w:rFonts w:asciiTheme="majorBidi" w:hAnsiTheme="majorBidi" w:cstheme="majorBidi"/>
          <w:b/>
          <w:bCs/>
          <w:sz w:val="24"/>
          <w:szCs w:val="24"/>
        </w:rPr>
        <w:t>Classification</w:t>
      </w:r>
    </w:p>
    <w:p w:rsidR="00B93934" w:rsidRPr="0011701C" w:rsidRDefault="00B93934" w:rsidP="00023F0B">
      <w:pPr>
        <w:spacing w:before="100" w:beforeAutospacing="1" w:after="100" w:afterAutospacing="1" w:line="360" w:lineRule="auto"/>
        <w:ind w:firstLine="708"/>
        <w:jc w:val="both"/>
        <w:rPr>
          <w:rFonts w:asciiTheme="majorBidi" w:hAnsiTheme="majorBidi" w:cstheme="majorBidi"/>
          <w:sz w:val="24"/>
          <w:szCs w:val="24"/>
        </w:rPr>
      </w:pPr>
      <w:r w:rsidRPr="0011701C">
        <w:rPr>
          <w:rFonts w:asciiTheme="majorBidi" w:hAnsiTheme="majorBidi" w:cstheme="majorBidi"/>
          <w:sz w:val="24"/>
          <w:szCs w:val="24"/>
        </w:rPr>
        <w:t>De nombreux systèmes de classification des RCPG ont été proposés. Ils répartissent les récepteurs en sous-groupes ou familles en se basant sur des critères variés tels que le mode de liaison du ligand, la structure, la phylogénie ou encore la composition en aa</w:t>
      </w:r>
      <w:r>
        <w:rPr>
          <w:rFonts w:asciiTheme="majorBidi" w:hAnsiTheme="majorBidi" w:cstheme="majorBidi"/>
          <w:sz w:val="24"/>
          <w:szCs w:val="24"/>
        </w:rPr>
        <w:t>.</w:t>
      </w:r>
    </w:p>
    <w:p w:rsidR="00B93934" w:rsidRDefault="00B93934" w:rsidP="00023F0B">
      <w:pPr>
        <w:spacing w:before="100" w:beforeAutospacing="1" w:after="100" w:afterAutospacing="1" w:line="360" w:lineRule="auto"/>
        <w:ind w:firstLine="708"/>
        <w:jc w:val="both"/>
        <w:rPr>
          <w:rFonts w:asciiTheme="majorBidi" w:hAnsiTheme="majorBidi" w:cstheme="majorBidi"/>
          <w:sz w:val="24"/>
          <w:szCs w:val="24"/>
        </w:rPr>
      </w:pPr>
      <w:r w:rsidRPr="0011701C">
        <w:rPr>
          <w:rFonts w:asciiTheme="majorBidi" w:hAnsiTheme="majorBidi" w:cstheme="majorBidi"/>
          <w:sz w:val="24"/>
          <w:szCs w:val="24"/>
        </w:rPr>
        <w:t xml:space="preserve">La classification la plus répandue est celle établie par Kolakowski en 1994,  qui attribue une lettre à chaque famille de RCPG </w:t>
      </w:r>
    </w:p>
    <w:p w:rsidR="00B93934" w:rsidRPr="00A16D10" w:rsidRDefault="00B93934" w:rsidP="00023F0B">
      <w:pPr>
        <w:spacing w:before="100" w:beforeAutospacing="1" w:after="100" w:afterAutospacing="1" w:line="360" w:lineRule="auto"/>
        <w:ind w:firstLine="708"/>
        <w:jc w:val="both"/>
        <w:rPr>
          <w:b/>
          <w:bCs/>
        </w:rPr>
      </w:pPr>
      <w:r>
        <w:t xml:space="preserve">1 – La famille </w:t>
      </w:r>
      <w:r w:rsidRPr="00A16D10">
        <w:rPr>
          <w:b/>
          <w:bCs/>
        </w:rPr>
        <w:t>A : « Rhodopsin like »</w:t>
      </w:r>
    </w:p>
    <w:p w:rsidR="00B93934" w:rsidRDefault="00B93934" w:rsidP="00023F0B">
      <w:pPr>
        <w:spacing w:before="100" w:beforeAutospacing="1" w:after="100" w:afterAutospacing="1" w:line="360" w:lineRule="auto"/>
        <w:ind w:firstLine="708"/>
        <w:jc w:val="both"/>
      </w:pPr>
      <w:r>
        <w:t xml:space="preserve">2 – La famille </w:t>
      </w:r>
      <w:r w:rsidRPr="00A16D10">
        <w:rPr>
          <w:b/>
          <w:bCs/>
        </w:rPr>
        <w:t>B: « Secretin like »</w:t>
      </w:r>
    </w:p>
    <w:p w:rsidR="00B93934" w:rsidRDefault="00B93934" w:rsidP="00023F0B">
      <w:pPr>
        <w:spacing w:before="100" w:beforeAutospacing="1" w:after="100" w:afterAutospacing="1" w:line="360" w:lineRule="auto"/>
        <w:ind w:firstLine="708"/>
        <w:jc w:val="both"/>
      </w:pPr>
      <w:r>
        <w:t xml:space="preserve">3 – La famille </w:t>
      </w:r>
      <w:r w:rsidRPr="00A16D10">
        <w:rPr>
          <w:b/>
          <w:bCs/>
        </w:rPr>
        <w:t>C: « Metabotrope-glutamate/pheromone»</w:t>
      </w:r>
    </w:p>
    <w:p w:rsidR="00B93934" w:rsidRPr="00A16D10" w:rsidRDefault="00B93934" w:rsidP="00023F0B">
      <w:pPr>
        <w:spacing w:before="100" w:beforeAutospacing="1" w:after="100" w:afterAutospacing="1" w:line="360" w:lineRule="auto"/>
        <w:ind w:firstLine="708"/>
        <w:jc w:val="both"/>
      </w:pPr>
      <w:r>
        <w:t xml:space="preserve">4 – La famille </w:t>
      </w:r>
      <w:r w:rsidRPr="00A16D10">
        <w:rPr>
          <w:b/>
          <w:bCs/>
        </w:rPr>
        <w:t>D : «</w:t>
      </w:r>
      <w:r w:rsidRPr="00A16D10">
        <w:rPr>
          <w:rFonts w:asciiTheme="majorBidi" w:hAnsiTheme="majorBidi" w:cstheme="majorBidi"/>
          <w:b/>
          <w:bCs/>
          <w:sz w:val="24"/>
          <w:szCs w:val="24"/>
        </w:rPr>
        <w:t>fungal pheromone</w:t>
      </w:r>
      <w:r w:rsidRPr="00A16D10">
        <w:rPr>
          <w:b/>
          <w:bCs/>
        </w:rPr>
        <w:t>»</w:t>
      </w:r>
    </w:p>
    <w:p w:rsidR="00B93934" w:rsidRPr="00A16D10" w:rsidRDefault="00B93934" w:rsidP="00023F0B">
      <w:pPr>
        <w:spacing w:before="100" w:beforeAutospacing="1" w:after="100" w:afterAutospacing="1" w:line="360" w:lineRule="auto"/>
        <w:ind w:firstLine="708"/>
        <w:jc w:val="both"/>
        <w:rPr>
          <w:b/>
          <w:bCs/>
        </w:rPr>
      </w:pPr>
      <w:r>
        <w:rPr>
          <w:rFonts w:asciiTheme="majorBidi" w:hAnsiTheme="majorBidi" w:cstheme="majorBidi"/>
          <w:sz w:val="24"/>
          <w:szCs w:val="24"/>
        </w:rPr>
        <w:t xml:space="preserve">5- La famille </w:t>
      </w:r>
      <w:r w:rsidRPr="00A16D10">
        <w:rPr>
          <w:rFonts w:asciiTheme="majorBidi" w:hAnsiTheme="majorBidi" w:cstheme="majorBidi"/>
          <w:b/>
          <w:bCs/>
          <w:sz w:val="24"/>
          <w:szCs w:val="24"/>
        </w:rPr>
        <w:t>E :</w:t>
      </w:r>
      <w:r w:rsidRPr="00A16D10">
        <w:rPr>
          <w:b/>
          <w:bCs/>
        </w:rPr>
        <w:t xml:space="preserve"> «</w:t>
      </w:r>
      <w:r w:rsidRPr="00A16D10">
        <w:rPr>
          <w:rFonts w:asciiTheme="majorBidi" w:hAnsiTheme="majorBidi" w:cstheme="majorBidi"/>
          <w:b/>
          <w:bCs/>
          <w:sz w:val="24"/>
          <w:szCs w:val="24"/>
        </w:rPr>
        <w:t xml:space="preserve"> AMP cyclique</w:t>
      </w:r>
      <w:r w:rsidRPr="00A16D10">
        <w:rPr>
          <w:b/>
          <w:bCs/>
        </w:rPr>
        <w:t>»</w:t>
      </w:r>
    </w:p>
    <w:p w:rsidR="00B93934" w:rsidRPr="0012748C" w:rsidRDefault="00B93934" w:rsidP="0012748C">
      <w:pPr>
        <w:spacing w:before="100" w:beforeAutospacing="1" w:after="100" w:afterAutospacing="1" w:line="360" w:lineRule="auto"/>
        <w:ind w:firstLine="708"/>
        <w:jc w:val="both"/>
        <w:rPr>
          <w:b/>
          <w:bCs/>
          <w:lang w:val="en-US"/>
        </w:rPr>
      </w:pPr>
      <w:r w:rsidRPr="00A16D10">
        <w:rPr>
          <w:rFonts w:asciiTheme="majorBidi" w:hAnsiTheme="majorBidi" w:cstheme="majorBidi"/>
          <w:sz w:val="24"/>
          <w:szCs w:val="24"/>
          <w:lang w:val="en-US"/>
        </w:rPr>
        <w:t xml:space="preserve">6-La famille </w:t>
      </w:r>
      <w:r w:rsidRPr="00A16D10">
        <w:rPr>
          <w:rFonts w:asciiTheme="majorBidi" w:hAnsiTheme="majorBidi" w:cstheme="majorBidi"/>
          <w:b/>
          <w:bCs/>
          <w:sz w:val="24"/>
          <w:szCs w:val="24"/>
          <w:lang w:val="en-US"/>
        </w:rPr>
        <w:t>F :</w:t>
      </w:r>
      <w:r w:rsidRPr="00A16D10">
        <w:rPr>
          <w:b/>
          <w:bCs/>
          <w:lang w:val="en-US"/>
        </w:rPr>
        <w:t xml:space="preserve"> «</w:t>
      </w:r>
      <w:r w:rsidRPr="00A16D10">
        <w:rPr>
          <w:rFonts w:asciiTheme="majorBidi" w:hAnsiTheme="majorBidi" w:cstheme="majorBidi"/>
          <w:b/>
          <w:bCs/>
          <w:sz w:val="24"/>
          <w:szCs w:val="24"/>
          <w:lang w:val="en-US"/>
        </w:rPr>
        <w:t xml:space="preserve"> Frizzled/smoothened</w:t>
      </w:r>
      <w:r w:rsidRPr="00A16D10">
        <w:rPr>
          <w:b/>
          <w:bCs/>
          <w:lang w:val="en-US"/>
        </w:rPr>
        <w:t>»</w:t>
      </w:r>
    </w:p>
    <w:p w:rsidR="00702248" w:rsidRPr="00241A48" w:rsidRDefault="005D0F94"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II.1.4. </w:t>
      </w:r>
      <w:r w:rsidR="00702248" w:rsidRPr="00241A48">
        <w:rPr>
          <w:rFonts w:asciiTheme="majorBidi" w:hAnsiTheme="majorBidi" w:cstheme="majorBidi"/>
          <w:b/>
          <w:bCs/>
          <w:sz w:val="24"/>
          <w:szCs w:val="24"/>
        </w:rPr>
        <w:t>Les protéines G trimériques</w:t>
      </w:r>
    </w:p>
    <w:p w:rsidR="00702248" w:rsidRPr="005D0F94" w:rsidRDefault="005D0F94"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II.1.4.1. </w:t>
      </w:r>
      <w:r w:rsidR="00702248" w:rsidRPr="005D0F94">
        <w:rPr>
          <w:rFonts w:asciiTheme="majorBidi" w:hAnsiTheme="majorBidi" w:cstheme="majorBidi"/>
          <w:b/>
          <w:bCs/>
          <w:sz w:val="24"/>
          <w:szCs w:val="24"/>
        </w:rPr>
        <w:t>Structure tridimentionnelle</w:t>
      </w:r>
    </w:p>
    <w:p w:rsidR="00702248" w:rsidRPr="00576367" w:rsidRDefault="00702248"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576367">
        <w:rPr>
          <w:rFonts w:asciiTheme="majorBidi" w:hAnsiTheme="majorBidi" w:cstheme="majorBidi"/>
          <w:sz w:val="24"/>
          <w:szCs w:val="24"/>
        </w:rPr>
        <w:t xml:space="preserve">           Les protéines G trimeriques permettent la transduction de signaux transmembr</w:t>
      </w:r>
      <w:r w:rsidR="005D0F94">
        <w:rPr>
          <w:rFonts w:asciiTheme="majorBidi" w:hAnsiTheme="majorBidi" w:cstheme="majorBidi"/>
          <w:sz w:val="24"/>
          <w:szCs w:val="24"/>
        </w:rPr>
        <w:t>anaires. Ce sont des protéines à</w:t>
      </w:r>
      <w:r w:rsidRPr="00576367">
        <w:rPr>
          <w:rFonts w:asciiTheme="majorBidi" w:hAnsiTheme="majorBidi" w:cstheme="majorBidi"/>
          <w:sz w:val="24"/>
          <w:szCs w:val="24"/>
        </w:rPr>
        <w:t xml:space="preserve"> activité GTPase qui correspondent au principal partenaire intra-cytoplasmique des RCPG. </w:t>
      </w:r>
    </w:p>
    <w:p w:rsidR="00702248" w:rsidRDefault="00702248"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576367">
        <w:rPr>
          <w:rFonts w:asciiTheme="majorBidi" w:hAnsiTheme="majorBidi" w:cstheme="majorBidi"/>
          <w:sz w:val="24"/>
          <w:szCs w:val="24"/>
        </w:rPr>
        <w:t xml:space="preserve">          Les protéines G trimeriques interagissent avec les RCPG par l’intermédiaire de quelques résidus amino-acyls localises principalement sur les boucles intracellulaires 2 et 3, et sur la partie proximale de l’extrémité C-terminale. Le complexe que forme la protéine G est compose de trois chaines peptidiques : les sous-unités alpha (Gα), beta (Gβ) et gamma (Gγ). Les sous-unités Gβ </w:t>
      </w:r>
      <w:r>
        <w:rPr>
          <w:rFonts w:asciiTheme="majorBidi" w:hAnsiTheme="majorBidi" w:cstheme="majorBidi"/>
          <w:sz w:val="24"/>
          <w:szCs w:val="24"/>
        </w:rPr>
        <w:t xml:space="preserve">et Gγ </w:t>
      </w:r>
      <w:r w:rsidRPr="00576367">
        <w:rPr>
          <w:rFonts w:asciiTheme="majorBidi" w:hAnsiTheme="majorBidi" w:cstheme="majorBidi"/>
          <w:sz w:val="24"/>
          <w:szCs w:val="24"/>
        </w:rPr>
        <w:t>sont étroitement liées et fonctionnent seulement en tant que complexe (dimère βγ).</w:t>
      </w:r>
    </w:p>
    <w:p w:rsidR="00702248" w:rsidRPr="0012748C" w:rsidRDefault="00702248" w:rsidP="0012748C">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735A7">
        <w:rPr>
          <w:rFonts w:asciiTheme="majorBidi" w:hAnsiTheme="majorBidi" w:cstheme="majorBidi"/>
          <w:sz w:val="24"/>
          <w:szCs w:val="24"/>
        </w:rPr>
        <w:lastRenderedPageBreak/>
        <w:t>Les sous-unités Gα ont une masse moléculaire entre 39 et 52 kDa et sont constituées de deux domaines structuraux principaux, un domaine hélical et un domaine GTPasique, Pour sa part, le domaine GTPasique comprend sept hélices α formant des jonctions de type crossovers pour un feuillet β composé de 5 brins parallèles et 1 brin antiparallèle. Par ailleurs, ce repliement est conservé chez les autres membres de la famille des protéines G comme les petites protéines G monomériques et est très important pour la fonction des sous-unités Gα car il définit le site catalytique de l'hydrolyse du GTP en GDP et les interfaces d'interaction avec le complexe Gβγ, les récepteurs et les effecteurs de signalisation</w:t>
      </w:r>
      <w:r w:rsidR="005D0F94">
        <w:rPr>
          <w:rFonts w:asciiTheme="majorBidi" w:hAnsiTheme="majorBidi" w:cstheme="majorBidi"/>
          <w:sz w:val="24"/>
          <w:szCs w:val="24"/>
        </w:rPr>
        <w:t>.</w:t>
      </w:r>
    </w:p>
    <w:p w:rsidR="005D0F94" w:rsidRPr="0012748C" w:rsidRDefault="00702248"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735A7">
        <w:rPr>
          <w:rFonts w:asciiTheme="majorBidi" w:hAnsiTheme="majorBidi" w:cstheme="majorBidi"/>
          <w:sz w:val="24"/>
          <w:szCs w:val="24"/>
        </w:rPr>
        <w:t>Les sous-unités Gβ et Gγ ont une masse moléculaire d'environ 36 et 8 kDa respectivement. La sous-unité Gβ a deux domaines, une hélice α à l'extrémité N-terminale et un domaine replié en β-propeller à 7 lames induit par la présence dans la séquence protéique de sept motifs répétés de type WD40. Plus petite, la sous-unité Gγ est constituée de deux hélices α formant un dimère indissociable avec Gβ, Lié au GDP, la sous-unité Gα forme un hétérotrimère avec le complexe Gβγ dont l'interface est constitué des régions N-terminal et switch I/II de la sous-unité Gα et du domaine β-propeller de la sous-unité β</w:t>
      </w:r>
      <w:r w:rsidR="005D0F94">
        <w:rPr>
          <w:rFonts w:asciiTheme="majorBidi" w:hAnsiTheme="majorBidi" w:cstheme="majorBidi"/>
          <w:b/>
          <w:bCs/>
          <w:sz w:val="24"/>
          <w:szCs w:val="24"/>
        </w:rPr>
        <w:t>.</w:t>
      </w:r>
    </w:p>
    <w:p w:rsidR="00702248" w:rsidRPr="0012748C" w:rsidRDefault="005D0F94" w:rsidP="0012748C">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II.1.4.2.</w:t>
      </w:r>
      <w:r w:rsidR="00702248" w:rsidRPr="005D0F94">
        <w:rPr>
          <w:rFonts w:asciiTheme="majorBidi" w:hAnsiTheme="majorBidi" w:cstheme="majorBidi"/>
          <w:b/>
          <w:bCs/>
          <w:sz w:val="24"/>
          <w:szCs w:val="24"/>
        </w:rPr>
        <w:t xml:space="preserve"> Cycle d’activation de la protéine G</w:t>
      </w:r>
    </w:p>
    <w:p w:rsidR="00702248" w:rsidRPr="0012748C" w:rsidRDefault="00702248"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9A3DF3">
        <w:rPr>
          <w:rFonts w:asciiTheme="majorBidi" w:hAnsiTheme="majorBidi" w:cstheme="majorBidi"/>
          <w:sz w:val="24"/>
          <w:szCs w:val="24"/>
        </w:rPr>
        <w:t>Au repos, le site catalytique de la sous-unité α du trimere αβγ</w:t>
      </w:r>
      <w:r>
        <w:rPr>
          <w:rFonts w:asciiTheme="majorBidi" w:hAnsiTheme="majorBidi" w:cstheme="majorBidi"/>
          <w:sz w:val="24"/>
          <w:szCs w:val="24"/>
        </w:rPr>
        <w:t xml:space="preserve"> est occupé</w:t>
      </w:r>
      <w:r w:rsidRPr="009A3DF3">
        <w:rPr>
          <w:rFonts w:asciiTheme="majorBidi" w:hAnsiTheme="majorBidi" w:cstheme="majorBidi"/>
          <w:sz w:val="24"/>
          <w:szCs w:val="24"/>
        </w:rPr>
        <w:t xml:space="preserve"> par unemolécule de GDP. La liaison d’un agoniste au </w:t>
      </w:r>
      <w:r>
        <w:rPr>
          <w:rFonts w:asciiTheme="majorBidi" w:hAnsiTheme="majorBidi" w:cstheme="majorBidi"/>
          <w:sz w:val="24"/>
          <w:szCs w:val="24"/>
        </w:rPr>
        <w:t>récepteur</w:t>
      </w:r>
      <w:r w:rsidRPr="009A3DF3">
        <w:rPr>
          <w:rFonts w:asciiTheme="majorBidi" w:hAnsiTheme="majorBidi" w:cstheme="majorBidi"/>
          <w:sz w:val="24"/>
          <w:szCs w:val="24"/>
        </w:rPr>
        <w:t xml:space="preserve"> induit l’activation des protéines Gtrimeriques concrétisée par une diminution de l’affinité de α pour le GDP et uneaugmentation d’affinité pour le GTP. Il se produit un échange entre le GDP, préalablement</w:t>
      </w:r>
      <w:r>
        <w:rPr>
          <w:rFonts w:asciiTheme="majorBidi" w:hAnsiTheme="majorBidi" w:cstheme="majorBidi"/>
          <w:sz w:val="24"/>
          <w:szCs w:val="24"/>
        </w:rPr>
        <w:t xml:space="preserve"> fixé</w:t>
      </w:r>
      <w:r w:rsidRPr="009A3DF3">
        <w:rPr>
          <w:rFonts w:asciiTheme="majorBidi" w:hAnsiTheme="majorBidi" w:cstheme="majorBidi"/>
          <w:sz w:val="24"/>
          <w:szCs w:val="24"/>
        </w:rPr>
        <w:t>, et le GTP cytosolique. L’occupation de α par le GTP induit la dissociation de α et βγ quipeuvent chacune interagir avec des effecteurs, enzymes et canaux ioniques, pour générerdes messagers intracellulaires. Cependant, l’activité GTPasique de α hydrolyse rapidement leGTP en GDP, et α se retrou</w:t>
      </w:r>
      <w:r>
        <w:rPr>
          <w:rFonts w:asciiTheme="majorBidi" w:hAnsiTheme="majorBidi" w:cstheme="majorBidi"/>
          <w:sz w:val="24"/>
          <w:szCs w:val="24"/>
        </w:rPr>
        <w:t>ve occupé</w:t>
      </w:r>
      <w:r w:rsidRPr="009A3DF3">
        <w:rPr>
          <w:rFonts w:asciiTheme="majorBidi" w:hAnsiTheme="majorBidi" w:cstheme="majorBidi"/>
          <w:sz w:val="24"/>
          <w:szCs w:val="24"/>
        </w:rPr>
        <w:t xml:space="preserve"> par le GDP. Ainsi, α, perdant son affinité pourl’effecteur mais récupérant son affinité pour βγ, se réassocie avec βγ pour reformer letrimère</w:t>
      </w:r>
      <w:r>
        <w:rPr>
          <w:rFonts w:asciiTheme="majorBidi" w:hAnsiTheme="majorBidi" w:cstheme="majorBidi"/>
          <w:sz w:val="24"/>
          <w:szCs w:val="24"/>
        </w:rPr>
        <w:t xml:space="preserve"> αβγ à</w:t>
      </w:r>
      <w:r w:rsidRPr="009A3DF3">
        <w:rPr>
          <w:rFonts w:asciiTheme="majorBidi" w:hAnsiTheme="majorBidi" w:cstheme="majorBidi"/>
          <w:sz w:val="24"/>
          <w:szCs w:val="24"/>
        </w:rPr>
        <w:t xml:space="preserve"> nouveau disponible pour un nouveau cycle d’activation.</w:t>
      </w:r>
    </w:p>
    <w:p w:rsidR="00702248" w:rsidRPr="00865E52" w:rsidRDefault="00865E52" w:rsidP="00023F0B">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II.1.4.3.</w:t>
      </w:r>
      <w:r w:rsidR="00702248" w:rsidRPr="00865E52">
        <w:rPr>
          <w:rFonts w:asciiTheme="majorBidi" w:hAnsiTheme="majorBidi" w:cstheme="majorBidi"/>
          <w:b/>
          <w:bCs/>
          <w:sz w:val="24"/>
          <w:szCs w:val="24"/>
        </w:rPr>
        <w:t>Sous-types de protéines G</w:t>
      </w:r>
    </w:p>
    <w:p w:rsidR="00702248" w:rsidRPr="0012748C" w:rsidRDefault="00702248"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576367">
        <w:rPr>
          <w:rFonts w:asciiTheme="majorBidi" w:hAnsiTheme="majorBidi" w:cstheme="majorBidi"/>
          <w:sz w:val="24"/>
          <w:szCs w:val="24"/>
        </w:rPr>
        <w:t xml:space="preserve">           L’existence d’un grand nombre de sous-unités (au moins vingt sous-unités α, cinq sous-unités βet treize sous-unités γ), codées par des gènes distincts, est a l’origine d’une </w:t>
      </w:r>
      <w:r>
        <w:rPr>
          <w:rFonts w:asciiTheme="majorBidi" w:hAnsiTheme="majorBidi" w:cstheme="majorBidi"/>
          <w:sz w:val="24"/>
          <w:szCs w:val="24"/>
        </w:rPr>
        <w:t>6</w:t>
      </w:r>
      <w:r w:rsidRPr="00576367">
        <w:rPr>
          <w:rFonts w:asciiTheme="majorBidi" w:hAnsiTheme="majorBidi" w:cstheme="majorBidi"/>
          <w:sz w:val="24"/>
          <w:szCs w:val="24"/>
        </w:rPr>
        <w:t xml:space="preserve">0 diversité importante du trimère αβγ. La classification des protéines G trimeriques reste basée </w:t>
      </w:r>
      <w:r w:rsidRPr="00576367">
        <w:rPr>
          <w:rFonts w:asciiTheme="majorBidi" w:hAnsiTheme="majorBidi" w:cstheme="majorBidi"/>
          <w:sz w:val="24"/>
          <w:szCs w:val="24"/>
        </w:rPr>
        <w:lastRenderedPageBreak/>
        <w:t>sur les analogies de structure des sous-unités α, avec les familles Gs, Gi, Gq et G12.Une sous famille de protéine G peut être activée par différents RCPG. Ainsi, la protéine Gs est activée par de nombreux récepteurs tels que les récepteurs beta-adrénergiques, le FSHR, le récepteurs a la calcitonine, le récepteurs au glucagon, … Réciproquement, le même RCPG peut activer plusieurs sous-familles de protéines G. Par exemple, le R2-AD est lie classiquement a une protéine Gs, mais il peut également se lier aux protéines Gq et Gi.</w:t>
      </w:r>
    </w:p>
    <w:p w:rsidR="00702248" w:rsidRPr="0012748C" w:rsidRDefault="00865E52" w:rsidP="00023F0B">
      <w:pPr>
        <w:spacing w:before="100" w:beforeAutospacing="1" w:after="100" w:afterAutospacing="1" w:line="360" w:lineRule="auto"/>
        <w:rPr>
          <w:rFonts w:asciiTheme="majorBidi" w:hAnsiTheme="majorBidi" w:cstheme="majorBidi"/>
          <w:b/>
          <w:bCs/>
          <w:sz w:val="24"/>
          <w:szCs w:val="24"/>
        </w:rPr>
      </w:pPr>
      <w:r w:rsidRPr="0012748C">
        <w:rPr>
          <w:rFonts w:asciiTheme="majorBidi" w:hAnsiTheme="majorBidi" w:cstheme="majorBidi"/>
          <w:b/>
          <w:bCs/>
          <w:sz w:val="24"/>
          <w:szCs w:val="24"/>
        </w:rPr>
        <w:t>II.1.4.4.</w:t>
      </w:r>
      <w:r w:rsidR="00702248" w:rsidRPr="0012748C">
        <w:rPr>
          <w:rFonts w:asciiTheme="majorBidi" w:hAnsiTheme="majorBidi" w:cstheme="majorBidi"/>
          <w:b/>
          <w:bCs/>
          <w:sz w:val="24"/>
          <w:szCs w:val="24"/>
        </w:rPr>
        <w:t>Effecteurs activés par la protéine G</w:t>
      </w:r>
    </w:p>
    <w:p w:rsidR="00702248" w:rsidRPr="00262DE4" w:rsidRDefault="00702248"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262DE4">
        <w:rPr>
          <w:rFonts w:asciiTheme="majorBidi" w:hAnsiTheme="majorBidi" w:cstheme="majorBidi"/>
          <w:sz w:val="24"/>
          <w:szCs w:val="24"/>
        </w:rPr>
        <w:t xml:space="preserve">        L'activation des protéines G conduit à la modulation de l'activité de systèmes effecteurs amplificateurs (enzymes ou canaux) aboutissant à une modification de concentration de messagers intracellulaires (seconds messagers).</w:t>
      </w:r>
    </w:p>
    <w:p w:rsidR="0012673A" w:rsidRPr="0012748C" w:rsidRDefault="00702248"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262DE4">
        <w:rPr>
          <w:rFonts w:asciiTheme="majorBidi" w:hAnsiTheme="majorBidi" w:cstheme="majorBidi"/>
          <w:sz w:val="24"/>
          <w:szCs w:val="24"/>
        </w:rPr>
        <w:t xml:space="preserve"> Les différents seconds messagers produits vont induire des effets physiologiques surtout par l'intermédiaire d'une modulation de l'activité de différentes kinases, enzymes activant ou inhibant par phosphorylation une variété de protéines présentant des activités biologiques (enzymes, canaux, transporteurs, facteurs de transcription).</w:t>
      </w:r>
    </w:p>
    <w:p w:rsidR="0012673A" w:rsidRPr="00865E52" w:rsidRDefault="0012673A" w:rsidP="00023F0B">
      <w:pPr>
        <w:pStyle w:val="Paragraphedeliste"/>
        <w:numPr>
          <w:ilvl w:val="0"/>
          <w:numId w:val="3"/>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865E52">
        <w:rPr>
          <w:rFonts w:asciiTheme="majorBidi" w:hAnsiTheme="majorBidi" w:cstheme="majorBidi"/>
          <w:b/>
          <w:bCs/>
          <w:sz w:val="24"/>
          <w:szCs w:val="24"/>
        </w:rPr>
        <w:t xml:space="preserve">Effecteurs des sous-unites </w:t>
      </w:r>
      <w:r w:rsidR="00865E52" w:rsidRPr="00865E52">
        <w:rPr>
          <w:rFonts w:asciiTheme="majorBidi" w:hAnsiTheme="majorBidi" w:cstheme="majorBidi"/>
          <w:b/>
          <w:bCs/>
          <w:sz w:val="24"/>
          <w:szCs w:val="24"/>
        </w:rPr>
        <w:t>α</w:t>
      </w:r>
      <w:r w:rsidRPr="00865E52">
        <w:rPr>
          <w:rFonts w:asciiTheme="majorBidi" w:hAnsiTheme="majorBidi" w:cstheme="majorBidi"/>
          <w:b/>
          <w:bCs/>
          <w:sz w:val="24"/>
          <w:szCs w:val="24"/>
        </w:rPr>
        <w:t>des proteines G</w:t>
      </w:r>
    </w:p>
    <w:p w:rsidR="0012673A" w:rsidRPr="0012748C" w:rsidRDefault="0012673A"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865E52">
        <w:rPr>
          <w:rFonts w:asciiTheme="majorBidi" w:hAnsiTheme="majorBidi" w:cstheme="majorBidi"/>
          <w:sz w:val="24"/>
          <w:szCs w:val="24"/>
        </w:rPr>
        <w:t xml:space="preserve">Les principaux effecteurs modules par l’interaction avec les sous-unites </w:t>
      </w:r>
      <w:r w:rsidR="00865E52" w:rsidRPr="00865E52">
        <w:rPr>
          <w:rFonts w:asciiTheme="majorBidi" w:hAnsiTheme="majorBidi" w:cstheme="majorBidi"/>
          <w:sz w:val="24"/>
          <w:szCs w:val="24"/>
        </w:rPr>
        <w:t>α</w:t>
      </w:r>
      <w:r w:rsidRPr="00865E52">
        <w:rPr>
          <w:rFonts w:asciiTheme="majorBidi" w:hAnsiTheme="majorBidi" w:cstheme="majorBidi"/>
          <w:sz w:val="24"/>
          <w:szCs w:val="24"/>
        </w:rPr>
        <w:t>des</w:t>
      </w:r>
      <w:r w:rsidR="00865E52" w:rsidRPr="00865E52">
        <w:rPr>
          <w:rFonts w:asciiTheme="majorBidi" w:hAnsiTheme="majorBidi" w:cstheme="majorBidi"/>
          <w:sz w:val="24"/>
          <w:szCs w:val="24"/>
        </w:rPr>
        <w:t>protéines</w:t>
      </w:r>
      <w:r w:rsidRPr="00865E52">
        <w:rPr>
          <w:rFonts w:asciiTheme="majorBidi" w:hAnsiTheme="majorBidi" w:cstheme="majorBidi"/>
          <w:sz w:val="24"/>
          <w:szCs w:val="24"/>
        </w:rPr>
        <w:t xml:space="preserve"> G trimeriques sont des </w:t>
      </w:r>
      <w:r w:rsidR="00865E52" w:rsidRPr="00865E52">
        <w:rPr>
          <w:rFonts w:asciiTheme="majorBidi" w:hAnsiTheme="majorBidi" w:cstheme="majorBidi"/>
          <w:sz w:val="24"/>
          <w:szCs w:val="24"/>
        </w:rPr>
        <w:t>systèmes</w:t>
      </w:r>
      <w:r w:rsidRPr="00865E52">
        <w:rPr>
          <w:rFonts w:asciiTheme="majorBidi" w:hAnsiTheme="majorBidi" w:cstheme="majorBidi"/>
          <w:sz w:val="24"/>
          <w:szCs w:val="24"/>
        </w:rPr>
        <w:t xml:space="preserve"> enzymatiques, </w:t>
      </w:r>
      <w:r w:rsidR="00865E52" w:rsidRPr="00865E52">
        <w:rPr>
          <w:rFonts w:asciiTheme="majorBidi" w:hAnsiTheme="majorBidi" w:cstheme="majorBidi"/>
          <w:sz w:val="24"/>
          <w:szCs w:val="24"/>
        </w:rPr>
        <w:t>générant</w:t>
      </w:r>
      <w:r w:rsidRPr="00865E52">
        <w:rPr>
          <w:rFonts w:asciiTheme="majorBidi" w:hAnsiTheme="majorBidi" w:cstheme="majorBidi"/>
          <w:sz w:val="24"/>
          <w:szCs w:val="24"/>
        </w:rPr>
        <w:t xml:space="preserve"> des </w:t>
      </w:r>
      <w:r w:rsidR="00865E52" w:rsidRPr="00865E52">
        <w:rPr>
          <w:rFonts w:asciiTheme="majorBidi" w:hAnsiTheme="majorBidi" w:cstheme="majorBidi"/>
          <w:sz w:val="24"/>
          <w:szCs w:val="24"/>
        </w:rPr>
        <w:t>médiateurs</w:t>
      </w:r>
      <w:r w:rsidRPr="00865E52">
        <w:rPr>
          <w:rFonts w:asciiTheme="majorBidi" w:hAnsiTheme="majorBidi" w:cstheme="majorBidi"/>
          <w:sz w:val="24"/>
          <w:szCs w:val="24"/>
        </w:rPr>
        <w:t xml:space="preserve">intracellulaires, ainsi que canaux ioniques. Une fois </w:t>
      </w:r>
      <w:r w:rsidR="00865E52" w:rsidRPr="00865E52">
        <w:rPr>
          <w:rFonts w:asciiTheme="majorBidi" w:hAnsiTheme="majorBidi" w:cstheme="majorBidi"/>
          <w:sz w:val="24"/>
          <w:szCs w:val="24"/>
        </w:rPr>
        <w:t>dissociée</w:t>
      </w:r>
      <w:r w:rsidRPr="00865E52">
        <w:rPr>
          <w:rFonts w:asciiTheme="majorBidi" w:hAnsiTheme="majorBidi" w:cstheme="majorBidi"/>
          <w:sz w:val="24"/>
          <w:szCs w:val="24"/>
        </w:rPr>
        <w:t xml:space="preserve"> du complexe </w:t>
      </w:r>
      <w:r w:rsidR="00865E52" w:rsidRPr="00865E52">
        <w:rPr>
          <w:rFonts w:asciiTheme="majorBidi" w:hAnsiTheme="majorBidi" w:cstheme="majorBidi"/>
          <w:sz w:val="24"/>
          <w:szCs w:val="24"/>
        </w:rPr>
        <w:t>αβγ</w:t>
      </w:r>
      <w:r w:rsidRPr="00865E52">
        <w:rPr>
          <w:rFonts w:asciiTheme="majorBidi" w:hAnsiTheme="majorBidi" w:cstheme="majorBidi"/>
          <w:sz w:val="24"/>
          <w:szCs w:val="24"/>
        </w:rPr>
        <w:t>, la sous-uniteG</w:t>
      </w:r>
      <w:r w:rsidR="00865E52" w:rsidRPr="00865E52">
        <w:rPr>
          <w:rFonts w:asciiTheme="majorBidi" w:hAnsiTheme="majorBidi" w:cstheme="majorBidi"/>
          <w:sz w:val="24"/>
          <w:szCs w:val="24"/>
        </w:rPr>
        <w:t>α</w:t>
      </w:r>
      <w:r w:rsidRPr="00865E52">
        <w:rPr>
          <w:rFonts w:asciiTheme="majorBidi" w:hAnsiTheme="majorBidi" w:cstheme="majorBidi"/>
          <w:sz w:val="24"/>
          <w:szCs w:val="24"/>
        </w:rPr>
        <w:t xml:space="preserve">va directement activer </w:t>
      </w:r>
      <w:r w:rsidR="00865E52" w:rsidRPr="00865E52">
        <w:rPr>
          <w:rFonts w:asciiTheme="majorBidi" w:hAnsiTheme="majorBidi" w:cstheme="majorBidi"/>
          <w:sz w:val="24"/>
          <w:szCs w:val="24"/>
        </w:rPr>
        <w:t>différentes</w:t>
      </w:r>
      <w:r w:rsidRPr="00865E52">
        <w:rPr>
          <w:rFonts w:asciiTheme="majorBidi" w:hAnsiTheme="majorBidi" w:cstheme="majorBidi"/>
          <w:sz w:val="24"/>
          <w:szCs w:val="24"/>
        </w:rPr>
        <w:t xml:space="preserve"> classes d’effecteurs. Les adenylates cyclases (AC) etles phospholipases C (PLC) representent les cibles principales. L’activation de la PLC ou del’AC mene a la production de messagers secondaires correspondants, a savoir l’AMPc pourl’AC, l’IP3 et le DAG pour la PLC. Ces messagers vont alors activer de nouveaux effecteursentrainant ainsi l’amplification du signal. A titre d’exemple, la production d’IP3 et DAGconduit a la mobilisation des stocks de Ca</w:t>
      </w:r>
      <w:r w:rsidRPr="00865E52">
        <w:rPr>
          <w:rFonts w:asciiTheme="majorBidi" w:hAnsiTheme="majorBidi" w:cstheme="majorBidi"/>
          <w:sz w:val="24"/>
          <w:szCs w:val="24"/>
          <w:vertAlign w:val="superscript"/>
        </w:rPr>
        <w:t>2</w:t>
      </w:r>
      <w:r w:rsidRPr="00865E52">
        <w:rPr>
          <w:rFonts w:asciiTheme="majorBidi" w:hAnsiTheme="majorBidi" w:cstheme="majorBidi"/>
          <w:sz w:val="24"/>
          <w:szCs w:val="24"/>
        </w:rPr>
        <w:t>+ et a l’activation des PKC.</w:t>
      </w:r>
    </w:p>
    <w:p w:rsidR="0012673A" w:rsidRPr="00865E52" w:rsidRDefault="0012673A" w:rsidP="00023F0B">
      <w:pPr>
        <w:pStyle w:val="Paragraphedeliste"/>
        <w:numPr>
          <w:ilvl w:val="0"/>
          <w:numId w:val="3"/>
        </w:num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865E52">
        <w:rPr>
          <w:rFonts w:asciiTheme="majorBidi" w:hAnsiTheme="majorBidi" w:cstheme="majorBidi"/>
          <w:b/>
          <w:bCs/>
          <w:sz w:val="24"/>
          <w:szCs w:val="24"/>
        </w:rPr>
        <w:t xml:space="preserve">Effecteurs des sous-unites </w:t>
      </w:r>
      <w:r w:rsidR="00865E52" w:rsidRPr="00865E52">
        <w:rPr>
          <w:rFonts w:asciiTheme="majorBidi" w:hAnsiTheme="majorBidi" w:cstheme="majorBidi"/>
          <w:b/>
          <w:bCs/>
          <w:sz w:val="24"/>
          <w:szCs w:val="24"/>
        </w:rPr>
        <w:t>βγ</w:t>
      </w:r>
      <w:r w:rsidRPr="00865E52">
        <w:rPr>
          <w:rFonts w:asciiTheme="majorBidi" w:hAnsiTheme="majorBidi" w:cstheme="majorBidi"/>
          <w:b/>
          <w:bCs/>
          <w:sz w:val="24"/>
          <w:szCs w:val="24"/>
        </w:rPr>
        <w:t>des proteines G</w:t>
      </w:r>
    </w:p>
    <w:p w:rsidR="0012673A" w:rsidRPr="00865E52" w:rsidRDefault="0012673A" w:rsidP="00023F0B">
      <w:pPr>
        <w:autoSpaceDE w:val="0"/>
        <w:autoSpaceDN w:val="0"/>
        <w:adjustRightInd w:val="0"/>
        <w:spacing w:before="100" w:beforeAutospacing="1" w:after="100" w:afterAutospacing="1" w:line="360" w:lineRule="auto"/>
        <w:rPr>
          <w:rFonts w:asciiTheme="majorBidi" w:hAnsiTheme="majorBidi" w:cstheme="majorBidi"/>
          <w:sz w:val="24"/>
          <w:szCs w:val="24"/>
        </w:rPr>
      </w:pPr>
      <w:r w:rsidRPr="00865E52">
        <w:rPr>
          <w:rFonts w:asciiTheme="majorBidi" w:hAnsiTheme="majorBidi" w:cstheme="majorBidi"/>
          <w:sz w:val="24"/>
          <w:szCs w:val="24"/>
        </w:rPr>
        <w:t>Le dimere G</w:t>
      </w:r>
      <w:r w:rsidR="00865E52" w:rsidRPr="00865E52">
        <w:rPr>
          <w:rFonts w:asciiTheme="majorBidi" w:hAnsiTheme="majorBidi" w:cstheme="majorBidi"/>
          <w:sz w:val="24"/>
          <w:szCs w:val="24"/>
        </w:rPr>
        <w:t>βγ</w:t>
      </w:r>
      <w:r w:rsidRPr="00865E52">
        <w:rPr>
          <w:rFonts w:asciiTheme="majorBidi" w:hAnsiTheme="majorBidi" w:cstheme="majorBidi"/>
          <w:sz w:val="24"/>
          <w:szCs w:val="24"/>
        </w:rPr>
        <w:t>est implique dans l’activation de nombreux effecteurs tels que : l’AC,</w:t>
      </w:r>
    </w:p>
    <w:p w:rsidR="00702248" w:rsidRPr="00865E52" w:rsidRDefault="0012673A" w:rsidP="00023F0B">
      <w:pPr>
        <w:autoSpaceDE w:val="0"/>
        <w:autoSpaceDN w:val="0"/>
        <w:adjustRightInd w:val="0"/>
        <w:spacing w:before="100" w:beforeAutospacing="1" w:after="100" w:afterAutospacing="1" w:line="360" w:lineRule="auto"/>
        <w:rPr>
          <w:rFonts w:asciiTheme="majorBidi" w:hAnsiTheme="majorBidi" w:cstheme="majorBidi"/>
          <w:sz w:val="24"/>
          <w:szCs w:val="24"/>
        </w:rPr>
      </w:pPr>
      <w:r w:rsidRPr="00865E52">
        <w:rPr>
          <w:rFonts w:asciiTheme="majorBidi" w:hAnsiTheme="majorBidi" w:cstheme="majorBidi"/>
          <w:sz w:val="24"/>
          <w:szCs w:val="24"/>
        </w:rPr>
        <w:t>la PLC, la calmoduline, les canaux calciques, les GRK, la proteine kinase (PKD), la tubuline, lephosphatidyl-inositiol, …</w:t>
      </w:r>
      <w:r w:rsidR="00865E52">
        <w:rPr>
          <w:rFonts w:asciiTheme="majorBidi" w:hAnsiTheme="majorBidi" w:cstheme="majorBidi"/>
          <w:sz w:val="24"/>
          <w:szCs w:val="24"/>
        </w:rPr>
        <w:t>et</w:t>
      </w:r>
      <w:r w:rsidR="0043488D">
        <w:rPr>
          <w:rFonts w:asciiTheme="majorBidi" w:hAnsiTheme="majorBidi" w:cstheme="majorBidi"/>
          <w:sz w:val="24"/>
          <w:szCs w:val="24"/>
        </w:rPr>
        <w:t>c</w:t>
      </w:r>
    </w:p>
    <w:p w:rsidR="00702248" w:rsidRPr="00865E52" w:rsidRDefault="00865E52"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II.1.4.5. </w:t>
      </w:r>
      <w:r w:rsidR="00702248" w:rsidRPr="00865E52">
        <w:rPr>
          <w:rFonts w:asciiTheme="majorBidi" w:hAnsiTheme="majorBidi" w:cstheme="majorBidi"/>
          <w:b/>
          <w:bCs/>
          <w:sz w:val="24"/>
          <w:szCs w:val="24"/>
        </w:rPr>
        <w:t>Couplage au RCPG</w:t>
      </w:r>
    </w:p>
    <w:p w:rsidR="00702248" w:rsidRPr="00845A2A" w:rsidRDefault="00702248" w:rsidP="00023F0B">
      <w:pPr>
        <w:spacing w:before="100" w:beforeAutospacing="1" w:after="100" w:afterAutospacing="1" w:line="360" w:lineRule="auto"/>
        <w:jc w:val="both"/>
        <w:rPr>
          <w:rFonts w:asciiTheme="majorBidi" w:hAnsiTheme="majorBidi" w:cstheme="majorBidi"/>
          <w:sz w:val="24"/>
          <w:szCs w:val="24"/>
        </w:rPr>
      </w:pPr>
      <w:r w:rsidRPr="00845A2A">
        <w:rPr>
          <w:rFonts w:asciiTheme="majorBidi" w:hAnsiTheme="majorBidi" w:cstheme="majorBidi"/>
          <w:sz w:val="24"/>
          <w:szCs w:val="24"/>
        </w:rPr>
        <w:t>Plusieurs études démontrent que le couplage de la protéine G hétérotrimérique au récepteur activé se fait principalement par la queue C-terminale de la sous-unité Gα. De plus, le couplage des protéines G de la famille Gαi est inhibé par l'ajout d'une molécule d'ADP-ribose, catalysé par la toxine de la pertussis, sur la cystéine de la queue C-terminale de la sous-unité Gα, De plus, la queue C-terminale de la sous-unité Gα est importante dans la sélectiv</w:t>
      </w:r>
      <w:r>
        <w:rPr>
          <w:rFonts w:asciiTheme="majorBidi" w:hAnsiTheme="majorBidi" w:cstheme="majorBidi"/>
          <w:sz w:val="24"/>
          <w:szCs w:val="24"/>
        </w:rPr>
        <w:t>ité de couplage des protéines G</w:t>
      </w:r>
      <w:r>
        <w:rPr>
          <w:rFonts w:asciiTheme="majorBidi" w:hAnsiTheme="majorBidi" w:cstheme="majorBidi"/>
          <w:b/>
          <w:bCs/>
          <w:sz w:val="24"/>
          <w:szCs w:val="24"/>
        </w:rPr>
        <w:t>.</w:t>
      </w:r>
    </w:p>
    <w:p w:rsidR="00702248" w:rsidRPr="00845A2A" w:rsidRDefault="00702248" w:rsidP="00023F0B">
      <w:pPr>
        <w:spacing w:before="100" w:beforeAutospacing="1" w:after="100" w:afterAutospacing="1" w:line="360" w:lineRule="auto"/>
        <w:jc w:val="both"/>
        <w:rPr>
          <w:rFonts w:asciiTheme="majorBidi" w:hAnsiTheme="majorBidi" w:cstheme="majorBidi"/>
          <w:sz w:val="24"/>
          <w:szCs w:val="24"/>
        </w:rPr>
      </w:pPr>
      <w:r w:rsidRPr="00845A2A">
        <w:rPr>
          <w:rFonts w:asciiTheme="majorBidi" w:hAnsiTheme="majorBidi" w:cstheme="majorBidi"/>
          <w:sz w:val="24"/>
          <w:szCs w:val="24"/>
        </w:rPr>
        <w:t>Des études suggèrent que d'autres domaines de la sous-unité Gα proches de la membrane plasmique comme</w:t>
      </w:r>
      <w:r>
        <w:rPr>
          <w:rFonts w:asciiTheme="majorBidi" w:hAnsiTheme="majorBidi" w:cstheme="majorBidi"/>
          <w:sz w:val="24"/>
          <w:szCs w:val="24"/>
        </w:rPr>
        <w:t xml:space="preserve"> la queue N-terminale</w:t>
      </w:r>
      <w:r w:rsidRPr="00845A2A">
        <w:rPr>
          <w:rFonts w:asciiTheme="majorBidi" w:hAnsiTheme="majorBidi" w:cstheme="majorBidi"/>
          <w:sz w:val="24"/>
          <w:szCs w:val="24"/>
        </w:rPr>
        <w:t>, la jo</w:t>
      </w:r>
      <w:r>
        <w:rPr>
          <w:rFonts w:asciiTheme="majorBidi" w:hAnsiTheme="majorBidi" w:cstheme="majorBidi"/>
          <w:sz w:val="24"/>
          <w:szCs w:val="24"/>
        </w:rPr>
        <w:t>nction 1, l'hélice α4</w:t>
      </w:r>
      <w:r w:rsidRPr="00845A2A">
        <w:rPr>
          <w:rFonts w:asciiTheme="majorBidi" w:hAnsiTheme="majorBidi" w:cstheme="majorBidi"/>
          <w:sz w:val="24"/>
          <w:szCs w:val="24"/>
        </w:rPr>
        <w:t xml:space="preserve">, les boucles reliant l'hélice αN et le brin </w:t>
      </w:r>
      <w:r>
        <w:rPr>
          <w:rFonts w:asciiTheme="majorBidi" w:hAnsiTheme="majorBidi" w:cstheme="majorBidi"/>
          <w:sz w:val="24"/>
          <w:szCs w:val="24"/>
        </w:rPr>
        <w:t>β1 (αN-β1)</w:t>
      </w:r>
      <w:r w:rsidRPr="00845A2A">
        <w:rPr>
          <w:rFonts w:asciiTheme="majorBidi" w:hAnsiTheme="majorBidi" w:cstheme="majorBidi"/>
          <w:sz w:val="24"/>
          <w:szCs w:val="24"/>
        </w:rPr>
        <w:t>, l'hélice α2 et le br</w:t>
      </w:r>
      <w:r>
        <w:rPr>
          <w:rFonts w:asciiTheme="majorBidi" w:hAnsiTheme="majorBidi" w:cstheme="majorBidi"/>
          <w:sz w:val="24"/>
          <w:szCs w:val="24"/>
        </w:rPr>
        <w:t>in β4 (α2-β4)</w:t>
      </w:r>
      <w:r w:rsidRPr="00845A2A">
        <w:rPr>
          <w:rFonts w:asciiTheme="majorBidi" w:hAnsiTheme="majorBidi" w:cstheme="majorBidi"/>
          <w:sz w:val="24"/>
          <w:szCs w:val="24"/>
        </w:rPr>
        <w:t xml:space="preserve">, l'hélice α3 et </w:t>
      </w:r>
      <w:r>
        <w:rPr>
          <w:rFonts w:asciiTheme="majorBidi" w:hAnsiTheme="majorBidi" w:cstheme="majorBidi"/>
          <w:sz w:val="24"/>
          <w:szCs w:val="24"/>
        </w:rPr>
        <w:t>le brin β5 (α3-β5)</w:t>
      </w:r>
      <w:r w:rsidRPr="00845A2A">
        <w:rPr>
          <w:rFonts w:asciiTheme="majorBidi" w:hAnsiTheme="majorBidi" w:cstheme="majorBidi"/>
          <w:sz w:val="24"/>
          <w:szCs w:val="24"/>
        </w:rPr>
        <w:t>, ainsi que l'hélice α4 et le brin β</w:t>
      </w:r>
      <w:r>
        <w:rPr>
          <w:rFonts w:asciiTheme="majorBidi" w:hAnsiTheme="majorBidi" w:cstheme="majorBidi"/>
          <w:sz w:val="24"/>
          <w:szCs w:val="24"/>
        </w:rPr>
        <w:t xml:space="preserve">6 (α4-β6) </w:t>
      </w:r>
      <w:r w:rsidRPr="00845A2A">
        <w:rPr>
          <w:rFonts w:asciiTheme="majorBidi" w:hAnsiTheme="majorBidi" w:cstheme="majorBidi"/>
          <w:sz w:val="24"/>
          <w:szCs w:val="24"/>
        </w:rPr>
        <w:t>sont impliqués dans le couplage ou la sélectivité du couplage au récepteur. Cependant, parmi ces régions de la sous-unité Gα, seules les queues Net C-terminales ainsi que l'hélice α4 interagissent directement avec le récepteur dans la structure cristalline du complexe Gαsβ1γ2 lié a</w:t>
      </w:r>
      <w:r>
        <w:rPr>
          <w:rFonts w:asciiTheme="majorBidi" w:hAnsiTheme="majorBidi" w:cstheme="majorBidi"/>
          <w:sz w:val="24"/>
          <w:szCs w:val="24"/>
        </w:rPr>
        <w:t>u β2AR</w:t>
      </w:r>
      <w:r w:rsidRPr="00845A2A">
        <w:rPr>
          <w:rFonts w:asciiTheme="majorBidi" w:hAnsiTheme="majorBidi" w:cstheme="majorBidi"/>
          <w:sz w:val="24"/>
          <w:szCs w:val="24"/>
        </w:rPr>
        <w:t xml:space="preserve"> suggérant qu'il existe plusieurs façons d'engager le complexe hétérotrimérique aux récepteurs et que ces modes de couplage pourraient être spécifiques à chaque famille de protéines G hétérotrimériques et aux récepteurs. En fait, le couplage est aussi sensible à la conformation induite sur les récepteurs puisque pour certains RCPGs qui peuvent recruter plus d'un type de complexe hétérotrimérique, les sous-unités engagées sont fonction du ligand utilisé</w:t>
      </w:r>
      <w:r w:rsidRPr="00E55EA1">
        <w:rPr>
          <w:rFonts w:asciiTheme="majorBidi" w:hAnsiTheme="majorBidi" w:cstheme="majorBidi"/>
          <w:b/>
          <w:bCs/>
          <w:sz w:val="24"/>
          <w:szCs w:val="24"/>
        </w:rPr>
        <w:t>.</w:t>
      </w:r>
    </w:p>
    <w:p w:rsidR="00702248" w:rsidRDefault="00702248" w:rsidP="00023F0B">
      <w:pPr>
        <w:spacing w:before="100" w:beforeAutospacing="1" w:after="100" w:afterAutospacing="1" w:line="360" w:lineRule="auto"/>
        <w:jc w:val="both"/>
        <w:rPr>
          <w:rFonts w:asciiTheme="majorBidi" w:hAnsiTheme="majorBidi" w:cstheme="majorBidi"/>
          <w:b/>
          <w:bCs/>
          <w:sz w:val="24"/>
          <w:szCs w:val="24"/>
        </w:rPr>
      </w:pPr>
      <w:r w:rsidRPr="00845A2A">
        <w:rPr>
          <w:rFonts w:asciiTheme="majorBidi" w:hAnsiTheme="majorBidi" w:cstheme="majorBidi"/>
          <w:sz w:val="24"/>
          <w:szCs w:val="24"/>
        </w:rPr>
        <w:t>Les sous-unités Gβ et Gγ ont aussi un rôle dans le couplage du complexe hétérotrimérique au récepteur. Bien que toutes les combinaisons de sous-unités Gβ et Gγ soient possibles, certains complexes Gβγ peuvent se coupler de manière préférentielle avec certains récepteurs</w:t>
      </w:r>
      <w:r>
        <w:rPr>
          <w:rFonts w:asciiTheme="majorBidi" w:hAnsiTheme="majorBidi" w:cstheme="majorBidi"/>
          <w:b/>
          <w:bCs/>
          <w:sz w:val="24"/>
          <w:szCs w:val="24"/>
        </w:rPr>
        <w:t>.</w:t>
      </w:r>
    </w:p>
    <w:p w:rsidR="00702248" w:rsidRDefault="00702248"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5760720" cy="3068927"/>
            <wp:effectExtent l="19050" t="1905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5760720" cy="3068927"/>
                    </a:xfrm>
                    <a:prstGeom prst="rect">
                      <a:avLst/>
                    </a:prstGeom>
                    <a:noFill/>
                    <a:ln w="9525">
                      <a:solidFill>
                        <a:schemeClr val="tx1"/>
                      </a:solidFill>
                      <a:miter lim="800000"/>
                      <a:headEnd/>
                      <a:tailEnd/>
                    </a:ln>
                  </pic:spPr>
                </pic:pic>
              </a:graphicData>
            </a:graphic>
          </wp:inline>
        </w:drawing>
      </w:r>
    </w:p>
    <w:p w:rsidR="00702248" w:rsidRDefault="0043488D" w:rsidP="00F6361A">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Figure 10</w:t>
      </w:r>
      <w:r w:rsidR="00702248">
        <w:rPr>
          <w:rFonts w:asciiTheme="majorBidi" w:hAnsiTheme="majorBidi" w:cstheme="majorBidi"/>
          <w:b/>
          <w:bCs/>
          <w:sz w:val="24"/>
          <w:szCs w:val="24"/>
        </w:rPr>
        <w:t xml:space="preserve"> : </w:t>
      </w:r>
      <w:r w:rsidR="00702248" w:rsidRPr="0043488D">
        <w:rPr>
          <w:rFonts w:asciiTheme="majorBidi" w:hAnsiTheme="majorBidi" w:cstheme="majorBidi"/>
          <w:sz w:val="24"/>
          <w:szCs w:val="24"/>
        </w:rPr>
        <w:t xml:space="preserve">Protéine G couplé au  </w:t>
      </w:r>
      <w:r w:rsidRPr="0043488D">
        <w:rPr>
          <w:rFonts w:asciiTheme="majorBidi" w:hAnsiTheme="majorBidi" w:cstheme="majorBidi"/>
          <w:sz w:val="24"/>
          <w:szCs w:val="24"/>
        </w:rPr>
        <w:t>récepteur</w:t>
      </w:r>
      <w:r w:rsidR="00702248" w:rsidRPr="0043488D">
        <w:rPr>
          <w:rFonts w:asciiTheme="majorBidi" w:hAnsiTheme="majorBidi" w:cstheme="majorBidi"/>
          <w:sz w:val="24"/>
          <w:szCs w:val="24"/>
        </w:rPr>
        <w:t xml:space="preserve"> RCPG</w:t>
      </w:r>
      <w:r w:rsidR="00702248">
        <w:rPr>
          <w:rFonts w:asciiTheme="majorBidi" w:hAnsiTheme="majorBidi" w:cstheme="majorBidi"/>
          <w:b/>
          <w:bCs/>
          <w:sz w:val="24"/>
          <w:szCs w:val="24"/>
        </w:rPr>
        <w:t xml:space="preserve"> (Bockaert,2012)</w:t>
      </w:r>
    </w:p>
    <w:p w:rsidR="00702248" w:rsidRDefault="00702248"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5760720" cy="3420379"/>
            <wp:effectExtent l="19050" t="19050" r="0" b="889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5760720" cy="3420379"/>
                    </a:xfrm>
                    <a:prstGeom prst="rect">
                      <a:avLst/>
                    </a:prstGeom>
                    <a:noFill/>
                    <a:ln w="9525">
                      <a:solidFill>
                        <a:schemeClr val="tx1"/>
                      </a:solidFill>
                      <a:miter lim="800000"/>
                      <a:headEnd/>
                      <a:tailEnd/>
                    </a:ln>
                  </pic:spPr>
                </pic:pic>
              </a:graphicData>
            </a:graphic>
          </wp:inline>
        </w:drawing>
      </w:r>
    </w:p>
    <w:p w:rsidR="00702248" w:rsidRDefault="0043488D"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Figure 11</w:t>
      </w:r>
      <w:r w:rsidR="00702248">
        <w:rPr>
          <w:rFonts w:asciiTheme="majorBidi" w:hAnsiTheme="majorBidi" w:cstheme="majorBidi"/>
          <w:b/>
          <w:bCs/>
          <w:sz w:val="24"/>
          <w:szCs w:val="24"/>
        </w:rPr>
        <w:t xml:space="preserve"> : </w:t>
      </w:r>
      <w:r w:rsidR="0012748C">
        <w:rPr>
          <w:rFonts w:asciiTheme="majorBidi" w:hAnsiTheme="majorBidi" w:cstheme="majorBidi"/>
          <w:sz w:val="24"/>
          <w:szCs w:val="24"/>
        </w:rPr>
        <w:t>C</w:t>
      </w:r>
      <w:r w:rsidR="00702248" w:rsidRPr="00D556C5">
        <w:rPr>
          <w:rFonts w:asciiTheme="majorBidi" w:hAnsiTheme="majorBidi" w:cstheme="majorBidi"/>
          <w:sz w:val="24"/>
          <w:szCs w:val="24"/>
        </w:rPr>
        <w:t>ycle d’activation des protéines G</w:t>
      </w:r>
      <w:r w:rsidR="00702248">
        <w:rPr>
          <w:rFonts w:asciiTheme="majorBidi" w:hAnsiTheme="majorBidi" w:cstheme="majorBidi"/>
          <w:b/>
          <w:bCs/>
          <w:sz w:val="24"/>
          <w:szCs w:val="24"/>
        </w:rPr>
        <w:t xml:space="preserve"> (Flouzis,2015)</w:t>
      </w:r>
    </w:p>
    <w:p w:rsidR="00702248" w:rsidRDefault="00702248" w:rsidP="00023F0B">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3686810" cy="2236470"/>
            <wp:effectExtent l="19050" t="0" r="889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687902" cy="2236495"/>
                    </a:xfrm>
                    <a:prstGeom prst="rect">
                      <a:avLst/>
                    </a:prstGeom>
                    <a:noFill/>
                    <a:ln w="9525">
                      <a:noFill/>
                      <a:miter lim="800000"/>
                      <a:headEnd/>
                      <a:tailEnd/>
                    </a:ln>
                  </pic:spPr>
                </pic:pic>
              </a:graphicData>
            </a:graphic>
          </wp:inline>
        </w:drawing>
      </w:r>
    </w:p>
    <w:p w:rsidR="00702248" w:rsidRDefault="0043488D" w:rsidP="00023F0B">
      <w:pPr>
        <w:spacing w:before="100" w:beforeAutospacing="1" w:after="100" w:afterAutospacing="1" w:line="360" w:lineRule="auto"/>
        <w:jc w:val="both"/>
        <w:rPr>
          <w:b/>
          <w:bCs/>
          <w:sz w:val="23"/>
          <w:szCs w:val="23"/>
        </w:rPr>
      </w:pPr>
      <w:r>
        <w:rPr>
          <w:rFonts w:asciiTheme="majorBidi" w:hAnsiTheme="majorBidi" w:cstheme="majorBidi"/>
          <w:b/>
          <w:bCs/>
          <w:sz w:val="24"/>
          <w:szCs w:val="24"/>
        </w:rPr>
        <w:t>Figure 12</w:t>
      </w:r>
      <w:r w:rsidR="00702248" w:rsidRPr="00F17FEC">
        <w:rPr>
          <w:rFonts w:asciiTheme="majorBidi" w:hAnsiTheme="majorBidi" w:cstheme="majorBidi"/>
          <w:b/>
          <w:bCs/>
          <w:sz w:val="24"/>
          <w:szCs w:val="24"/>
        </w:rPr>
        <w:t xml:space="preserve"> : </w:t>
      </w:r>
      <w:r w:rsidR="00702248" w:rsidRPr="00F17FEC">
        <w:rPr>
          <w:rFonts w:asciiTheme="majorBidi" w:hAnsiTheme="majorBidi" w:cstheme="majorBidi"/>
          <w:sz w:val="24"/>
          <w:szCs w:val="24"/>
        </w:rPr>
        <w:t>Le cycle des GTPases</w:t>
      </w:r>
      <w:r w:rsidR="00702248" w:rsidRPr="00F17FEC">
        <w:rPr>
          <w:rFonts w:asciiTheme="majorBidi" w:hAnsiTheme="majorBidi" w:cstheme="majorBidi"/>
          <w:b/>
          <w:bCs/>
          <w:sz w:val="24"/>
          <w:szCs w:val="24"/>
        </w:rPr>
        <w:t xml:space="preserve"> (Sampaio,2008).</w:t>
      </w:r>
    </w:p>
    <w:p w:rsidR="0012673A" w:rsidRPr="0012748C" w:rsidRDefault="00702248" w:rsidP="0012748C">
      <w:pPr>
        <w:spacing w:before="100" w:beforeAutospacing="1" w:after="100" w:afterAutospacing="1" w:line="360" w:lineRule="auto"/>
        <w:jc w:val="center"/>
        <w:rPr>
          <w:rFonts w:asciiTheme="majorBidi" w:hAnsiTheme="majorBidi" w:cstheme="majorBidi"/>
          <w:i/>
          <w:iCs/>
          <w:sz w:val="16"/>
          <w:szCs w:val="16"/>
        </w:rPr>
      </w:pPr>
      <w:r w:rsidRPr="0043488D">
        <w:rPr>
          <w:rFonts w:asciiTheme="majorBidi" w:hAnsiTheme="majorBidi" w:cstheme="majorBidi"/>
          <w:i/>
          <w:iCs/>
          <w:sz w:val="16"/>
          <w:szCs w:val="16"/>
        </w:rPr>
        <w:t>Lecycle des GTPases est contrôlé par deux classes principales de protéines régulatrices: les GEF (Guanine-nucleotide-Exchange Factors) qui permettent la formation de la forme active liée au GTP, et les GAP (GTPase-Activating Proteins) qui permettent la formation de la forme inactive liée au GDP. Il existe une autre classe d’inhibiteurs, les GDI (Guanine nucle</w:t>
      </w:r>
      <w:r w:rsidR="0043488D" w:rsidRPr="0043488D">
        <w:rPr>
          <w:rFonts w:asciiTheme="majorBidi" w:hAnsiTheme="majorBidi" w:cstheme="majorBidi"/>
          <w:i/>
          <w:iCs/>
          <w:sz w:val="16"/>
          <w:szCs w:val="16"/>
        </w:rPr>
        <w:t xml:space="preserve">otide Dissociation Inhibitors) </w:t>
      </w:r>
    </w:p>
    <w:p w:rsidR="00CF2F99" w:rsidRPr="004F2525" w:rsidRDefault="0043488D"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II.1.5.</w:t>
      </w:r>
      <w:r w:rsidR="00C04D65" w:rsidRPr="004F2525">
        <w:rPr>
          <w:rFonts w:asciiTheme="majorBidi" w:hAnsiTheme="majorBidi" w:cstheme="majorBidi"/>
          <w:b/>
          <w:bCs/>
          <w:sz w:val="24"/>
          <w:szCs w:val="24"/>
        </w:rPr>
        <w:t>Régulation de l’activité</w:t>
      </w:r>
      <w:r w:rsidR="00CF2F99" w:rsidRPr="004F2525">
        <w:rPr>
          <w:rFonts w:asciiTheme="majorBidi" w:hAnsiTheme="majorBidi" w:cstheme="majorBidi"/>
          <w:b/>
          <w:bCs/>
          <w:sz w:val="24"/>
          <w:szCs w:val="24"/>
        </w:rPr>
        <w:t xml:space="preserve"> des RCPG :</w:t>
      </w:r>
    </w:p>
    <w:p w:rsidR="00C04D65" w:rsidRPr="004F2525" w:rsidRDefault="00C04D65"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 xml:space="preserve">        L’activité des RCPG repose sur un équilibre entre les mécanismes d'activation de la cascade de réactions qu'ils déclenchent et ceux qui aboutissent à leur inactivation et gouvernent l’arrêt de la réponse, permettant ainsi une meilleure adaptation de la cellule à un environnement en perpétuel changement</w:t>
      </w:r>
    </w:p>
    <w:p w:rsidR="00C04D65" w:rsidRPr="0043488D" w:rsidRDefault="0043488D" w:rsidP="00023F0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43488D">
        <w:rPr>
          <w:rFonts w:asciiTheme="majorBidi" w:hAnsiTheme="majorBidi" w:cstheme="majorBidi"/>
          <w:b/>
          <w:bCs/>
          <w:sz w:val="24"/>
          <w:szCs w:val="24"/>
        </w:rPr>
        <w:t>II.1.5.1.</w:t>
      </w:r>
      <w:r w:rsidR="00C04D65" w:rsidRPr="0043488D">
        <w:rPr>
          <w:rFonts w:asciiTheme="majorBidi" w:hAnsiTheme="majorBidi" w:cstheme="majorBidi"/>
          <w:b/>
          <w:bCs/>
          <w:sz w:val="24"/>
          <w:szCs w:val="24"/>
        </w:rPr>
        <w:t xml:space="preserve"> Elimination du ligand</w:t>
      </w:r>
    </w:p>
    <w:p w:rsidR="000C3F6B" w:rsidRPr="004F2525" w:rsidRDefault="00C04D65"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Le signal intracellulaire peut être limité par l’arrêt de la présence du ligand dans le milieu extracellulaire. Deux mécanismes conduisent à la suppression du ligand du milieu extracellulaire. Soit il est éliminé par recapture via des transporteurs spécifiques, comme c’est lecas de nombreux neurotransmetteurs (</w:t>
      </w:r>
      <w:r w:rsidRPr="004F2525">
        <w:rPr>
          <w:rFonts w:asciiTheme="majorBidi" w:eastAsia="Arial,Italic" w:hAnsiTheme="majorBidi" w:cstheme="majorBidi"/>
          <w:i/>
          <w:iCs/>
          <w:sz w:val="24"/>
          <w:szCs w:val="24"/>
        </w:rPr>
        <w:t>sérotonine, noradrénaline,…</w:t>
      </w:r>
      <w:r w:rsidRPr="004F2525">
        <w:rPr>
          <w:rFonts w:asciiTheme="majorBidi" w:hAnsiTheme="majorBidi" w:cstheme="majorBidi"/>
          <w:sz w:val="24"/>
          <w:szCs w:val="24"/>
        </w:rPr>
        <w:t>) au niveau des synapsescérébrales, soit il est dégradé par des enzymes protéolytiques contenues dans le milieuextracellulaire, comme cela peut être le cas des chimiokines tel que le CCL2.</w:t>
      </w:r>
    </w:p>
    <w:p w:rsidR="000C3F6B" w:rsidRPr="0012748C" w:rsidRDefault="0043488D" w:rsidP="0012748C">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II.1.5.2.</w:t>
      </w:r>
      <w:r w:rsidR="00C04D65" w:rsidRPr="0043488D">
        <w:rPr>
          <w:rFonts w:asciiTheme="majorBidi" w:hAnsiTheme="majorBidi" w:cstheme="majorBidi"/>
          <w:b/>
          <w:bCs/>
          <w:sz w:val="24"/>
          <w:szCs w:val="24"/>
        </w:rPr>
        <w:t xml:space="preserve">Régulation par </w:t>
      </w:r>
      <w:r w:rsidR="000C3F6B" w:rsidRPr="0043488D">
        <w:rPr>
          <w:rFonts w:asciiTheme="majorBidi" w:hAnsiTheme="majorBidi" w:cstheme="majorBidi"/>
          <w:b/>
          <w:bCs/>
          <w:sz w:val="24"/>
          <w:szCs w:val="24"/>
        </w:rPr>
        <w:t xml:space="preserve">les RGS (Regulator of G protein </w:t>
      </w:r>
      <w:r w:rsidR="00C04D65" w:rsidRPr="0043488D">
        <w:rPr>
          <w:rFonts w:asciiTheme="majorBidi" w:hAnsiTheme="majorBidi" w:cstheme="majorBidi"/>
          <w:b/>
          <w:bCs/>
          <w:sz w:val="24"/>
          <w:szCs w:val="24"/>
        </w:rPr>
        <w:t>Signalling)</w:t>
      </w:r>
    </w:p>
    <w:p w:rsidR="00C04D65" w:rsidRPr="004F2525" w:rsidRDefault="00C04D65"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 xml:space="preserve">Bien que les protéines G soient capables d’hydrolyser, elles-mêmes, le GTP qu’ellesportent, le processus est extrêmement lent et n’est pas représentatif de la vitesse à laquelle lesignal des RCPG est arrêté in vivo. Par exemple, le temps de demi vie de l’hydrolyse du GTPest de 15s </w:t>
      </w:r>
      <w:r w:rsidRPr="004F2525">
        <w:rPr>
          <w:rFonts w:asciiTheme="majorBidi" w:hAnsiTheme="majorBidi" w:cstheme="majorBidi"/>
          <w:sz w:val="24"/>
          <w:szCs w:val="24"/>
        </w:rPr>
        <w:lastRenderedPageBreak/>
        <w:t>pour la sous-unité α purifiée tandis que la désactivation des signaux visuels associés</w:t>
      </w:r>
      <w:r w:rsidR="000C3F6B" w:rsidRPr="004F2525">
        <w:rPr>
          <w:rFonts w:asciiTheme="majorBidi" w:hAnsiTheme="majorBidi" w:cstheme="majorBidi"/>
          <w:sz w:val="24"/>
          <w:szCs w:val="24"/>
        </w:rPr>
        <w:t xml:space="preserve"> est de 0,2s</w:t>
      </w:r>
      <w:r w:rsidRPr="004F2525">
        <w:rPr>
          <w:rFonts w:asciiTheme="majorBidi" w:hAnsiTheme="majorBidi" w:cstheme="majorBidi"/>
          <w:sz w:val="24"/>
          <w:szCs w:val="24"/>
        </w:rPr>
        <w:t>.</w:t>
      </w:r>
    </w:p>
    <w:p w:rsidR="00C04D65" w:rsidRPr="004F2525" w:rsidRDefault="00C04D65"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Dans le milieu des années 1990, une famille de protéines, les RGS, a été identifiée pour</w:t>
      </w:r>
    </w:p>
    <w:p w:rsidR="00C04D65" w:rsidRPr="004F2525" w:rsidRDefault="00C04D65"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sa capacité à réguler le signal des RCPG. Les RGS ont été identifiés pour la première fois chez</w:t>
      </w:r>
      <w:r w:rsidRPr="004F2525">
        <w:rPr>
          <w:rFonts w:asciiTheme="majorBidi" w:eastAsia="Arial,Italic" w:hAnsiTheme="majorBidi" w:cstheme="majorBidi"/>
          <w:i/>
          <w:iCs/>
          <w:sz w:val="24"/>
          <w:szCs w:val="24"/>
        </w:rPr>
        <w:t xml:space="preserve">Saccharomyces cerevisiae </w:t>
      </w:r>
      <w:r w:rsidRPr="004F2525">
        <w:rPr>
          <w:rFonts w:asciiTheme="majorBidi" w:hAnsiTheme="majorBidi" w:cstheme="majorBidi"/>
          <w:sz w:val="24"/>
          <w:szCs w:val="24"/>
        </w:rPr>
        <w:t>pour leur rôle dans l’inhibition des proté</w:t>
      </w:r>
      <w:r w:rsidR="000C3F6B" w:rsidRPr="004F2525">
        <w:rPr>
          <w:rFonts w:asciiTheme="majorBidi" w:hAnsiTheme="majorBidi" w:cstheme="majorBidi"/>
          <w:sz w:val="24"/>
          <w:szCs w:val="24"/>
        </w:rPr>
        <w:t xml:space="preserve">ines G. Ces </w:t>
      </w:r>
      <w:r w:rsidRPr="004F2525">
        <w:rPr>
          <w:rFonts w:asciiTheme="majorBidi" w:hAnsiTheme="majorBidi" w:cstheme="majorBidi"/>
          <w:sz w:val="24"/>
          <w:szCs w:val="24"/>
        </w:rPr>
        <w:t>protéines sontdes GAP (</w:t>
      </w:r>
      <w:r w:rsidRPr="004F2525">
        <w:rPr>
          <w:rFonts w:asciiTheme="majorBidi" w:hAnsiTheme="majorBidi" w:cstheme="majorBidi"/>
          <w:b/>
          <w:bCs/>
          <w:sz w:val="24"/>
          <w:szCs w:val="24"/>
        </w:rPr>
        <w:t>G</w:t>
      </w:r>
      <w:r w:rsidRPr="004F2525">
        <w:rPr>
          <w:rFonts w:asciiTheme="majorBidi" w:hAnsiTheme="majorBidi" w:cstheme="majorBidi"/>
          <w:sz w:val="24"/>
          <w:szCs w:val="24"/>
        </w:rPr>
        <w:t>TPase-</w:t>
      </w:r>
      <w:r w:rsidRPr="004F2525">
        <w:rPr>
          <w:rFonts w:asciiTheme="majorBidi" w:hAnsiTheme="majorBidi" w:cstheme="majorBidi"/>
          <w:b/>
          <w:bCs/>
          <w:sz w:val="24"/>
          <w:szCs w:val="24"/>
        </w:rPr>
        <w:t>A</w:t>
      </w:r>
      <w:r w:rsidRPr="004F2525">
        <w:rPr>
          <w:rFonts w:asciiTheme="majorBidi" w:hAnsiTheme="majorBidi" w:cstheme="majorBidi"/>
          <w:sz w:val="24"/>
          <w:szCs w:val="24"/>
        </w:rPr>
        <w:t xml:space="preserve">ccelerating </w:t>
      </w:r>
      <w:r w:rsidRPr="004F2525">
        <w:rPr>
          <w:rFonts w:asciiTheme="majorBidi" w:hAnsiTheme="majorBidi" w:cstheme="majorBidi"/>
          <w:b/>
          <w:bCs/>
          <w:sz w:val="24"/>
          <w:szCs w:val="24"/>
        </w:rPr>
        <w:t>P</w:t>
      </w:r>
      <w:r w:rsidRPr="004F2525">
        <w:rPr>
          <w:rFonts w:asciiTheme="majorBidi" w:hAnsiTheme="majorBidi" w:cstheme="majorBidi"/>
          <w:sz w:val="24"/>
          <w:szCs w:val="24"/>
        </w:rPr>
        <w:t>rotein). Les RGS ne possèdent pas d’activité GTPasique àproprement parler mais elles</w:t>
      </w:r>
      <w:r w:rsidR="000C3F6B" w:rsidRPr="004F2525">
        <w:rPr>
          <w:rFonts w:asciiTheme="majorBidi" w:hAnsiTheme="majorBidi" w:cstheme="majorBidi"/>
          <w:sz w:val="24"/>
          <w:szCs w:val="24"/>
        </w:rPr>
        <w:t xml:space="preserve"> modulent le signal des RCPG en </w:t>
      </w:r>
      <w:r w:rsidRPr="004F2525">
        <w:rPr>
          <w:rFonts w:asciiTheme="majorBidi" w:hAnsiTheme="majorBidi" w:cstheme="majorBidi"/>
          <w:sz w:val="24"/>
          <w:szCs w:val="24"/>
        </w:rPr>
        <w:t>accélérant le taux d’hydrolyse duGTP par la sous unité α réduisant ainsi la durée et l’amplitude du signal des RCPG dépendantdes protéines G. La protéine G retourne alors dans son état inactif, liée au GDP. Puisqu’ellesfacilitent la réassociation de la sous unité α avec le complexe βγ, on considère que les RGSinhibent également la signalisation induite par le dimère βγ.La famille des RGS comprend plus de 30 membres, dont les tailles varient de 17 à160 kDa et qui peuvent être soit membranaires soit cytosoliques. La signature des protéines decette famille consiste en un domaine RGS de 120 résidus par lequel elle lie la sous-unité α et quiest responsable de la fonction GAP. On distingue deux classes de RGS : les petites protéinesRGS (160 à 217 aa) qui ne possèdent que le domaine RGS encadré par de courtes extrémitésN- et C-terminales et les grandes protéines RGS (372 à 1387 aa) qui contiennent des motifsadditionnels permettant des liens entre les proté</w:t>
      </w:r>
      <w:r w:rsidR="000C3F6B" w:rsidRPr="004F2525">
        <w:rPr>
          <w:rFonts w:asciiTheme="majorBidi" w:hAnsiTheme="majorBidi" w:cstheme="majorBidi"/>
          <w:sz w:val="24"/>
          <w:szCs w:val="24"/>
        </w:rPr>
        <w:t xml:space="preserve">ines G </w:t>
      </w:r>
      <w:r w:rsidRPr="004F2525">
        <w:rPr>
          <w:rFonts w:asciiTheme="majorBidi" w:hAnsiTheme="majorBidi" w:cstheme="majorBidi"/>
          <w:sz w:val="24"/>
          <w:szCs w:val="24"/>
        </w:rPr>
        <w:t>hétérotrimériques et d’autres voies designalisation. Globalement leur rôle est de permettre la réassociation de l’hétérotrimère en fin de</w:t>
      </w:r>
      <w:r w:rsidR="000C3F6B" w:rsidRPr="004F2525">
        <w:rPr>
          <w:rFonts w:asciiTheme="majorBidi" w:hAnsiTheme="majorBidi" w:cstheme="majorBidi"/>
          <w:sz w:val="24"/>
          <w:szCs w:val="24"/>
        </w:rPr>
        <w:t xml:space="preserve"> cycle</w:t>
      </w:r>
      <w:r w:rsidRPr="004F2525">
        <w:rPr>
          <w:rFonts w:asciiTheme="majorBidi" w:hAnsiTheme="majorBidi" w:cstheme="majorBidi"/>
          <w:sz w:val="24"/>
          <w:szCs w:val="24"/>
        </w:rPr>
        <w:t>.</w:t>
      </w:r>
    </w:p>
    <w:p w:rsidR="00CF2F99" w:rsidRPr="004F2525" w:rsidRDefault="001D41D0"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II.1.6.</w:t>
      </w:r>
      <w:r w:rsidR="00CF2F99" w:rsidRPr="004F2525">
        <w:rPr>
          <w:rFonts w:asciiTheme="majorBidi" w:hAnsiTheme="majorBidi" w:cstheme="majorBidi"/>
          <w:b/>
          <w:bCs/>
          <w:sz w:val="24"/>
          <w:szCs w:val="24"/>
        </w:rPr>
        <w:t xml:space="preserve"> Désensibilisation des RCPG :</w:t>
      </w:r>
    </w:p>
    <w:p w:rsidR="00CF2F99" w:rsidRPr="004F2525" w:rsidRDefault="00CF2F99" w:rsidP="00023F0B">
      <w:pPr>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 xml:space="preserve">          La désensibilisation des RCPG est un processus adaptatif par lequel la réponse cellulaire, suite à l’activation d’un RCPG, décroît après une exposition prolongée avec leur agoniste. </w:t>
      </w:r>
    </w:p>
    <w:p w:rsidR="000C3F6B" w:rsidRPr="004F2525" w:rsidRDefault="00CF2F99"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t xml:space="preserve">         La désensibilisation représente un mécanisme essentiel pour empêcher une surstimulation en réponse à une stimulation soutenue</w:t>
      </w:r>
      <w:r w:rsidR="000C3F6B" w:rsidRPr="004F2525">
        <w:rPr>
          <w:rFonts w:asciiTheme="majorBidi" w:hAnsiTheme="majorBidi" w:cstheme="majorBidi"/>
          <w:sz w:val="24"/>
          <w:szCs w:val="24"/>
        </w:rPr>
        <w:t>, c’est est un processus de régu</w:t>
      </w:r>
      <w:r w:rsidR="004F2525" w:rsidRPr="004F2525">
        <w:rPr>
          <w:rFonts w:asciiTheme="majorBidi" w:hAnsiTheme="majorBidi" w:cstheme="majorBidi"/>
          <w:sz w:val="24"/>
          <w:szCs w:val="24"/>
        </w:rPr>
        <w:t xml:space="preserve">lation crucial pour la cellule dans le but </w:t>
      </w:r>
      <w:r w:rsidR="000C3F6B" w:rsidRPr="004F2525">
        <w:rPr>
          <w:rFonts w:asciiTheme="majorBidi" w:hAnsiTheme="majorBidi" w:cstheme="majorBidi"/>
          <w:sz w:val="24"/>
          <w:szCs w:val="24"/>
        </w:rPr>
        <w:t>Il consiste à contrôler finement la durée de la stimulation cellulaire induite par un RCPG donné.</w:t>
      </w:r>
    </w:p>
    <w:p w:rsidR="004F2525" w:rsidRPr="004F2525" w:rsidRDefault="000C3F6B" w:rsidP="0012748C">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4F2525">
        <w:rPr>
          <w:rFonts w:asciiTheme="majorBidi" w:hAnsiTheme="majorBidi" w:cstheme="majorBidi"/>
          <w:sz w:val="24"/>
          <w:szCs w:val="24"/>
        </w:rPr>
        <w:lastRenderedPageBreak/>
        <w:t>On distingue deux types de désensibilisation : la désensibilisation homologue et la désensibilisation hétérologue</w:t>
      </w:r>
    </w:p>
    <w:p w:rsidR="00CF2F99" w:rsidRPr="004F2525" w:rsidRDefault="001D41D0"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II.1.6.1.</w:t>
      </w:r>
      <w:r w:rsidR="00CF2F99" w:rsidRPr="004F2525">
        <w:rPr>
          <w:rFonts w:asciiTheme="majorBidi" w:hAnsiTheme="majorBidi" w:cstheme="majorBidi"/>
          <w:b/>
          <w:bCs/>
          <w:sz w:val="24"/>
          <w:szCs w:val="24"/>
        </w:rPr>
        <w:t>Désensibilisation hétérologue</w:t>
      </w:r>
    </w:p>
    <w:p w:rsidR="001D41D0" w:rsidRDefault="00CF2F99" w:rsidP="00023F0B">
      <w:pPr>
        <w:spacing w:before="100" w:beforeAutospacing="1" w:after="100" w:afterAutospacing="1" w:line="360" w:lineRule="auto"/>
        <w:jc w:val="both"/>
        <w:rPr>
          <w:rFonts w:asciiTheme="majorBidi" w:hAnsiTheme="majorBidi" w:cstheme="majorBidi"/>
          <w:b/>
          <w:bCs/>
          <w:sz w:val="24"/>
          <w:szCs w:val="24"/>
        </w:rPr>
      </w:pPr>
      <w:r w:rsidRPr="00B55DC6">
        <w:rPr>
          <w:rFonts w:asciiTheme="majorBidi" w:hAnsiTheme="majorBidi" w:cstheme="majorBidi"/>
          <w:sz w:val="24"/>
          <w:szCs w:val="24"/>
        </w:rPr>
        <w:t xml:space="preserve">         La désensibilisation des RCPG commence quelques secondes après la liaison de l’agoniste et est initiée par la phosphorylation de ceux-ci. Les protéines kinases dépendantes des seconds messagers, de la PKA et de la PKC, phosphorylent des résidus sérines et thréonines sur les boucles intracellulaires et les domaines C-terminaux de la queue cytoplasmique de plusieurs RCPG. La phosphorylation de ces sites altère le couplage des récepteurs avec les protéines G. La présence de l’agoniste n’est pas nécessaire pour ce processus. Donc, les récepteurs qui n'ont pas été en contact avec leur agoniste peuvent être désensibilisés par l’action de ces protéines kinases. Cette situation, en absence de ligand a donné naissance au terme désensibilisation hétérologue</w:t>
      </w:r>
    </w:p>
    <w:p w:rsidR="00CF2F99" w:rsidRDefault="001D41D0"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II.1.6.2.</w:t>
      </w:r>
      <w:r w:rsidR="00CF2F99" w:rsidRPr="00B55DC6">
        <w:rPr>
          <w:rFonts w:asciiTheme="majorBidi" w:hAnsiTheme="majorBidi" w:cstheme="majorBidi"/>
          <w:b/>
          <w:bCs/>
          <w:sz w:val="24"/>
          <w:szCs w:val="24"/>
        </w:rPr>
        <w:t xml:space="preserve"> Désensibilisation homologu</w:t>
      </w:r>
      <w:r w:rsidR="00CF2F99">
        <w:rPr>
          <w:rFonts w:asciiTheme="majorBidi" w:hAnsiTheme="majorBidi" w:cstheme="majorBidi"/>
          <w:b/>
          <w:bCs/>
          <w:sz w:val="24"/>
          <w:szCs w:val="24"/>
        </w:rPr>
        <w:t>e</w:t>
      </w:r>
    </w:p>
    <w:p w:rsidR="00CF2F99" w:rsidRDefault="00CF2F99" w:rsidP="00023F0B">
      <w:pPr>
        <w:spacing w:before="100" w:beforeAutospacing="1" w:after="100" w:afterAutospacing="1" w:line="360" w:lineRule="auto"/>
        <w:jc w:val="both"/>
        <w:rPr>
          <w:rFonts w:asciiTheme="majorBidi" w:hAnsiTheme="majorBidi" w:cstheme="majorBidi"/>
          <w:sz w:val="24"/>
          <w:szCs w:val="24"/>
        </w:rPr>
      </w:pPr>
      <w:r w:rsidRPr="00B55DC6">
        <w:rPr>
          <w:rFonts w:asciiTheme="majorBidi" w:hAnsiTheme="majorBidi" w:cstheme="majorBidi"/>
          <w:sz w:val="24"/>
          <w:szCs w:val="24"/>
        </w:rPr>
        <w:t xml:space="preserve">Comme la désensibilisation hétérologue, la désensibilisation homologue implique la phosphorylation des récepteurs. Cependant, la phosphorylation se fait par des kinases spécialisées pour les RCPG, les GRK (G-protein coupled receptor kinases). Ce type de désensibilisation se fait en plusieurs étapes dans lesquelles la phosphorylation est suivie de la liaison d’une protéine, l’arrestine, qui a comme rôle de découpler physiquement le récepteur et les protéines G suite à la stimulation du récepteur par son ligand </w:t>
      </w:r>
    </w:p>
    <w:p w:rsidR="006A6AFE" w:rsidRPr="006A6AFE" w:rsidRDefault="006A6AFE" w:rsidP="00023F0B">
      <w:pPr>
        <w:pStyle w:val="Paragraphedeliste"/>
        <w:numPr>
          <w:ilvl w:val="0"/>
          <w:numId w:val="2"/>
        </w:numPr>
        <w:autoSpaceDE w:val="0"/>
        <w:autoSpaceDN w:val="0"/>
        <w:adjustRightInd w:val="0"/>
        <w:spacing w:before="100" w:beforeAutospacing="1" w:after="100" w:afterAutospacing="1" w:line="360" w:lineRule="auto"/>
        <w:rPr>
          <w:rFonts w:ascii="Calibri" w:hAnsi="Calibri" w:cs="Calibri"/>
          <w:b/>
          <w:bCs/>
          <w:color w:val="000000"/>
          <w:sz w:val="23"/>
          <w:szCs w:val="23"/>
        </w:rPr>
      </w:pPr>
      <w:r w:rsidRPr="006A6AFE">
        <w:rPr>
          <w:rFonts w:ascii="Calibri" w:hAnsi="Calibri" w:cs="Calibri"/>
          <w:b/>
          <w:bCs/>
          <w:color w:val="000000"/>
          <w:sz w:val="23"/>
          <w:szCs w:val="23"/>
        </w:rPr>
        <w:t xml:space="preserve">GRK </w:t>
      </w:r>
    </w:p>
    <w:p w:rsidR="006A6AFE" w:rsidRPr="006A6AFE" w:rsidRDefault="006A6AFE" w:rsidP="00023F0B">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6A6AFE">
        <w:rPr>
          <w:rFonts w:asciiTheme="majorBidi" w:hAnsiTheme="majorBidi" w:cstheme="majorBidi"/>
          <w:color w:val="000000"/>
          <w:sz w:val="24"/>
          <w:szCs w:val="24"/>
        </w:rPr>
        <w:t xml:space="preserve">La famille des kinases GRK est composée de sept membres partageant une homologie de séquence élevée. Chacune des GRK partage une organisation protéique similaire. Un domaine catalytique central, un domaine RGS à l’extrémité N-terminale pour la reconnaissance de substrats et un domaine C-terminal qui contribue à la localisation membranaire des kinases. Les membres de la famille des GRKs peuvent être sous-divisés en trois groupes basés sur leur séquence et leur fonctionnalité: 1) GRK1 et GRK7; 2) GRK2 et GRK3; et 3) GRK4, GRK5 et GRK6. </w:t>
      </w:r>
      <w:r w:rsidRPr="00EC52BA">
        <w:rPr>
          <w:rFonts w:asciiTheme="majorBidi" w:hAnsiTheme="majorBidi" w:cstheme="majorBidi"/>
          <w:color w:val="000000"/>
          <w:sz w:val="24"/>
          <w:szCs w:val="24"/>
        </w:rPr>
        <w:t>La figure</w:t>
      </w:r>
      <w:r w:rsidR="00EC52BA">
        <w:rPr>
          <w:rFonts w:asciiTheme="majorBidi" w:hAnsiTheme="majorBidi" w:cstheme="majorBidi"/>
          <w:color w:val="000000"/>
          <w:sz w:val="24"/>
          <w:szCs w:val="24"/>
        </w:rPr>
        <w:t>13</w:t>
      </w:r>
      <w:r w:rsidRPr="006A6AFE">
        <w:rPr>
          <w:rFonts w:asciiTheme="majorBidi" w:hAnsiTheme="majorBidi" w:cstheme="majorBidi"/>
          <w:color w:val="000000"/>
          <w:sz w:val="24"/>
          <w:szCs w:val="24"/>
        </w:rPr>
        <w:t xml:space="preserve"> illustre les distinctions entre les différents membres. </w:t>
      </w:r>
    </w:p>
    <w:p w:rsidR="005070EE" w:rsidRDefault="006A6AFE" w:rsidP="00023F0B">
      <w:pPr>
        <w:spacing w:before="100" w:beforeAutospacing="1" w:after="100" w:afterAutospacing="1" w:line="360" w:lineRule="auto"/>
        <w:jc w:val="both"/>
        <w:rPr>
          <w:rFonts w:asciiTheme="majorBidi" w:hAnsiTheme="majorBidi" w:cstheme="majorBidi"/>
          <w:color w:val="000000"/>
          <w:sz w:val="24"/>
          <w:szCs w:val="24"/>
        </w:rPr>
      </w:pPr>
      <w:r w:rsidRPr="006A6AFE">
        <w:rPr>
          <w:rFonts w:asciiTheme="majorBidi" w:hAnsiTheme="majorBidi" w:cstheme="majorBidi"/>
          <w:color w:val="000000"/>
          <w:sz w:val="24"/>
          <w:szCs w:val="24"/>
        </w:rPr>
        <w:lastRenderedPageBreak/>
        <w:t>Le ciblage à la membrane plasmique de chacune des GRK se fait par l’entremise de mécanismes distincts qui impliquent les domaines de leur portion C-terminale. Par exemple, GRK1 et GRK7 sont farnelysés en C-ter</w:t>
      </w:r>
      <w:r w:rsidR="005070EE">
        <w:rPr>
          <w:rFonts w:asciiTheme="majorBidi" w:hAnsiTheme="majorBidi" w:cstheme="majorBidi"/>
          <w:color w:val="000000"/>
          <w:sz w:val="24"/>
          <w:szCs w:val="24"/>
        </w:rPr>
        <w:t>minal de la séquence CAAX</w:t>
      </w:r>
      <w:r w:rsidRPr="006A6AFE">
        <w:rPr>
          <w:rFonts w:asciiTheme="majorBidi" w:hAnsiTheme="majorBidi" w:cstheme="majorBidi"/>
          <w:color w:val="000000"/>
          <w:sz w:val="24"/>
          <w:szCs w:val="24"/>
        </w:rPr>
        <w:t xml:space="preserve">. </w:t>
      </w:r>
    </w:p>
    <w:p w:rsidR="00EC52BA" w:rsidRPr="00EC52BA" w:rsidRDefault="006A6AFE" w:rsidP="00EC52BA">
      <w:pPr>
        <w:spacing w:before="100" w:beforeAutospacing="1" w:after="100" w:afterAutospacing="1" w:line="360" w:lineRule="auto"/>
        <w:jc w:val="both"/>
        <w:rPr>
          <w:rFonts w:asciiTheme="majorBidi" w:hAnsiTheme="majorBidi" w:cstheme="majorBidi"/>
          <w:color w:val="000000"/>
          <w:sz w:val="24"/>
          <w:szCs w:val="24"/>
        </w:rPr>
      </w:pPr>
      <w:r w:rsidRPr="006A6AFE">
        <w:rPr>
          <w:rFonts w:asciiTheme="majorBidi" w:hAnsiTheme="majorBidi" w:cstheme="majorBidi"/>
          <w:color w:val="000000"/>
          <w:sz w:val="24"/>
          <w:szCs w:val="24"/>
        </w:rPr>
        <w:t>Les domaines C-terminaux des GRK2 et GRK3 contiennent un domaine de liaison aux sous-unités G</w:t>
      </w:r>
      <w:r w:rsidR="005070EE">
        <w:rPr>
          <w:rFonts w:asciiTheme="majorBidi" w:hAnsiTheme="majorBidi" w:cstheme="majorBidi"/>
          <w:color w:val="000000"/>
          <w:sz w:val="24"/>
          <w:szCs w:val="24"/>
        </w:rPr>
        <w:t>βγ</w:t>
      </w:r>
      <w:r w:rsidRPr="006A6AFE">
        <w:rPr>
          <w:rFonts w:asciiTheme="majorBidi" w:hAnsiTheme="majorBidi" w:cstheme="majorBidi"/>
          <w:color w:val="000000"/>
          <w:sz w:val="24"/>
          <w:szCs w:val="24"/>
        </w:rPr>
        <w:t>, lequel possède une grande homologie avec celui de la plecks</w:t>
      </w:r>
      <w:r w:rsidR="005070EE">
        <w:rPr>
          <w:rFonts w:asciiTheme="majorBidi" w:hAnsiTheme="majorBidi" w:cstheme="majorBidi"/>
          <w:color w:val="000000"/>
          <w:sz w:val="24"/>
          <w:szCs w:val="24"/>
        </w:rPr>
        <w:t>trine (PH)</w:t>
      </w:r>
      <w:r w:rsidRPr="006A6AFE">
        <w:rPr>
          <w:rFonts w:asciiTheme="majorBidi" w:hAnsiTheme="majorBidi" w:cstheme="majorBidi"/>
          <w:color w:val="000000"/>
          <w:sz w:val="24"/>
          <w:szCs w:val="24"/>
        </w:rPr>
        <w:t>. Le domaine C-terminal de la GRK5 contient une séquence de 46 résidus d’acides aminés basiques qui lui permet d’interagir avec les phospholipides de la membrane p</w:t>
      </w:r>
      <w:r w:rsidR="005070EE">
        <w:rPr>
          <w:rFonts w:asciiTheme="majorBidi" w:hAnsiTheme="majorBidi" w:cstheme="majorBidi"/>
          <w:color w:val="000000"/>
          <w:sz w:val="24"/>
          <w:szCs w:val="24"/>
        </w:rPr>
        <w:t>lasmique</w:t>
      </w:r>
      <w:r w:rsidRPr="006A6AFE">
        <w:rPr>
          <w:rFonts w:asciiTheme="majorBidi" w:hAnsiTheme="majorBidi" w:cstheme="majorBidi"/>
          <w:color w:val="000000"/>
          <w:sz w:val="24"/>
          <w:szCs w:val="24"/>
        </w:rPr>
        <w:t>. GRK4 et GRK6 sont palmitoylés sur des résidus</w:t>
      </w:r>
      <w:r w:rsidR="005070EE">
        <w:rPr>
          <w:rFonts w:asciiTheme="majorBidi" w:hAnsiTheme="majorBidi" w:cstheme="majorBidi"/>
          <w:color w:val="000000"/>
          <w:sz w:val="24"/>
          <w:szCs w:val="24"/>
        </w:rPr>
        <w:t xml:space="preserve"> cystéine</w:t>
      </w:r>
      <w:r w:rsidRPr="006A6AFE">
        <w:rPr>
          <w:rFonts w:asciiTheme="majorBidi" w:hAnsiTheme="majorBidi" w:cstheme="majorBidi"/>
          <w:color w:val="000000"/>
          <w:sz w:val="24"/>
          <w:szCs w:val="24"/>
        </w:rPr>
        <w:t>.</w:t>
      </w:r>
    </w:p>
    <w:p w:rsidR="006A6AFE" w:rsidRPr="005070EE" w:rsidRDefault="005070EE" w:rsidP="00023F0B">
      <w:pPr>
        <w:spacing w:before="100" w:beforeAutospacing="1" w:after="100" w:afterAutospacing="1" w:line="360" w:lineRule="auto"/>
        <w:jc w:val="both"/>
        <w:rPr>
          <w:rFonts w:asciiTheme="majorBidi" w:hAnsiTheme="majorBidi" w:cstheme="majorBidi"/>
          <w:sz w:val="24"/>
          <w:szCs w:val="24"/>
        </w:rPr>
      </w:pPr>
      <w:r w:rsidRPr="005070EE">
        <w:rPr>
          <w:rFonts w:asciiTheme="majorBidi" w:hAnsiTheme="majorBidi" w:cstheme="majorBidi"/>
          <w:sz w:val="24"/>
          <w:szCs w:val="24"/>
        </w:rPr>
        <w:t>Les GRK phosphorylent les RCPG sur des résidus sérines et thréonines localisés dans la troisième boucle intracellulaire et sur la queue C-terminale. Aucune séquence consensus n’a été identifiée quant au site de phosphorylation des GRK. Cependant, la localisation de résidus acides proximaux au site de phosphorylation semble favoriser la phosphorylation</w:t>
      </w:r>
      <w:r>
        <w:rPr>
          <w:rFonts w:asciiTheme="majorBidi" w:hAnsiTheme="majorBidi" w:cstheme="majorBidi"/>
          <w:sz w:val="24"/>
          <w:szCs w:val="24"/>
        </w:rPr>
        <w:t xml:space="preserve"> par la GRK2</w:t>
      </w:r>
      <w:r w:rsidRPr="005070EE">
        <w:rPr>
          <w:rFonts w:asciiTheme="majorBidi" w:hAnsiTheme="majorBidi" w:cstheme="majorBidi"/>
          <w:sz w:val="24"/>
          <w:szCs w:val="24"/>
        </w:rPr>
        <w:t>. Contrairement aux protéines kinases PKA et PKC, les GRK phosphorylent préférentiellement les récepteurs qui sont dans leur conformation activée. De plus, la phosphorylation seule des GRK a peu d’effet sur le découplage des récepteurs avec leurs protéines G. Plutôt, la principale fonction des GRK dans la désensibilisation des RCPG est celle d’augmenter l’affinité du récepte</w:t>
      </w:r>
      <w:r>
        <w:rPr>
          <w:rFonts w:asciiTheme="majorBidi" w:hAnsiTheme="majorBidi" w:cstheme="majorBidi"/>
          <w:sz w:val="24"/>
          <w:szCs w:val="24"/>
        </w:rPr>
        <w:t xml:space="preserve">ur pour l’arrestine </w:t>
      </w:r>
      <w:r w:rsidRPr="005070EE">
        <w:rPr>
          <w:rFonts w:asciiTheme="majorBidi" w:hAnsiTheme="majorBidi" w:cstheme="majorBidi"/>
          <w:sz w:val="24"/>
          <w:szCs w:val="24"/>
        </w:rPr>
        <w:t>.</w:t>
      </w:r>
    </w:p>
    <w:p w:rsidR="006A6AFE" w:rsidRDefault="00EC52BA" w:rsidP="00023F0B">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0288" behindDoc="1" locked="0" layoutInCell="1" allowOverlap="1">
            <wp:simplePos x="0" y="0"/>
            <wp:positionH relativeFrom="column">
              <wp:posOffset>191770</wp:posOffset>
            </wp:positionH>
            <wp:positionV relativeFrom="paragraph">
              <wp:posOffset>128905</wp:posOffset>
            </wp:positionV>
            <wp:extent cx="4954270" cy="2367915"/>
            <wp:effectExtent l="19050" t="1905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54270" cy="2367915"/>
                    </a:xfrm>
                    <a:prstGeom prst="rect">
                      <a:avLst/>
                    </a:prstGeom>
                    <a:noFill/>
                    <a:ln w="9525">
                      <a:solidFill>
                        <a:schemeClr val="tx1"/>
                      </a:solidFill>
                      <a:miter lim="800000"/>
                      <a:headEnd/>
                      <a:tailEnd/>
                    </a:ln>
                  </pic:spPr>
                </pic:pic>
              </a:graphicData>
            </a:graphic>
          </wp:anchor>
        </w:drawing>
      </w:r>
    </w:p>
    <w:p w:rsidR="006A6AFE" w:rsidRDefault="006A6AFE" w:rsidP="00023F0B">
      <w:pPr>
        <w:spacing w:before="100" w:beforeAutospacing="1" w:after="100" w:afterAutospacing="1" w:line="360" w:lineRule="auto"/>
        <w:jc w:val="both"/>
        <w:rPr>
          <w:rFonts w:asciiTheme="majorBidi" w:hAnsiTheme="majorBidi" w:cstheme="majorBidi"/>
          <w:sz w:val="24"/>
          <w:szCs w:val="24"/>
        </w:rPr>
      </w:pPr>
    </w:p>
    <w:p w:rsidR="006A6AFE" w:rsidRDefault="006A6AFE" w:rsidP="00023F0B">
      <w:pPr>
        <w:spacing w:before="100" w:beforeAutospacing="1" w:after="100" w:afterAutospacing="1" w:line="360" w:lineRule="auto"/>
        <w:jc w:val="both"/>
        <w:rPr>
          <w:rFonts w:asciiTheme="majorBidi" w:hAnsiTheme="majorBidi" w:cstheme="majorBidi"/>
          <w:b/>
          <w:bCs/>
          <w:sz w:val="24"/>
          <w:szCs w:val="24"/>
        </w:rPr>
      </w:pPr>
    </w:p>
    <w:p w:rsidR="005070EE" w:rsidRDefault="00AE2A34" w:rsidP="00AE2A34">
      <w:pPr>
        <w:tabs>
          <w:tab w:val="left" w:pos="3210"/>
        </w:tabs>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ab/>
      </w:r>
    </w:p>
    <w:p w:rsidR="00EC52BA" w:rsidRDefault="00EC52BA"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p>
    <w:p w:rsidR="00EC52BA" w:rsidRDefault="00EC52BA"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p>
    <w:p w:rsidR="005070EE" w:rsidRDefault="005070EE"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r w:rsidRPr="00D517C1">
        <w:rPr>
          <w:rFonts w:asciiTheme="majorBidi" w:hAnsiTheme="majorBidi" w:cstheme="majorBidi"/>
          <w:b/>
          <w:bCs/>
          <w:sz w:val="24"/>
          <w:szCs w:val="24"/>
        </w:rPr>
        <w:t xml:space="preserve">Figure </w:t>
      </w:r>
      <w:r w:rsidR="001D41D0" w:rsidRPr="00D517C1">
        <w:rPr>
          <w:rFonts w:asciiTheme="majorBidi" w:hAnsiTheme="majorBidi" w:cstheme="majorBidi"/>
          <w:b/>
          <w:bCs/>
          <w:sz w:val="24"/>
          <w:szCs w:val="24"/>
        </w:rPr>
        <w:t>13</w:t>
      </w:r>
      <w:r>
        <w:rPr>
          <w:b/>
          <w:bCs/>
          <w:sz w:val="23"/>
          <w:szCs w:val="23"/>
        </w:rPr>
        <w:t> </w:t>
      </w:r>
      <w:r w:rsidRPr="001D41D0">
        <w:rPr>
          <w:sz w:val="23"/>
          <w:szCs w:val="23"/>
        </w:rPr>
        <w:t xml:space="preserve">: </w:t>
      </w:r>
      <w:r w:rsidRPr="00D517C1">
        <w:rPr>
          <w:rFonts w:asciiTheme="majorBidi" w:hAnsiTheme="majorBidi" w:cstheme="majorBidi"/>
          <w:sz w:val="24"/>
          <w:szCs w:val="24"/>
        </w:rPr>
        <w:t>Représentation schématique des domaines architecturaux des GRK</w:t>
      </w:r>
      <w:r w:rsidRPr="00D517C1">
        <w:rPr>
          <w:rFonts w:asciiTheme="majorBidi" w:hAnsiTheme="majorBidi" w:cstheme="majorBidi"/>
          <w:b/>
          <w:bCs/>
          <w:sz w:val="24"/>
          <w:szCs w:val="24"/>
        </w:rPr>
        <w:t xml:space="preserve"> (Roy, 2014)</w:t>
      </w:r>
    </w:p>
    <w:p w:rsidR="005070EE" w:rsidRDefault="005070EE"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p>
    <w:p w:rsidR="005070EE" w:rsidRDefault="005070EE" w:rsidP="00EC52BA">
      <w:pPr>
        <w:autoSpaceDE w:val="0"/>
        <w:autoSpaceDN w:val="0"/>
        <w:adjustRightInd w:val="0"/>
        <w:spacing w:before="100" w:beforeAutospacing="1" w:after="100" w:afterAutospacing="1" w:line="360" w:lineRule="auto"/>
        <w:jc w:val="both"/>
        <w:rPr>
          <w:rFonts w:asciiTheme="majorBidi" w:hAnsiTheme="majorBidi" w:cstheme="majorBidi"/>
          <w:b/>
          <w:bCs/>
          <w:color w:val="000000"/>
          <w:sz w:val="24"/>
          <w:szCs w:val="24"/>
        </w:rPr>
      </w:pPr>
      <w:r w:rsidRPr="005070EE">
        <w:rPr>
          <w:rFonts w:asciiTheme="majorBidi" w:hAnsiTheme="majorBidi" w:cstheme="majorBidi"/>
          <w:sz w:val="24"/>
          <w:szCs w:val="24"/>
        </w:rPr>
        <w:lastRenderedPageBreak/>
        <w:t>Le domaine de liaison aux RCPG contient une région RGS conservée. Le ciblage aux membranes de chacune des GRK se fait par des mécanismes distincts impliquant leur région C-terminale. Les GRK1 et 7 sont farnesylées. Les GRK2 et 3 contiennent une région d’i</w:t>
      </w:r>
      <w:r>
        <w:rPr>
          <w:rFonts w:asciiTheme="majorBidi" w:hAnsiTheme="majorBidi" w:cstheme="majorBidi"/>
          <w:sz w:val="24"/>
          <w:szCs w:val="24"/>
        </w:rPr>
        <w:t>nteraction avec les sous-unités βγ</w:t>
      </w:r>
      <w:r w:rsidRPr="005070EE">
        <w:rPr>
          <w:rFonts w:asciiTheme="majorBidi" w:hAnsiTheme="majorBidi" w:cstheme="majorBidi"/>
          <w:sz w:val="24"/>
          <w:szCs w:val="24"/>
        </w:rPr>
        <w:t>. La GRK5 contient une région d’acides aminés basiques pour s’associer aux phospholipides membranaires. Les GRK4 et 6 sont palmitoylées.</w:t>
      </w:r>
    </w:p>
    <w:p w:rsidR="00EE0641" w:rsidRPr="00EC52BA" w:rsidRDefault="005070EE" w:rsidP="00EC52BA">
      <w:pPr>
        <w:pStyle w:val="Paragraphedeliste"/>
        <w:numPr>
          <w:ilvl w:val="0"/>
          <w:numId w:val="2"/>
        </w:numPr>
        <w:autoSpaceDE w:val="0"/>
        <w:autoSpaceDN w:val="0"/>
        <w:adjustRightInd w:val="0"/>
        <w:spacing w:before="100" w:beforeAutospacing="1" w:after="100" w:afterAutospacing="1" w:line="360" w:lineRule="auto"/>
        <w:rPr>
          <w:rFonts w:ascii="Calibri" w:hAnsi="Calibri" w:cs="Calibri"/>
          <w:b/>
          <w:bCs/>
          <w:color w:val="000000"/>
          <w:sz w:val="23"/>
          <w:szCs w:val="23"/>
        </w:rPr>
      </w:pPr>
      <w:r w:rsidRPr="005070EE">
        <w:rPr>
          <w:rFonts w:ascii="Calibri" w:hAnsi="Calibri" w:cs="Calibri"/>
          <w:b/>
          <w:bCs/>
          <w:color w:val="000000"/>
          <w:sz w:val="23"/>
          <w:szCs w:val="23"/>
        </w:rPr>
        <w:t xml:space="preserve">Arrestines </w:t>
      </w:r>
    </w:p>
    <w:p w:rsidR="005070EE" w:rsidRPr="005070EE" w:rsidRDefault="005070EE" w:rsidP="00023F0B">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5070EE">
        <w:rPr>
          <w:rFonts w:asciiTheme="majorBidi" w:hAnsiTheme="majorBidi" w:cstheme="majorBidi"/>
          <w:color w:val="000000"/>
          <w:sz w:val="24"/>
          <w:szCs w:val="24"/>
        </w:rPr>
        <w:t>La phosphorylation des RCPG dépendante des GRK n’est pas suffisante pour promouvoir une inactivation complète des récepteurs. Les arrestines sont requises pour une inactivation complète. Ces protéines contribuent à la désensibilisation des RCPG de deux manières. D’une part, elles participent au découplage physique des RCPG avec les protéines G hétérotrimériques. D’autre part, elles guident les RCPG dans la voie d’internalisation, de resensibilisation ou de dégrada</w:t>
      </w:r>
      <w:r w:rsidR="00EE0641">
        <w:rPr>
          <w:rFonts w:asciiTheme="majorBidi" w:hAnsiTheme="majorBidi" w:cstheme="majorBidi"/>
          <w:color w:val="000000"/>
          <w:sz w:val="24"/>
          <w:szCs w:val="24"/>
        </w:rPr>
        <w:t>tion</w:t>
      </w:r>
      <w:r w:rsidRPr="005070EE">
        <w:rPr>
          <w:rFonts w:asciiTheme="majorBidi" w:hAnsiTheme="majorBidi" w:cstheme="majorBidi"/>
          <w:color w:val="000000"/>
          <w:sz w:val="24"/>
          <w:szCs w:val="24"/>
        </w:rPr>
        <w:t xml:space="preserve">. </w:t>
      </w:r>
    </w:p>
    <w:p w:rsidR="005070EE" w:rsidRPr="005070EE" w:rsidRDefault="005070EE" w:rsidP="00023F0B">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5070EE">
        <w:rPr>
          <w:rFonts w:asciiTheme="majorBidi" w:hAnsiTheme="majorBidi" w:cstheme="majorBidi"/>
          <w:color w:val="000000"/>
          <w:sz w:val="24"/>
          <w:szCs w:val="24"/>
        </w:rPr>
        <w:t>Quatre membres de la famille des arrestines ont été identifiés. Elles peuvent être divisées en deux groupes basés sur leur homologie de séquence, leurs fonctions et leur distribution tissulaire. Le premier groupe est composé de l’arrestine visuelle (anti</w:t>
      </w:r>
      <w:r w:rsidR="00EE0641">
        <w:rPr>
          <w:rFonts w:asciiTheme="majorBidi" w:hAnsiTheme="majorBidi" w:cstheme="majorBidi"/>
          <w:color w:val="000000"/>
          <w:sz w:val="24"/>
          <w:szCs w:val="24"/>
        </w:rPr>
        <w:t>gène S)</w:t>
      </w:r>
      <w:r w:rsidRPr="005070EE">
        <w:rPr>
          <w:rFonts w:asciiTheme="majorBidi" w:hAnsiTheme="majorBidi" w:cstheme="majorBidi"/>
          <w:color w:val="000000"/>
          <w:sz w:val="24"/>
          <w:szCs w:val="24"/>
        </w:rPr>
        <w:t xml:space="preserve"> et de l’arrestine cone (X-arrestine ou C-ar</w:t>
      </w:r>
      <w:r w:rsidR="00EE0641">
        <w:rPr>
          <w:rFonts w:asciiTheme="majorBidi" w:hAnsiTheme="majorBidi" w:cstheme="majorBidi"/>
          <w:color w:val="000000"/>
          <w:sz w:val="24"/>
          <w:szCs w:val="24"/>
        </w:rPr>
        <w:t>restine)</w:t>
      </w:r>
      <w:r w:rsidRPr="005070EE">
        <w:rPr>
          <w:rFonts w:asciiTheme="majorBidi" w:hAnsiTheme="majorBidi" w:cstheme="majorBidi"/>
          <w:color w:val="000000"/>
          <w:sz w:val="24"/>
          <w:szCs w:val="24"/>
        </w:rPr>
        <w:t xml:space="preserve">. Elles sont exprimées majoritairement à la rétine et régulent les fonctions des photorécepteurs. Le second groupe est composé des arrestines non visuelles, </w:t>
      </w:r>
      <w:r w:rsidR="00EE0641">
        <w:rPr>
          <w:rFonts w:asciiTheme="majorBidi" w:hAnsiTheme="majorBidi" w:cstheme="majorBidi"/>
          <w:color w:val="000000"/>
          <w:sz w:val="24"/>
          <w:szCs w:val="24"/>
        </w:rPr>
        <w:t>β-arrestine 1 (arrestine 2) et β</w:t>
      </w:r>
      <w:r w:rsidRPr="005070EE">
        <w:rPr>
          <w:rFonts w:asciiTheme="majorBidi" w:hAnsiTheme="majorBidi" w:cstheme="majorBidi"/>
          <w:color w:val="000000"/>
          <w:sz w:val="24"/>
          <w:szCs w:val="24"/>
        </w:rPr>
        <w:t>-arresti</w:t>
      </w:r>
      <w:r w:rsidR="00EE0641">
        <w:rPr>
          <w:rFonts w:asciiTheme="majorBidi" w:hAnsiTheme="majorBidi" w:cstheme="majorBidi"/>
          <w:color w:val="000000"/>
          <w:sz w:val="24"/>
          <w:szCs w:val="24"/>
        </w:rPr>
        <w:t>ne 2 (arrestine 3). Les β</w:t>
      </w:r>
      <w:r w:rsidRPr="005070EE">
        <w:rPr>
          <w:rFonts w:asciiTheme="majorBidi" w:hAnsiTheme="majorBidi" w:cstheme="majorBidi"/>
          <w:color w:val="000000"/>
          <w:sz w:val="24"/>
          <w:szCs w:val="24"/>
        </w:rPr>
        <w:t>-arrestines sont exprimées de manière ubiquitiste (à l’exception de la rétine) et leur fonction est de réguler l’activité des autres RCPG. Les quatre arrestines lient les RCPG activés et phosphorylés par les GR</w:t>
      </w:r>
      <w:r w:rsidR="00EE0641">
        <w:rPr>
          <w:rFonts w:asciiTheme="majorBidi" w:hAnsiTheme="majorBidi" w:cstheme="majorBidi"/>
          <w:color w:val="000000"/>
          <w:sz w:val="24"/>
          <w:szCs w:val="24"/>
        </w:rPr>
        <w:t>K. Les queues C-terminales des β</w:t>
      </w:r>
      <w:r w:rsidRPr="005070EE">
        <w:rPr>
          <w:rFonts w:asciiTheme="majorBidi" w:hAnsiTheme="majorBidi" w:cstheme="majorBidi"/>
          <w:color w:val="000000"/>
          <w:sz w:val="24"/>
          <w:szCs w:val="24"/>
        </w:rPr>
        <w:t>-arrestines contiennent des motifs de liaison pour la c</w:t>
      </w:r>
      <w:r w:rsidR="00EE0641">
        <w:rPr>
          <w:rFonts w:asciiTheme="majorBidi" w:hAnsiTheme="majorBidi" w:cstheme="majorBidi"/>
          <w:color w:val="000000"/>
          <w:sz w:val="24"/>
          <w:szCs w:val="24"/>
        </w:rPr>
        <w:t>lathrine  et la sous-unité β</w:t>
      </w:r>
      <w:r w:rsidRPr="005070EE">
        <w:rPr>
          <w:rFonts w:asciiTheme="majorBidi" w:hAnsiTheme="majorBidi" w:cstheme="majorBidi"/>
          <w:color w:val="000000"/>
          <w:sz w:val="24"/>
          <w:szCs w:val="24"/>
        </w:rPr>
        <w:t>2-adaptine du comp</w:t>
      </w:r>
      <w:r w:rsidR="00EE0641">
        <w:rPr>
          <w:rFonts w:asciiTheme="majorBidi" w:hAnsiTheme="majorBidi" w:cstheme="majorBidi"/>
          <w:color w:val="000000"/>
          <w:sz w:val="24"/>
          <w:szCs w:val="24"/>
        </w:rPr>
        <w:t>lexe AP-2</w:t>
      </w:r>
      <w:r w:rsidRPr="005070EE">
        <w:rPr>
          <w:rFonts w:asciiTheme="majorBidi" w:hAnsiTheme="majorBidi" w:cstheme="majorBidi"/>
          <w:color w:val="000000"/>
          <w:sz w:val="24"/>
          <w:szCs w:val="24"/>
        </w:rPr>
        <w:t>. Ces caractéristiques leurs permettent d’agir comme protéines adaptatrices dans le ciblage des RCPG dans les puits d’endocytose tapissés de clathrine. Globalement, les arrestines régulent les processus d’endocytose, de trafic intracellulaire, de resensibilisation et de régulation né</w:t>
      </w:r>
      <w:r w:rsidR="00EE0641">
        <w:rPr>
          <w:rFonts w:asciiTheme="majorBidi" w:hAnsiTheme="majorBidi" w:cstheme="majorBidi"/>
          <w:color w:val="000000"/>
          <w:sz w:val="24"/>
          <w:szCs w:val="24"/>
        </w:rPr>
        <w:t>gative des RCPG</w:t>
      </w:r>
      <w:r w:rsidRPr="005070EE">
        <w:rPr>
          <w:rFonts w:asciiTheme="majorBidi" w:hAnsiTheme="majorBidi" w:cstheme="majorBidi"/>
          <w:color w:val="000000"/>
          <w:sz w:val="24"/>
          <w:szCs w:val="24"/>
        </w:rPr>
        <w:t xml:space="preserve">. </w:t>
      </w:r>
    </w:p>
    <w:p w:rsidR="005070EE" w:rsidRPr="00EC52BA" w:rsidRDefault="005070EE" w:rsidP="00EC52BA">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5070EE">
        <w:rPr>
          <w:rFonts w:asciiTheme="majorBidi" w:hAnsiTheme="majorBidi" w:cstheme="majorBidi"/>
          <w:color w:val="000000"/>
          <w:sz w:val="24"/>
          <w:szCs w:val="24"/>
        </w:rPr>
        <w:t>Les RCPG sont classés en deux catégories selon leur patron d’interaction avec les deux isofor</w:t>
      </w:r>
      <w:r w:rsidR="00EE0641">
        <w:rPr>
          <w:rFonts w:asciiTheme="majorBidi" w:hAnsiTheme="majorBidi" w:cstheme="majorBidi"/>
          <w:color w:val="000000"/>
          <w:sz w:val="24"/>
          <w:szCs w:val="24"/>
        </w:rPr>
        <w:t>mes des β</w:t>
      </w:r>
      <w:r w:rsidRPr="005070EE">
        <w:rPr>
          <w:rFonts w:asciiTheme="majorBidi" w:hAnsiTheme="majorBidi" w:cstheme="majorBidi"/>
          <w:color w:val="000000"/>
          <w:sz w:val="24"/>
          <w:szCs w:val="24"/>
        </w:rPr>
        <w:t>-arrestines. Les ré</w:t>
      </w:r>
      <w:r w:rsidR="00EE0641">
        <w:rPr>
          <w:rFonts w:asciiTheme="majorBidi" w:hAnsiTheme="majorBidi" w:cstheme="majorBidi"/>
          <w:color w:val="000000"/>
          <w:sz w:val="24"/>
          <w:szCs w:val="24"/>
        </w:rPr>
        <w:t>cepteurs de classe A, incluant β2-adrénergique et β-opioïde, lient la β</w:t>
      </w:r>
      <w:r w:rsidRPr="005070EE">
        <w:rPr>
          <w:rFonts w:asciiTheme="majorBidi" w:hAnsiTheme="majorBidi" w:cstheme="majorBidi"/>
          <w:color w:val="000000"/>
          <w:sz w:val="24"/>
          <w:szCs w:val="24"/>
        </w:rPr>
        <w:t>-arrestine 2 avec u</w:t>
      </w:r>
      <w:r w:rsidR="00EE0641">
        <w:rPr>
          <w:rFonts w:asciiTheme="majorBidi" w:hAnsiTheme="majorBidi" w:cstheme="majorBidi"/>
          <w:color w:val="000000"/>
          <w:sz w:val="24"/>
          <w:szCs w:val="24"/>
        </w:rPr>
        <w:t>ne plus grande affinité que la β</w:t>
      </w:r>
      <w:r w:rsidRPr="005070EE">
        <w:rPr>
          <w:rFonts w:asciiTheme="majorBidi" w:hAnsiTheme="majorBidi" w:cstheme="majorBidi"/>
          <w:color w:val="000000"/>
          <w:sz w:val="24"/>
          <w:szCs w:val="24"/>
        </w:rPr>
        <w:t>-arrestine 1. De plus, cette i</w:t>
      </w:r>
      <w:r w:rsidR="00EE0641">
        <w:rPr>
          <w:rFonts w:asciiTheme="majorBidi" w:hAnsiTheme="majorBidi" w:cstheme="majorBidi"/>
          <w:color w:val="000000"/>
          <w:sz w:val="24"/>
          <w:szCs w:val="24"/>
        </w:rPr>
        <w:t>nteraction est transitoire. La β</w:t>
      </w:r>
      <w:r w:rsidRPr="005070EE">
        <w:rPr>
          <w:rFonts w:asciiTheme="majorBidi" w:hAnsiTheme="majorBidi" w:cstheme="majorBidi"/>
          <w:color w:val="000000"/>
          <w:sz w:val="24"/>
          <w:szCs w:val="24"/>
        </w:rPr>
        <w:t>-arrestine est recrutée au récepteur à la membrane plasmique et est internalisée dans des puits de clathrines. Après internalisation du</w:t>
      </w:r>
      <w:r w:rsidRPr="005070EE">
        <w:rPr>
          <w:rFonts w:asciiTheme="majorBidi" w:hAnsiTheme="majorBidi" w:cstheme="majorBidi"/>
          <w:sz w:val="24"/>
          <w:szCs w:val="24"/>
        </w:rPr>
        <w:t xml:space="preserve">récepteur, il y a </w:t>
      </w:r>
      <w:r w:rsidRPr="005070EE">
        <w:rPr>
          <w:rFonts w:asciiTheme="majorBidi" w:hAnsiTheme="majorBidi" w:cstheme="majorBidi"/>
          <w:sz w:val="24"/>
          <w:szCs w:val="24"/>
        </w:rPr>
        <w:lastRenderedPageBreak/>
        <w:t xml:space="preserve">dissociation de la </w:t>
      </w:r>
      <w:r w:rsidR="00EE0641">
        <w:rPr>
          <w:rFonts w:asciiTheme="majorBidi" w:hAnsiTheme="majorBidi" w:cstheme="majorBidi"/>
          <w:sz w:val="24"/>
          <w:szCs w:val="24"/>
        </w:rPr>
        <w:t>β</w:t>
      </w:r>
      <w:r w:rsidRPr="005070EE">
        <w:rPr>
          <w:rFonts w:asciiTheme="majorBidi" w:hAnsiTheme="majorBidi" w:cstheme="majorBidi"/>
          <w:sz w:val="24"/>
          <w:szCs w:val="24"/>
        </w:rPr>
        <w:t xml:space="preserve">-arrestine avec ce dernier. La </w:t>
      </w:r>
      <w:r w:rsidR="00EE0641">
        <w:rPr>
          <w:rFonts w:asciiTheme="majorBidi" w:hAnsiTheme="majorBidi" w:cstheme="majorBidi"/>
          <w:sz w:val="24"/>
          <w:szCs w:val="24"/>
        </w:rPr>
        <w:t>β</w:t>
      </w:r>
      <w:r w:rsidRPr="005070EE">
        <w:rPr>
          <w:rFonts w:asciiTheme="majorBidi" w:hAnsiTheme="majorBidi" w:cstheme="majorBidi"/>
          <w:sz w:val="24"/>
          <w:szCs w:val="24"/>
        </w:rPr>
        <w:t>-arrestine est ensuite recyclée à la membrane plasmique tandis que le récepteur chemine dans les comp</w:t>
      </w:r>
      <w:r w:rsidR="00EE0641">
        <w:rPr>
          <w:rFonts w:asciiTheme="majorBidi" w:hAnsiTheme="majorBidi" w:cstheme="majorBidi"/>
          <w:sz w:val="24"/>
          <w:szCs w:val="24"/>
        </w:rPr>
        <w:t>artiments endosomaux</w:t>
      </w:r>
      <w:r w:rsidRPr="005070EE">
        <w:rPr>
          <w:rFonts w:asciiTheme="majorBidi" w:hAnsiTheme="majorBidi" w:cstheme="majorBidi"/>
          <w:sz w:val="24"/>
          <w:szCs w:val="24"/>
        </w:rPr>
        <w:t xml:space="preserve">. Les récepteurs de classe B, représentés par angiotensine AT1AR et vasopressine V2R, lient la </w:t>
      </w:r>
      <w:r w:rsidR="00EE0641">
        <w:rPr>
          <w:rFonts w:asciiTheme="majorBidi" w:hAnsiTheme="majorBidi" w:cstheme="majorBidi"/>
          <w:sz w:val="24"/>
          <w:szCs w:val="24"/>
        </w:rPr>
        <w:t>β</w:t>
      </w:r>
      <w:r w:rsidRPr="005070EE">
        <w:rPr>
          <w:rFonts w:asciiTheme="majorBidi" w:hAnsiTheme="majorBidi" w:cstheme="majorBidi"/>
          <w:sz w:val="24"/>
          <w:szCs w:val="24"/>
        </w:rPr>
        <w:t xml:space="preserve">-arrestine 2 avec autant d’affinité que la </w:t>
      </w:r>
      <w:r w:rsidR="00EE0641">
        <w:rPr>
          <w:rFonts w:asciiTheme="majorBidi" w:hAnsiTheme="majorBidi" w:cstheme="majorBidi"/>
          <w:sz w:val="24"/>
          <w:szCs w:val="24"/>
        </w:rPr>
        <w:t>β</w:t>
      </w:r>
      <w:r w:rsidRPr="005070EE">
        <w:rPr>
          <w:rFonts w:asciiTheme="majorBidi" w:hAnsiTheme="majorBidi" w:cstheme="majorBidi"/>
          <w:sz w:val="24"/>
          <w:szCs w:val="24"/>
        </w:rPr>
        <w:t xml:space="preserve">-arrestine 1. Ces récepteurs forment des complexes stables avec les </w:t>
      </w:r>
      <w:r w:rsidR="00EE0641">
        <w:rPr>
          <w:rFonts w:asciiTheme="majorBidi" w:hAnsiTheme="majorBidi" w:cstheme="majorBidi"/>
          <w:sz w:val="24"/>
          <w:szCs w:val="24"/>
        </w:rPr>
        <w:t>β</w:t>
      </w:r>
      <w:r w:rsidRPr="005070EE">
        <w:rPr>
          <w:rFonts w:asciiTheme="majorBidi" w:hAnsiTheme="majorBidi" w:cstheme="majorBidi"/>
          <w:sz w:val="24"/>
          <w:szCs w:val="24"/>
        </w:rPr>
        <w:t>-arrestines. Ceci a pour conséquence la co-internalisation du complexe récepteur/</w:t>
      </w:r>
      <w:r w:rsidR="00EE0641">
        <w:rPr>
          <w:rFonts w:asciiTheme="majorBidi" w:hAnsiTheme="majorBidi" w:cstheme="majorBidi"/>
          <w:sz w:val="24"/>
          <w:szCs w:val="24"/>
        </w:rPr>
        <w:t>β</w:t>
      </w:r>
      <w:r w:rsidRPr="005070EE">
        <w:rPr>
          <w:rFonts w:asciiTheme="majorBidi" w:hAnsiTheme="majorBidi" w:cstheme="majorBidi"/>
          <w:sz w:val="24"/>
          <w:szCs w:val="24"/>
        </w:rPr>
        <w:t>-arrestine. De plus, les récepteurs ne sont pas efficacement recyclés à l</w:t>
      </w:r>
      <w:r>
        <w:rPr>
          <w:rFonts w:asciiTheme="majorBidi" w:hAnsiTheme="majorBidi" w:cstheme="majorBidi"/>
          <w:sz w:val="24"/>
          <w:szCs w:val="24"/>
        </w:rPr>
        <w:t>a membrane plasmique</w:t>
      </w:r>
      <w:r w:rsidRPr="005070EE">
        <w:rPr>
          <w:rFonts w:asciiTheme="majorBidi" w:hAnsiTheme="majorBidi" w:cstheme="majorBidi"/>
          <w:sz w:val="24"/>
          <w:szCs w:val="24"/>
        </w:rPr>
        <w:t>.</w:t>
      </w:r>
    </w:p>
    <w:p w:rsidR="006A6AFE" w:rsidRPr="006A6AFE" w:rsidRDefault="001D41D0"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II.1.6.3.</w:t>
      </w:r>
      <w:r w:rsidR="006A6AFE" w:rsidRPr="006A6AFE">
        <w:rPr>
          <w:rFonts w:asciiTheme="majorBidi" w:hAnsiTheme="majorBidi" w:cstheme="majorBidi"/>
          <w:b/>
          <w:bCs/>
          <w:color w:val="000000"/>
          <w:sz w:val="24"/>
          <w:szCs w:val="24"/>
        </w:rPr>
        <w:t xml:space="preserve"> Internalisation des RCPG dépendante des β-arrestines</w:t>
      </w:r>
    </w:p>
    <w:p w:rsidR="006A6AFE" w:rsidRPr="006A6AFE" w:rsidRDefault="001D41D0" w:rsidP="00023F0B">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II.1.6.3.1. </w:t>
      </w:r>
      <w:r w:rsidR="006A6AFE" w:rsidRPr="006A6AFE">
        <w:rPr>
          <w:rFonts w:asciiTheme="majorBidi" w:hAnsiTheme="majorBidi" w:cstheme="majorBidi"/>
          <w:b/>
          <w:bCs/>
          <w:color w:val="000000"/>
          <w:sz w:val="24"/>
          <w:szCs w:val="24"/>
        </w:rPr>
        <w:t xml:space="preserve"> Internalisation constitutive des RCPG</w:t>
      </w:r>
    </w:p>
    <w:p w:rsidR="006A6AFE" w:rsidRPr="006A6AFE" w:rsidRDefault="006A6AFE" w:rsidP="00023F0B">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6A6AFE">
        <w:rPr>
          <w:rFonts w:asciiTheme="majorBidi" w:hAnsiTheme="majorBidi" w:cstheme="majorBidi"/>
          <w:color w:val="000000"/>
          <w:sz w:val="24"/>
          <w:szCs w:val="24"/>
        </w:rPr>
        <w:t xml:space="preserve">        A l’état inactif, les RCPG subissent une internalisation, dont le taux est relativement bas par rapport à une internalisation induite par le ligand. En plus de contribuer à l’homéostasie cellulaire, l’internalisation constitutive des RCPG pourrait servir à maintenir une réserve interne de récepteurs pour remplacer ceux qui sont désensibilisés après une exposition aux ligands.</w:t>
      </w:r>
    </w:p>
    <w:p w:rsidR="00086A57" w:rsidRPr="00086A57" w:rsidRDefault="001D41D0" w:rsidP="00EC52BA">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II.1.6.3.2.</w:t>
      </w:r>
      <w:r w:rsidR="006A6AFE" w:rsidRPr="00086A57">
        <w:rPr>
          <w:rFonts w:asciiTheme="majorBidi" w:hAnsiTheme="majorBidi" w:cstheme="majorBidi"/>
          <w:b/>
          <w:bCs/>
          <w:color w:val="000000"/>
          <w:sz w:val="24"/>
          <w:szCs w:val="24"/>
        </w:rPr>
        <w:t xml:space="preserve"> Internalisation dépendante du ligand</w:t>
      </w:r>
    </w:p>
    <w:p w:rsidR="006A6AFE" w:rsidRDefault="006A6AFE" w:rsidP="00AE2A34">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6A6AFE">
        <w:rPr>
          <w:rFonts w:asciiTheme="majorBidi" w:hAnsiTheme="majorBidi" w:cstheme="majorBidi"/>
          <w:color w:val="000000"/>
          <w:sz w:val="24"/>
          <w:szCs w:val="24"/>
        </w:rPr>
        <w:t xml:space="preserve">Après l’étape de désensibilisation par les GRK, la liaison des β-arrestines au récepteur permet le découplage de la protéine G et engage le récepteur dans le processus d’endocytose. Les RCPG sont en général internalisés par une voie classique passant par la formation de puits recouverts de clathrine autour du récepteur. Si le plus souvent cette endocytose participe au recyclage des récepteurs phosphorylés et donc à la re-sensibilisation du système, elle peut également marquer la première étape de la dégradation des récepteurs. Dans les deux cas de figure, les β-arrestines 1 et 2 vont jouer un rôle primordial. En se fixant préférentiellement à un RCPG phosphorylé (Rasmussen, Novak et al. 2004), elles établissent un pont moléculaire entre le récepteur à internaliser et les protéines clés de la machinerie d’endocytose. En effet, les β-arrestines vont recruter un ensemble de partenaires, dont l’adaptateur AP-2 et la clathrine et participer à la formation d’une vésicule recouverte de clathrine, au sein de laquelle se retrouve le récepteur à internaliser. Cette vésicule s’invagine vers l’intérieur de la cellule. Une petite GTPase, la dynamine, va ensuite assurer la scission des membranes pour créer une vésicule d’endocytose contenant les récepteurs toujours attachés à la membrane. Cette </w:t>
      </w:r>
      <w:r w:rsidRPr="006A6AFE">
        <w:rPr>
          <w:rFonts w:asciiTheme="majorBidi" w:hAnsiTheme="majorBidi" w:cstheme="majorBidi"/>
          <w:color w:val="000000"/>
          <w:sz w:val="24"/>
          <w:szCs w:val="24"/>
        </w:rPr>
        <w:lastRenderedPageBreak/>
        <w:t>vésicule nouvellement formée rejoindra, grâce au cytosquelette de la cellule, le réseau vésiculaire où son contenu sera trié</w:t>
      </w:r>
    </w:p>
    <w:p w:rsidR="00CF2F99" w:rsidRDefault="004613F3" w:rsidP="00EC52BA">
      <w:pPr>
        <w:spacing w:before="100" w:beforeAutospacing="1" w:after="100" w:afterAutospacing="1" w:line="360" w:lineRule="auto"/>
        <w:jc w:val="both"/>
        <w:rPr>
          <w:rFonts w:asciiTheme="majorBidi" w:hAnsiTheme="majorBidi" w:cstheme="majorBidi"/>
          <w:b/>
          <w:bCs/>
          <w:sz w:val="24"/>
          <w:szCs w:val="24"/>
        </w:rPr>
      </w:pPr>
      <w:r w:rsidRPr="006824F3">
        <w:rPr>
          <w:rFonts w:asciiTheme="majorBidi" w:hAnsiTheme="majorBidi" w:cstheme="majorBidi"/>
          <w:b/>
          <w:bCs/>
          <w:noProof/>
          <w:sz w:val="24"/>
          <w:szCs w:val="24"/>
          <w:lang w:eastAsia="fr-FR"/>
        </w:rPr>
        <w:drawing>
          <wp:inline distT="0" distB="0" distL="0" distR="0">
            <wp:extent cx="5760720" cy="2204795"/>
            <wp:effectExtent l="19050" t="19050" r="0" b="508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760720" cy="2204795"/>
                    </a:xfrm>
                    <a:prstGeom prst="rect">
                      <a:avLst/>
                    </a:prstGeom>
                    <a:noFill/>
                    <a:ln w="9525">
                      <a:solidFill>
                        <a:schemeClr val="tx1"/>
                      </a:solidFill>
                      <a:miter lim="800000"/>
                      <a:headEnd/>
                      <a:tailEnd/>
                    </a:ln>
                  </pic:spPr>
                </pic:pic>
              </a:graphicData>
            </a:graphic>
          </wp:inline>
        </w:drawing>
      </w:r>
    </w:p>
    <w:p w:rsidR="00CF2F99" w:rsidRDefault="001D41D0" w:rsidP="00023F0B">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 14</w:t>
      </w:r>
      <w:r w:rsidR="00CF2F99">
        <w:rPr>
          <w:rFonts w:asciiTheme="majorBidi" w:hAnsiTheme="majorBidi" w:cstheme="majorBidi"/>
          <w:b/>
          <w:bCs/>
          <w:sz w:val="24"/>
          <w:szCs w:val="24"/>
        </w:rPr>
        <w:t xml:space="preserve"> : </w:t>
      </w:r>
      <w:r w:rsidR="006824F3" w:rsidRPr="0032502F">
        <w:rPr>
          <w:rFonts w:asciiTheme="majorBidi" w:hAnsiTheme="majorBidi" w:cstheme="majorBidi"/>
          <w:sz w:val="24"/>
          <w:szCs w:val="24"/>
        </w:rPr>
        <w:t xml:space="preserve">phénomène </w:t>
      </w:r>
      <w:r w:rsidR="00CF2F99" w:rsidRPr="0032502F">
        <w:rPr>
          <w:rFonts w:asciiTheme="majorBidi" w:hAnsiTheme="majorBidi" w:cstheme="majorBidi"/>
          <w:sz w:val="24"/>
          <w:szCs w:val="24"/>
        </w:rPr>
        <w:t>de désensibilisation des RCPG</w:t>
      </w:r>
      <w:r w:rsidR="00CF2F99" w:rsidRPr="001D41D0">
        <w:rPr>
          <w:rFonts w:asciiTheme="majorBidi" w:hAnsiTheme="majorBidi" w:cstheme="majorBidi"/>
          <w:b/>
          <w:bCs/>
          <w:sz w:val="24"/>
          <w:szCs w:val="24"/>
        </w:rPr>
        <w:t>(Flouzis,2015)</w:t>
      </w:r>
    </w:p>
    <w:p w:rsidR="00625D9A" w:rsidRPr="006E6F18" w:rsidRDefault="006E6F18" w:rsidP="00EC52BA">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w:t>
      </w:r>
      <w:r w:rsidR="006824F3" w:rsidRPr="006E6F18">
        <w:rPr>
          <w:rFonts w:asciiTheme="majorBidi" w:hAnsiTheme="majorBidi" w:cstheme="majorBidi"/>
          <w:b/>
          <w:bCs/>
          <w:sz w:val="24"/>
          <w:szCs w:val="24"/>
        </w:rPr>
        <w:t>2.</w:t>
      </w:r>
      <w:r w:rsidRPr="006E6F18">
        <w:rPr>
          <w:rFonts w:asciiTheme="majorBidi" w:hAnsiTheme="majorBidi" w:cstheme="majorBidi"/>
          <w:b/>
          <w:bCs/>
          <w:sz w:val="24"/>
          <w:szCs w:val="24"/>
        </w:rPr>
        <w:t>Récepteurs</w:t>
      </w:r>
      <w:r w:rsidR="006824F3" w:rsidRPr="006E6F18">
        <w:rPr>
          <w:rFonts w:asciiTheme="majorBidi" w:hAnsiTheme="majorBidi" w:cstheme="majorBidi"/>
          <w:b/>
          <w:bCs/>
          <w:sz w:val="24"/>
          <w:szCs w:val="24"/>
        </w:rPr>
        <w:t xml:space="preserve"> à </w:t>
      </w:r>
      <w:r w:rsidRPr="006E6F18">
        <w:rPr>
          <w:rFonts w:asciiTheme="majorBidi" w:hAnsiTheme="majorBidi" w:cstheme="majorBidi"/>
          <w:b/>
          <w:bCs/>
          <w:sz w:val="24"/>
          <w:szCs w:val="24"/>
        </w:rPr>
        <w:t>activité</w:t>
      </w:r>
      <w:r w:rsidR="006824F3" w:rsidRPr="006E6F18">
        <w:rPr>
          <w:rFonts w:asciiTheme="majorBidi" w:hAnsiTheme="majorBidi" w:cstheme="majorBidi"/>
          <w:b/>
          <w:bCs/>
          <w:sz w:val="24"/>
          <w:szCs w:val="24"/>
        </w:rPr>
        <w:t xml:space="preserve"> enzymatique </w:t>
      </w:r>
      <w:r w:rsidRPr="006E6F18">
        <w:rPr>
          <w:rFonts w:asciiTheme="majorBidi" w:hAnsiTheme="majorBidi" w:cstheme="majorBidi"/>
          <w:b/>
          <w:bCs/>
          <w:sz w:val="24"/>
          <w:szCs w:val="24"/>
        </w:rPr>
        <w:t>intrinsèque</w:t>
      </w:r>
    </w:p>
    <w:p w:rsidR="00625D9A" w:rsidRPr="006E6F18" w:rsidRDefault="00625D9A" w:rsidP="00EC52BA">
      <w:pPr>
        <w:autoSpaceDE w:val="0"/>
        <w:autoSpaceDN w:val="0"/>
        <w:adjustRightInd w:val="0"/>
        <w:spacing w:before="100" w:beforeAutospacing="1" w:after="100" w:afterAutospacing="1" w:line="360" w:lineRule="auto"/>
        <w:rPr>
          <w:rFonts w:asciiTheme="majorBidi" w:hAnsiTheme="majorBidi" w:cstheme="majorBidi"/>
          <w:sz w:val="24"/>
          <w:szCs w:val="24"/>
        </w:rPr>
      </w:pPr>
      <w:r w:rsidRPr="00625D9A">
        <w:rPr>
          <w:rFonts w:asciiTheme="majorBidi" w:hAnsiTheme="majorBidi" w:cstheme="majorBidi"/>
          <w:sz w:val="24"/>
          <w:szCs w:val="24"/>
        </w:rPr>
        <w:t xml:space="preserve">Il </w:t>
      </w:r>
      <w:r w:rsidR="006824F3" w:rsidRPr="006E6F18">
        <w:rPr>
          <w:rFonts w:asciiTheme="majorBidi" w:hAnsiTheme="majorBidi" w:cstheme="majorBidi"/>
          <w:sz w:val="24"/>
          <w:szCs w:val="24"/>
        </w:rPr>
        <w:t>s'agit de récepteurs dont le domaine intracellulaire possède une activité enzymatique propre qui varie selon le type de récepteur.</w:t>
      </w:r>
    </w:p>
    <w:p w:rsidR="00702248" w:rsidRPr="006E6F18" w:rsidRDefault="006E6F18" w:rsidP="00023F0B">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II.2.1.</w:t>
      </w:r>
      <w:r w:rsidR="00576DE1" w:rsidRPr="006E6F18">
        <w:rPr>
          <w:rFonts w:asciiTheme="majorBidi" w:hAnsiTheme="majorBidi" w:cstheme="majorBidi"/>
          <w:b/>
          <w:bCs/>
          <w:sz w:val="24"/>
          <w:szCs w:val="24"/>
        </w:rPr>
        <w:t xml:space="preserve"> Récepteurs à activité tyrosine kinase </w:t>
      </w:r>
      <w:r>
        <w:rPr>
          <w:rFonts w:asciiTheme="majorBidi" w:hAnsiTheme="majorBidi" w:cstheme="majorBidi"/>
          <w:b/>
          <w:bCs/>
          <w:sz w:val="24"/>
          <w:szCs w:val="24"/>
        </w:rPr>
        <w:t>(</w:t>
      </w:r>
      <w:r w:rsidR="00576DE1" w:rsidRPr="006E6F18">
        <w:rPr>
          <w:rFonts w:asciiTheme="majorBidi" w:hAnsiTheme="majorBidi" w:cstheme="majorBidi"/>
          <w:b/>
          <w:bCs/>
          <w:sz w:val="24"/>
          <w:szCs w:val="24"/>
        </w:rPr>
        <w:t>RTK</w:t>
      </w:r>
      <w:r>
        <w:rPr>
          <w:rFonts w:asciiTheme="majorBidi" w:hAnsiTheme="majorBidi" w:cstheme="majorBidi"/>
          <w:b/>
          <w:bCs/>
          <w:sz w:val="24"/>
          <w:szCs w:val="24"/>
        </w:rPr>
        <w:t>)</w:t>
      </w:r>
    </w:p>
    <w:p w:rsidR="006E6083" w:rsidRPr="006E6F18" w:rsidRDefault="006E6F18"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II.2.1.1. </w:t>
      </w:r>
      <w:r w:rsidR="00576DE1" w:rsidRPr="006E6F18">
        <w:rPr>
          <w:rFonts w:asciiTheme="majorBidi" w:hAnsiTheme="majorBidi" w:cstheme="majorBidi"/>
          <w:b/>
          <w:bCs/>
          <w:sz w:val="24"/>
          <w:szCs w:val="24"/>
        </w:rPr>
        <w:t>Généralités :</w:t>
      </w:r>
    </w:p>
    <w:p w:rsidR="006E6083" w:rsidRDefault="006E6083" w:rsidP="00EC52BA">
      <w:pPr>
        <w:spacing w:before="100" w:beforeAutospacing="1" w:after="100" w:afterAutospacing="1" w:line="360" w:lineRule="auto"/>
        <w:jc w:val="both"/>
        <w:rPr>
          <w:rFonts w:asciiTheme="majorBidi" w:hAnsiTheme="majorBidi" w:cstheme="majorBidi"/>
          <w:sz w:val="24"/>
          <w:szCs w:val="24"/>
        </w:rPr>
      </w:pPr>
      <w:r w:rsidRPr="006E6F18">
        <w:rPr>
          <w:rFonts w:asciiTheme="majorBidi" w:hAnsiTheme="majorBidi" w:cstheme="majorBidi"/>
          <w:sz w:val="24"/>
          <w:szCs w:val="24"/>
        </w:rPr>
        <w:t>Le séquençage du génome humain (Human Genome Project) a révélé qu’environ 20% des 32000 gènes humains codent des protéines impliquées dans la transduction du signal. Ces protéines sont des récepteurs transmembranaires, des sous-unités des protéines G et des enzymes impliqués dans la génération de signaux. Parmi ces protéines, plus de 520 sont des protéines kinases et 130 des protéines phosphatases, qui exercent un contrôle rigoureux et réversible sur la phosphorylation. Ces enzymes ont une activité catalytique spécifique des tyrosines ou des sérines/thréonines. En 2001 on compte plus de 90 gènes codant des protéines à activité tyrosine kinase, dont 58 codent des récepteurs à activité tyrosine kinase (RTK) (Blume-Jensen et Hunter, 2001). Les RTKs ont été découverts il y a 20 ans par Hunter et Sefton (Hunter et Sefton, 1980).</w:t>
      </w:r>
    </w:p>
    <w:p w:rsidR="00AE2A34" w:rsidRDefault="00AE2A34" w:rsidP="00EC52BA">
      <w:pPr>
        <w:spacing w:before="100" w:beforeAutospacing="1" w:after="100" w:afterAutospacing="1" w:line="360" w:lineRule="auto"/>
        <w:jc w:val="both"/>
        <w:rPr>
          <w:rFonts w:asciiTheme="majorBidi" w:hAnsiTheme="majorBidi" w:cstheme="majorBidi"/>
          <w:b/>
          <w:bCs/>
          <w:sz w:val="24"/>
          <w:szCs w:val="24"/>
        </w:rPr>
      </w:pPr>
    </w:p>
    <w:p w:rsidR="00702248" w:rsidRPr="00DB6DB5" w:rsidRDefault="006E6F18"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II.2.1.2.</w:t>
      </w:r>
      <w:r w:rsidR="00702248" w:rsidRPr="00DB6DB5">
        <w:rPr>
          <w:rFonts w:asciiTheme="majorBidi" w:hAnsiTheme="majorBidi" w:cstheme="majorBidi"/>
          <w:b/>
          <w:bCs/>
          <w:sz w:val="24"/>
          <w:szCs w:val="24"/>
        </w:rPr>
        <w:t>Définition</w:t>
      </w:r>
    </w:p>
    <w:p w:rsidR="00702248" w:rsidRDefault="00702248" w:rsidP="00023F0B">
      <w:pPr>
        <w:spacing w:before="100" w:beforeAutospacing="1" w:after="100" w:afterAutospacing="1" w:line="360" w:lineRule="auto"/>
        <w:jc w:val="both"/>
        <w:rPr>
          <w:rFonts w:asciiTheme="majorBidi" w:hAnsiTheme="majorBidi" w:cstheme="majorBidi"/>
          <w:sz w:val="24"/>
          <w:szCs w:val="24"/>
        </w:rPr>
      </w:pPr>
      <w:r w:rsidRPr="000D4CD5">
        <w:rPr>
          <w:rFonts w:asciiTheme="majorBidi" w:hAnsiTheme="majorBidi" w:cstheme="majorBidi"/>
          <w:sz w:val="24"/>
          <w:szCs w:val="24"/>
        </w:rPr>
        <w:t xml:space="preserve">Les récepteurs à activité tyrosine kinase intrinsèque (RTK) également appelés récepteurs des facteurs de croissance, sont des glycoprotéines transmembranaires composées d’un domaine extracellulaire très variable capable de fixer le ligand, d’un domaine transmembranaire permettant l’ancrage dans la membrane cellulaire et d’un domaine intracellulaire (cytoplasmique) qui renferme l’activité tyrosine kinase et permet la transduction du signal au sein de la cellule. </w:t>
      </w:r>
    </w:p>
    <w:p w:rsidR="00702248" w:rsidRDefault="00702248" w:rsidP="00023F0B">
      <w:pPr>
        <w:spacing w:before="100" w:beforeAutospacing="1" w:after="100" w:afterAutospacing="1" w:line="360" w:lineRule="auto"/>
        <w:jc w:val="both"/>
        <w:rPr>
          <w:rFonts w:asciiTheme="majorBidi" w:hAnsiTheme="majorBidi" w:cstheme="majorBidi"/>
          <w:b/>
          <w:bCs/>
          <w:sz w:val="24"/>
          <w:szCs w:val="24"/>
        </w:rPr>
      </w:pPr>
      <w:r w:rsidRPr="000D4CD5">
        <w:rPr>
          <w:rFonts w:asciiTheme="majorBidi" w:hAnsiTheme="majorBidi" w:cstheme="majorBidi"/>
          <w:sz w:val="24"/>
          <w:szCs w:val="24"/>
        </w:rPr>
        <w:t>L’activité enzymatique des RTK est localisée dans le cytoplasme et permet le transfert du phosphate γ de l’ATP vers l’hydroxyle des tyrosines des protéines cibles et/ou du récepteur lui-même, c’est ce qu’on appelle l’autophosphorylation</w:t>
      </w:r>
      <w:r w:rsidRPr="00E462AD">
        <w:rPr>
          <w:rFonts w:asciiTheme="majorBidi" w:hAnsiTheme="majorBidi" w:cstheme="majorBidi"/>
          <w:b/>
          <w:bCs/>
          <w:sz w:val="24"/>
          <w:szCs w:val="24"/>
        </w:rPr>
        <w:t>.</w:t>
      </w:r>
    </w:p>
    <w:p w:rsidR="006E6083" w:rsidRPr="00030655" w:rsidRDefault="006E6083" w:rsidP="00023F0B">
      <w:pPr>
        <w:spacing w:before="100" w:beforeAutospacing="1" w:after="100" w:afterAutospacing="1" w:line="360" w:lineRule="auto"/>
        <w:jc w:val="both"/>
        <w:rPr>
          <w:rFonts w:asciiTheme="majorBidi" w:hAnsiTheme="majorBidi" w:cstheme="majorBidi"/>
          <w:b/>
          <w:bCs/>
          <w:sz w:val="24"/>
          <w:szCs w:val="24"/>
        </w:rPr>
      </w:pPr>
      <w:r w:rsidRPr="00030655">
        <w:rPr>
          <w:rFonts w:asciiTheme="majorBidi" w:hAnsiTheme="majorBidi" w:cstheme="majorBidi"/>
          <w:sz w:val="24"/>
          <w:szCs w:val="24"/>
        </w:rPr>
        <w:t xml:space="preserve">Les RTKs permettent la transmission d’un signal de l’extérieur vers l’intérieur de la cellule </w:t>
      </w:r>
      <w:r w:rsidR="001A4A5E" w:rsidRPr="00030655">
        <w:rPr>
          <w:rFonts w:asciiTheme="majorBidi" w:hAnsiTheme="majorBidi" w:cstheme="majorBidi"/>
          <w:sz w:val="24"/>
          <w:szCs w:val="24"/>
        </w:rPr>
        <w:t>sont d’importants régulateurs de la communication intercellulaire, ils jouent en effet un rôle important dans le contrôle de nombreux processus biologiques, tels que le cycle cellulaire, la migration cellulaire, le métabolisme, la croissance, la prolifération et la différenciation cellulaire</w:t>
      </w:r>
    </w:p>
    <w:p w:rsidR="00702248" w:rsidRPr="00E462AD" w:rsidRDefault="00702248" w:rsidP="00023F0B">
      <w:pPr>
        <w:spacing w:before="100" w:beforeAutospacing="1" w:after="100" w:afterAutospacing="1" w:line="360" w:lineRule="auto"/>
        <w:jc w:val="both"/>
        <w:rPr>
          <w:rFonts w:asciiTheme="majorBidi" w:hAnsiTheme="majorBidi" w:cstheme="majorBidi"/>
          <w:sz w:val="24"/>
          <w:szCs w:val="24"/>
        </w:rPr>
      </w:pPr>
      <w:r w:rsidRPr="00E462AD">
        <w:rPr>
          <w:rFonts w:asciiTheme="majorBidi" w:hAnsiTheme="majorBidi" w:cstheme="majorBidi"/>
          <w:sz w:val="24"/>
          <w:szCs w:val="24"/>
        </w:rPr>
        <w:t xml:space="preserve">             Les RTKs sont classés en 20 familles selon la structure de leurs domaines extracellulaire et intracellulaire. Parmi ces différentes familles, on distingue les récepteurs à l’insuline (IR), les récepteurs aux facteurs de croissance de l’épiderme (EGFR), les récepteurs aux facteurs de croissance des plaquettes (PDGFR), les récepteurs aux facteurs de croissance de l’endothélium vasculaire (VEGFR) et les récepteurs aux facteurs de croissance des fibroblastes (FGFR)</w:t>
      </w:r>
      <w:r w:rsidRPr="00E462AD">
        <w:rPr>
          <w:rFonts w:asciiTheme="majorBidi" w:hAnsiTheme="majorBidi" w:cstheme="majorBidi"/>
          <w:b/>
          <w:bCs/>
          <w:sz w:val="24"/>
          <w:szCs w:val="24"/>
        </w:rPr>
        <w:t>.</w:t>
      </w:r>
    </w:p>
    <w:p w:rsidR="00702248" w:rsidRDefault="00702248" w:rsidP="00EC52BA">
      <w:pPr>
        <w:spacing w:before="100" w:beforeAutospacing="1" w:after="100" w:afterAutospacing="1" w:line="360" w:lineRule="auto"/>
        <w:jc w:val="both"/>
        <w:rPr>
          <w:rFonts w:asciiTheme="majorBidi" w:hAnsiTheme="majorBidi" w:cstheme="majorBidi"/>
          <w:b/>
          <w:bCs/>
          <w:sz w:val="24"/>
          <w:szCs w:val="24"/>
        </w:rPr>
      </w:pPr>
      <w:r w:rsidRPr="00E462AD">
        <w:rPr>
          <w:rFonts w:asciiTheme="majorBidi" w:hAnsiTheme="majorBidi" w:cstheme="majorBidi"/>
          <w:sz w:val="24"/>
          <w:szCs w:val="24"/>
        </w:rPr>
        <w:t xml:space="preserve">            Les récepteurs tyrosine kinase sont des protéines de type I, c’est à dire que la partie N terminale de la protéine est située dans le milieu extracellulaire et la partie C terminale dans le milieu intracellulaire. Les RTKs sont présents à la surface cellulaire sous forme d’une seule chaîne polypeptidique et monomérique en l’absence de ligand. L’exception à cette règle inclut la famille HGFR et la famille des récepteurs à l’insuline</w:t>
      </w:r>
      <w:r w:rsidRPr="00E462AD">
        <w:rPr>
          <w:rFonts w:asciiTheme="majorBidi" w:hAnsiTheme="majorBidi" w:cstheme="majorBidi"/>
          <w:b/>
          <w:bCs/>
          <w:sz w:val="24"/>
          <w:szCs w:val="24"/>
        </w:rPr>
        <w:t>.</w:t>
      </w:r>
    </w:p>
    <w:p w:rsidR="00D517C1" w:rsidRDefault="00D517C1" w:rsidP="00EC52BA">
      <w:pPr>
        <w:spacing w:before="100" w:beforeAutospacing="1" w:after="100" w:afterAutospacing="1" w:line="360" w:lineRule="auto"/>
        <w:jc w:val="both"/>
        <w:rPr>
          <w:rFonts w:asciiTheme="majorBidi" w:hAnsiTheme="majorBidi" w:cstheme="majorBidi"/>
          <w:b/>
          <w:bCs/>
          <w:sz w:val="24"/>
          <w:szCs w:val="24"/>
        </w:rPr>
      </w:pPr>
    </w:p>
    <w:p w:rsidR="00D517C1" w:rsidRPr="00EC52BA" w:rsidRDefault="00D517C1" w:rsidP="00EC52BA">
      <w:pPr>
        <w:spacing w:before="100" w:beforeAutospacing="1" w:after="100" w:afterAutospacing="1" w:line="360" w:lineRule="auto"/>
        <w:jc w:val="both"/>
        <w:rPr>
          <w:rFonts w:asciiTheme="majorBidi" w:hAnsiTheme="majorBidi" w:cstheme="majorBidi"/>
          <w:sz w:val="24"/>
          <w:szCs w:val="24"/>
        </w:rPr>
      </w:pPr>
    </w:p>
    <w:p w:rsidR="00702248" w:rsidRPr="00C11C24" w:rsidRDefault="00030655"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II.2.1.3.</w:t>
      </w:r>
      <w:r w:rsidR="00702248">
        <w:rPr>
          <w:rFonts w:asciiTheme="majorBidi" w:hAnsiTheme="majorBidi" w:cstheme="majorBidi"/>
          <w:b/>
          <w:bCs/>
          <w:sz w:val="24"/>
          <w:szCs w:val="24"/>
        </w:rPr>
        <w:t xml:space="preserve">Structure des </w:t>
      </w:r>
      <w:r w:rsidR="00702248" w:rsidRPr="00C11C24">
        <w:rPr>
          <w:rFonts w:asciiTheme="majorBidi" w:hAnsiTheme="majorBidi" w:cstheme="majorBidi"/>
          <w:b/>
          <w:bCs/>
          <w:sz w:val="24"/>
          <w:szCs w:val="24"/>
        </w:rPr>
        <w:t xml:space="preserve"> RTK</w:t>
      </w:r>
    </w:p>
    <w:p w:rsidR="00702248" w:rsidRPr="00C11C24" w:rsidRDefault="00702248" w:rsidP="00EC52BA">
      <w:pPr>
        <w:pStyle w:val="Default"/>
        <w:spacing w:before="100" w:beforeAutospacing="1" w:after="100" w:afterAutospacing="1" w:line="360" w:lineRule="auto"/>
        <w:jc w:val="both"/>
      </w:pPr>
      <w:r w:rsidRPr="00C11C24">
        <w:t xml:space="preserve">           Les RTK sont composés de trois domaines distincts : le domaine extracellulaire, le domaine transmembranaire et le domaine intracellulaire. </w:t>
      </w:r>
    </w:p>
    <w:p w:rsidR="00702248" w:rsidRPr="00030655" w:rsidRDefault="00702248" w:rsidP="00023F0B">
      <w:pPr>
        <w:pStyle w:val="Paragraphedeliste"/>
        <w:numPr>
          <w:ilvl w:val="0"/>
          <w:numId w:val="4"/>
        </w:numPr>
        <w:spacing w:before="100" w:beforeAutospacing="1" w:after="100" w:afterAutospacing="1" w:line="360" w:lineRule="auto"/>
        <w:jc w:val="both"/>
        <w:rPr>
          <w:rFonts w:asciiTheme="majorBidi" w:hAnsiTheme="majorBidi" w:cstheme="majorBidi"/>
          <w:b/>
          <w:bCs/>
          <w:sz w:val="24"/>
          <w:szCs w:val="24"/>
        </w:rPr>
      </w:pPr>
      <w:r w:rsidRPr="00030655">
        <w:rPr>
          <w:rFonts w:asciiTheme="majorBidi" w:hAnsiTheme="majorBidi" w:cstheme="majorBidi"/>
          <w:b/>
          <w:bCs/>
          <w:sz w:val="24"/>
          <w:szCs w:val="24"/>
        </w:rPr>
        <w:t>Le domaine extracellulaire</w:t>
      </w:r>
    </w:p>
    <w:p w:rsidR="00702248" w:rsidRPr="00C11C24" w:rsidRDefault="00702248" w:rsidP="00023F0B">
      <w:pPr>
        <w:spacing w:before="100" w:beforeAutospacing="1" w:after="100" w:afterAutospacing="1" w:line="360" w:lineRule="auto"/>
        <w:jc w:val="both"/>
        <w:rPr>
          <w:rFonts w:asciiTheme="majorBidi" w:hAnsiTheme="majorBidi" w:cstheme="majorBidi"/>
          <w:b/>
          <w:bCs/>
          <w:sz w:val="24"/>
          <w:szCs w:val="24"/>
        </w:rPr>
      </w:pPr>
      <w:r w:rsidRPr="00C11C24">
        <w:rPr>
          <w:rFonts w:asciiTheme="majorBidi" w:hAnsiTheme="majorBidi" w:cstheme="majorBidi"/>
          <w:sz w:val="24"/>
          <w:szCs w:val="24"/>
        </w:rPr>
        <w:t xml:space="preserve">            Le domaine extracellulaire des RTK, qui permet la fixation de ligands est très diversifié et très glycosylé. Ce domaine extracellulaire présente une variété d’éléments conservés tels que les domaines de type immunoglobuline (IgD), de type fibronectine III (FNIII), de type facteur de croissance épidermique (EGFD), riche en cystéine et riche en leucine. Ces différents domaines déterminent la spécificité de la liaison au ligand. En effet, la liaison du ligand au domaine extracellulaire provoque des changements conformationnels qui induisent et stabilisent la dimérisation du récepteur</w:t>
      </w:r>
    </w:p>
    <w:p w:rsidR="00702248" w:rsidRPr="00030655" w:rsidRDefault="00702248" w:rsidP="00023F0B">
      <w:pPr>
        <w:pStyle w:val="Paragraphedeliste"/>
        <w:numPr>
          <w:ilvl w:val="0"/>
          <w:numId w:val="4"/>
        </w:numPr>
        <w:spacing w:before="100" w:beforeAutospacing="1" w:after="100" w:afterAutospacing="1" w:line="360" w:lineRule="auto"/>
        <w:jc w:val="both"/>
        <w:rPr>
          <w:rFonts w:asciiTheme="majorBidi" w:hAnsiTheme="majorBidi" w:cstheme="majorBidi"/>
          <w:b/>
          <w:bCs/>
          <w:sz w:val="24"/>
          <w:szCs w:val="24"/>
        </w:rPr>
      </w:pPr>
      <w:r w:rsidRPr="00030655">
        <w:rPr>
          <w:rFonts w:asciiTheme="majorBidi" w:hAnsiTheme="majorBidi" w:cstheme="majorBidi"/>
          <w:b/>
          <w:bCs/>
          <w:sz w:val="24"/>
          <w:szCs w:val="24"/>
        </w:rPr>
        <w:t>Le domaine transmembranaire</w:t>
      </w:r>
    </w:p>
    <w:p w:rsidR="00702248" w:rsidRPr="00EC52BA" w:rsidRDefault="00030655" w:rsidP="00EC52BA">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sz w:val="24"/>
          <w:szCs w:val="24"/>
        </w:rPr>
        <w:t xml:space="preserve">           E</w:t>
      </w:r>
      <w:r w:rsidR="00702248" w:rsidRPr="00264D01">
        <w:rPr>
          <w:rFonts w:asciiTheme="majorBidi" w:hAnsiTheme="majorBidi" w:cstheme="majorBidi"/>
          <w:sz w:val="24"/>
          <w:szCs w:val="24"/>
        </w:rPr>
        <w:t xml:space="preserve">st constitué d’un seul segment de 22 à 26 acides aminés, organisé en une seule hélice. Le domaine transmembranaire est caractérisé par une séquence hydrophobe dont la fonction est l'ancrage du récepteur à la membrane. Des mutations ont été identifiées dans les domaines transmembranaires d’au moins deux familles de RTK, fibroblast growth factor receptor (FGFR) et epidermal growth factor receptor (EGFR) aboutissant à une activation constitutive du récepteur par une dimérisation indépendante du ligand Même si ce domaine ne joue pas un rôle dans l’activation du récepteur, il pourrait jouer un rôle au niveau de sa conformation et de la stabilisation des récepteurs dimériques. </w:t>
      </w:r>
    </w:p>
    <w:p w:rsidR="00702248" w:rsidRPr="00EC52BA" w:rsidRDefault="00702248" w:rsidP="00EC52BA">
      <w:pPr>
        <w:pStyle w:val="Default"/>
        <w:numPr>
          <w:ilvl w:val="0"/>
          <w:numId w:val="4"/>
        </w:numPr>
        <w:spacing w:before="100" w:beforeAutospacing="1" w:after="100" w:afterAutospacing="1" w:line="360" w:lineRule="auto"/>
        <w:jc w:val="both"/>
        <w:rPr>
          <w:b/>
          <w:bCs/>
        </w:rPr>
      </w:pPr>
      <w:r w:rsidRPr="00264D01">
        <w:rPr>
          <w:b/>
          <w:bCs/>
        </w:rPr>
        <w:t xml:space="preserve">Le domaine intracellulaire et l’activité tyrosine kinase </w:t>
      </w:r>
    </w:p>
    <w:p w:rsidR="00702248" w:rsidRPr="00EC52BA" w:rsidRDefault="00702248" w:rsidP="00EC52BA">
      <w:pPr>
        <w:pStyle w:val="Default"/>
        <w:spacing w:before="100" w:beforeAutospacing="1" w:after="100" w:afterAutospacing="1" w:line="360" w:lineRule="auto"/>
        <w:ind w:firstLine="440"/>
        <w:jc w:val="both"/>
        <w:rPr>
          <w:b/>
          <w:bCs/>
        </w:rPr>
      </w:pPr>
      <w:r w:rsidRPr="003A5393">
        <w:t xml:space="preserve">Le domaine intracellulaire se compose d’une région juxta-membranaire suivie par le domaine catalytique tyrosine kinase et terminé par la région carboxy-terminale. Ces régions contiennent des sous-domaines régulateurs influençant négativement ou positivement la liaison du substrat et la phosphorylation, ainsi que les sous-domaines impliqués dans la dimérisation et/ou dans les changements structuraux pendant l’activation de la kinase après la liaison du ligand. La longueur et la séquence des domaines juxta-membranaire et carboxy-terminal varient suivant les RTK et contiennent des sites de phosphorylation tyrosine et </w:t>
      </w:r>
      <w:r w:rsidRPr="003A5393">
        <w:lastRenderedPageBreak/>
        <w:t>sérine/thréonine. Ces sites peuvent être phosphorylés par le récepteur lui-même (autophosphorylation) ou par des protéines kinases</w:t>
      </w:r>
      <w:r w:rsidR="00C77F51">
        <w:t>.</w:t>
      </w:r>
    </w:p>
    <w:p w:rsidR="00702248" w:rsidRDefault="00702248" w:rsidP="00023F0B">
      <w:pPr>
        <w:spacing w:before="100" w:beforeAutospacing="1" w:after="100" w:afterAutospacing="1" w:line="360" w:lineRule="auto"/>
        <w:jc w:val="both"/>
        <w:rPr>
          <w:rFonts w:asciiTheme="majorBidi" w:hAnsiTheme="majorBidi" w:cstheme="majorBidi"/>
          <w:b/>
          <w:bCs/>
          <w:sz w:val="24"/>
          <w:szCs w:val="24"/>
        </w:rPr>
      </w:pPr>
      <w:r w:rsidRPr="00264D01">
        <w:rPr>
          <w:rFonts w:asciiTheme="majorBidi" w:hAnsiTheme="majorBidi" w:cstheme="majorBidi"/>
          <w:sz w:val="24"/>
          <w:szCs w:val="24"/>
        </w:rPr>
        <w:t>Il a été établi que le domaine tyrosine kinase comporte onze sous-domaines majeurs (I à XI). Les domaines I à V forment le domaine de liaison à l’ATP, complexé aux ions Mn</w:t>
      </w:r>
      <w:r w:rsidRPr="003A5393">
        <w:rPr>
          <w:rFonts w:asciiTheme="majorBidi" w:hAnsiTheme="majorBidi" w:cstheme="majorBidi"/>
          <w:sz w:val="24"/>
          <w:szCs w:val="24"/>
          <w:vertAlign w:val="superscript"/>
        </w:rPr>
        <w:t>2+</w:t>
      </w:r>
      <w:r w:rsidRPr="00264D01">
        <w:rPr>
          <w:rFonts w:asciiTheme="majorBidi" w:hAnsiTheme="majorBidi" w:cstheme="majorBidi"/>
          <w:sz w:val="24"/>
          <w:szCs w:val="24"/>
        </w:rPr>
        <w:t xml:space="preserve"> ou Mg</w:t>
      </w:r>
      <w:r w:rsidRPr="003A5393">
        <w:rPr>
          <w:rFonts w:asciiTheme="majorBidi" w:hAnsiTheme="majorBidi" w:cstheme="majorBidi"/>
          <w:sz w:val="24"/>
          <w:szCs w:val="24"/>
          <w:vertAlign w:val="superscript"/>
        </w:rPr>
        <w:t>2+.</w:t>
      </w:r>
      <w:r w:rsidRPr="00264D01">
        <w:rPr>
          <w:rFonts w:asciiTheme="majorBidi" w:hAnsiTheme="majorBidi" w:cstheme="majorBidi"/>
          <w:sz w:val="24"/>
          <w:szCs w:val="24"/>
        </w:rPr>
        <w:t xml:space="preserve"> Les domaines VI et VII sont dotés de l’activité phospho-transférase. Les kinases possèdent une boucle d’activation comprenant les sous-domaines VII et VIII comportant entre une et trois tyrosines. L’activité kinase est cruciale pour l'activation des voies de transduction aboutissant à l'induction des réponses cellulaires comme la survie, la prolifération et la différenciation. Un domaine tyrosine kinase intact est absolument nécessaire dans la signalisation du récepteur. En effet, des mutations d’un seul résidu dans ce domaine peuvent entraîner la perte de la fonction du récepteur</w:t>
      </w:r>
      <w:r>
        <w:rPr>
          <w:rFonts w:asciiTheme="majorBidi" w:hAnsiTheme="majorBidi" w:cstheme="majorBidi"/>
          <w:b/>
          <w:bCs/>
          <w:sz w:val="24"/>
          <w:szCs w:val="24"/>
        </w:rPr>
        <w:t>.</w:t>
      </w:r>
    </w:p>
    <w:p w:rsidR="000222D2" w:rsidRDefault="000222D2" w:rsidP="00023F0B">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5756275" cy="2859405"/>
            <wp:effectExtent l="19050" t="1905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56275" cy="2859405"/>
                    </a:xfrm>
                    <a:prstGeom prst="rect">
                      <a:avLst/>
                    </a:prstGeom>
                    <a:noFill/>
                    <a:ln w="9525">
                      <a:solidFill>
                        <a:schemeClr val="tx1"/>
                      </a:solidFill>
                      <a:miter lim="800000"/>
                      <a:headEnd/>
                      <a:tailEnd/>
                    </a:ln>
                  </pic:spPr>
                </pic:pic>
              </a:graphicData>
            </a:graphic>
          </wp:inline>
        </w:drawing>
      </w:r>
    </w:p>
    <w:p w:rsidR="000222D2" w:rsidRPr="00264D01" w:rsidRDefault="000222D2" w:rsidP="00EC52BA">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w:t>
      </w:r>
      <w:r w:rsidR="00625D9A">
        <w:rPr>
          <w:rFonts w:asciiTheme="majorBidi" w:hAnsiTheme="majorBidi" w:cstheme="majorBidi"/>
          <w:b/>
          <w:bCs/>
          <w:sz w:val="24"/>
          <w:szCs w:val="24"/>
        </w:rPr>
        <w:t xml:space="preserve"> 15</w:t>
      </w:r>
      <w:r>
        <w:rPr>
          <w:rFonts w:asciiTheme="majorBidi" w:hAnsiTheme="majorBidi" w:cstheme="majorBidi"/>
          <w:b/>
          <w:bCs/>
          <w:sz w:val="24"/>
          <w:szCs w:val="24"/>
        </w:rPr>
        <w:t xml:space="preserve"> : </w:t>
      </w:r>
      <w:r w:rsidR="00E95555">
        <w:rPr>
          <w:rFonts w:asciiTheme="majorBidi" w:hAnsiTheme="majorBidi" w:cstheme="majorBidi"/>
          <w:sz w:val="24"/>
          <w:szCs w:val="24"/>
        </w:rPr>
        <w:t xml:space="preserve">Représentation schématique de trois récepteurs à activité tyrosine kinase </w:t>
      </w:r>
      <w:r w:rsidR="00E95555" w:rsidRPr="0061315A">
        <w:rPr>
          <w:rFonts w:asciiTheme="majorBidi" w:hAnsiTheme="majorBidi" w:cstheme="majorBidi"/>
          <w:b/>
          <w:bCs/>
          <w:sz w:val="24"/>
          <w:szCs w:val="24"/>
        </w:rPr>
        <w:t>(Cau et Se</w:t>
      </w:r>
      <w:r w:rsidR="00E95555">
        <w:rPr>
          <w:rFonts w:asciiTheme="majorBidi" w:hAnsiTheme="majorBidi" w:cstheme="majorBidi"/>
          <w:b/>
          <w:bCs/>
          <w:sz w:val="24"/>
          <w:szCs w:val="24"/>
        </w:rPr>
        <w:t>ï</w:t>
      </w:r>
      <w:r w:rsidR="00E95555" w:rsidRPr="0061315A">
        <w:rPr>
          <w:rFonts w:asciiTheme="majorBidi" w:hAnsiTheme="majorBidi" w:cstheme="majorBidi"/>
          <w:b/>
          <w:bCs/>
          <w:sz w:val="24"/>
          <w:szCs w:val="24"/>
        </w:rPr>
        <w:t>te, 2007)</w:t>
      </w:r>
    </w:p>
    <w:p w:rsidR="00EC52BA" w:rsidRDefault="00EC52BA" w:rsidP="00023F0B">
      <w:pPr>
        <w:pStyle w:val="Default"/>
        <w:spacing w:before="100" w:beforeAutospacing="1" w:after="100" w:afterAutospacing="1" w:line="360" w:lineRule="auto"/>
        <w:jc w:val="both"/>
        <w:rPr>
          <w:b/>
          <w:bCs/>
        </w:rPr>
      </w:pPr>
    </w:p>
    <w:p w:rsidR="00EC52BA" w:rsidRDefault="00EC52BA" w:rsidP="00023F0B">
      <w:pPr>
        <w:pStyle w:val="Default"/>
        <w:spacing w:before="100" w:beforeAutospacing="1" w:after="100" w:afterAutospacing="1" w:line="360" w:lineRule="auto"/>
        <w:jc w:val="both"/>
        <w:rPr>
          <w:b/>
          <w:bCs/>
        </w:rPr>
      </w:pPr>
    </w:p>
    <w:p w:rsidR="00EC52BA" w:rsidRDefault="00EC52BA" w:rsidP="00023F0B">
      <w:pPr>
        <w:pStyle w:val="Default"/>
        <w:spacing w:before="100" w:beforeAutospacing="1" w:after="100" w:afterAutospacing="1" w:line="360" w:lineRule="auto"/>
        <w:jc w:val="both"/>
        <w:rPr>
          <w:b/>
          <w:bCs/>
        </w:rPr>
      </w:pPr>
    </w:p>
    <w:p w:rsidR="00EC52BA" w:rsidRDefault="00EC52BA" w:rsidP="00023F0B">
      <w:pPr>
        <w:pStyle w:val="Default"/>
        <w:spacing w:before="100" w:beforeAutospacing="1" w:after="100" w:afterAutospacing="1" w:line="360" w:lineRule="auto"/>
        <w:jc w:val="both"/>
        <w:rPr>
          <w:b/>
          <w:bCs/>
        </w:rPr>
      </w:pPr>
    </w:p>
    <w:p w:rsidR="006C320E" w:rsidRDefault="006C320E" w:rsidP="00023F0B">
      <w:pPr>
        <w:pStyle w:val="Default"/>
        <w:spacing w:before="100" w:beforeAutospacing="1" w:after="100" w:afterAutospacing="1" w:line="360" w:lineRule="auto"/>
        <w:jc w:val="both"/>
        <w:rPr>
          <w:b/>
          <w:bCs/>
        </w:rPr>
      </w:pPr>
      <w:r>
        <w:rPr>
          <w:b/>
          <w:bCs/>
        </w:rPr>
        <w:lastRenderedPageBreak/>
        <w:t xml:space="preserve">II.2.1.4. </w:t>
      </w:r>
      <w:r w:rsidR="00AA1996" w:rsidRPr="00AA1996">
        <w:rPr>
          <w:b/>
          <w:bCs/>
        </w:rPr>
        <w:t xml:space="preserve">Activation des RTKs </w:t>
      </w:r>
    </w:p>
    <w:p w:rsidR="00EC52BA" w:rsidRPr="00EC52BA" w:rsidRDefault="006C320E" w:rsidP="00EC52BA">
      <w:pPr>
        <w:pStyle w:val="Default"/>
        <w:spacing w:before="100" w:beforeAutospacing="1" w:after="100" w:afterAutospacing="1" w:line="360" w:lineRule="auto"/>
        <w:jc w:val="both"/>
        <w:rPr>
          <w:b/>
          <w:bCs/>
        </w:rPr>
      </w:pPr>
      <w:r>
        <w:rPr>
          <w:b/>
          <w:bCs/>
        </w:rPr>
        <w:t>II.2.1.4.1.</w:t>
      </w:r>
      <w:r w:rsidR="00EC52BA">
        <w:rPr>
          <w:b/>
          <w:bCs/>
        </w:rPr>
        <w:t xml:space="preserve"> Fixation de ligand</w:t>
      </w:r>
    </w:p>
    <w:p w:rsidR="00AA1996" w:rsidRPr="006C320E" w:rsidRDefault="00AA199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Il existe différentes voies d’activation des récepteurs à activité tyrosine kinase : l’élément déclencheur de l’activation est la fixation de ligand, qui conduit à la dimérisation non covalente des récepteurs.</w:t>
      </w:r>
    </w:p>
    <w:p w:rsidR="0060411A" w:rsidRPr="00D517C1" w:rsidRDefault="0060411A"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Les études structurales menées sur GH (hormone de croissance) et son récepteur GHR, ainsi que sur l’EPO (erythropoïetine) et son récepteur EPOR, ont montré que ces cytokines se fixent sur leur récepteur avec une stœchiométrie 1:2 (ligand : récepteur). Un ligand se fixe </w:t>
      </w:r>
      <w:r w:rsidRPr="00D517C1">
        <w:rPr>
          <w:rFonts w:asciiTheme="majorBidi" w:hAnsiTheme="majorBidi" w:cstheme="majorBidi"/>
          <w:sz w:val="24"/>
          <w:szCs w:val="24"/>
        </w:rPr>
        <w:t>simultanément sur deux récepteurs</w:t>
      </w:r>
      <w:r w:rsidR="006C320E" w:rsidRPr="00D517C1">
        <w:rPr>
          <w:rFonts w:asciiTheme="majorBidi" w:hAnsiTheme="majorBidi" w:cstheme="majorBidi"/>
          <w:sz w:val="24"/>
          <w:szCs w:val="24"/>
        </w:rPr>
        <w:t>.</w:t>
      </w:r>
    </w:p>
    <w:p w:rsidR="00DD7746" w:rsidRPr="00D517C1" w:rsidRDefault="006C320E" w:rsidP="00023F0B">
      <w:pPr>
        <w:spacing w:before="100" w:beforeAutospacing="1" w:after="100" w:afterAutospacing="1" w:line="360" w:lineRule="auto"/>
        <w:jc w:val="both"/>
        <w:rPr>
          <w:rFonts w:asciiTheme="majorBidi" w:hAnsiTheme="majorBidi" w:cstheme="majorBidi"/>
          <w:b/>
          <w:bCs/>
          <w:sz w:val="24"/>
          <w:szCs w:val="24"/>
        </w:rPr>
      </w:pPr>
      <w:r w:rsidRPr="00D517C1">
        <w:rPr>
          <w:rFonts w:asciiTheme="majorBidi" w:hAnsiTheme="majorBidi" w:cstheme="majorBidi"/>
          <w:b/>
          <w:bCs/>
          <w:sz w:val="24"/>
          <w:szCs w:val="24"/>
        </w:rPr>
        <w:t>II.2.1.4.2.</w:t>
      </w:r>
      <w:r w:rsidR="00DD7746" w:rsidRPr="00D517C1">
        <w:rPr>
          <w:rFonts w:asciiTheme="majorBidi" w:hAnsiTheme="majorBidi" w:cstheme="majorBidi"/>
          <w:b/>
          <w:bCs/>
          <w:sz w:val="24"/>
          <w:szCs w:val="24"/>
        </w:rPr>
        <w:t xml:space="preserve"> Dimérisation des récepteurs </w:t>
      </w:r>
    </w:p>
    <w:p w:rsidR="00DD7746"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L’activation des RTKs passe par le mécanisme crucial de la dimérisation des récepteurs. En effet, la dimérisation (ou oligomérisation) non covalente des RTKs, induite ou stabilisée par la fixation de ligand, est le mécanisme déclencheur de l’autophosphorylation des tyrosines. La fixation de ligand au domaine extracellulaire peut induire un réarrangement structural des récepteurs hétérotétramèriques (exemple du récepteur à l’insuline), facilitant l’autophosphorylation des tyrosines dans le domaine cytoplasmique. A l’heure actuelle, les mécanismes liés à la transduction du signal du domaine extracellulaire vers le domaine intracellulaire, via la dimérisation des récepteurs, ne sont pas bien connus. De plus les mécanismes mis en jeu en aval sont certainement dépendant du couple ligand/récepteur. </w:t>
      </w:r>
    </w:p>
    <w:p w:rsidR="00DD7746"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           Mais dans certains cas, la dimérisation est certes nécessaire pour l’activation tyrosine kinase mais n’est pas suffisante. L’exemple est celui de l’étude de ErbB2 appartenant à la famille de l’EGFR, où la dimérisation forcée par mutation de résidus en cystéine permettant la création de ponts disulfures entre les hélices transmembranaires, indique que l’activation du récepteur est dépendante de l’orientation relative de chaque monomère dans le dimère.</w:t>
      </w:r>
    </w:p>
    <w:p w:rsidR="00DD7746"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         Un autre exemple est celui du récepteur tyrosine kinase Eph, pour lequel la dimérisation est suffisante pour l’autophosphorylation des récepteurs, à la condition d’une organisation des récepteurs en tétramère pour susciter toutes les réponses biologiques dans la cellule. </w:t>
      </w:r>
      <w:r w:rsidRPr="006C320E">
        <w:rPr>
          <w:rFonts w:asciiTheme="majorBidi" w:hAnsiTheme="majorBidi" w:cstheme="majorBidi"/>
          <w:sz w:val="24"/>
          <w:szCs w:val="24"/>
        </w:rPr>
        <w:lastRenderedPageBreak/>
        <w:t>Cependant, dans la plupart des cas, la dimérisation des RTKs est probablement suffisante pour la transduction du signal.</w:t>
      </w:r>
    </w:p>
    <w:p w:rsidR="00551FFA"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          La fixation de ligand stabilise la configuration dimérique du domaine extracellulaire mais les conséquences au niveau du domaine cytoplasmique contenant le domaine tyrosine kinase ne sont pas bien comprises. Les domaines cytoplasmiques pourraient s’associer transitoirement comme des couples enzyme/substrat, ou pourraient interagir de manière stable pour former un dimère symétrique ou asymétrique avant ou après l’autophosphorylation. Une boucle activatrice est présente dans les domaines tyrosine kinase cytoplasmiques. En conformation fermée, cette boucle empêche la fixation de substrat. Lorsque les résidus tyrosines appartenant à la boucle sont phosphorylés par un récepteur voisin (trans autophosphorylation), elle se stabilise dans une conformation ouverte laissant l’accès libre au site actif tyrosine kinase. </w:t>
      </w:r>
    </w:p>
    <w:p w:rsidR="00551FFA"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Pour les RTKs qui ont une activité kinase stimulée via l’autophosphorylation de la boucle activatrice, le modèle d’association transitoire des domaines cytoplasmiques semble cohérent avec les données biochimiques actuelles. Tous les sites pourraient raisonnablement être phosphorylés dans le dimère. </w:t>
      </w:r>
    </w:p>
    <w:p w:rsidR="00551FFA" w:rsidRPr="006C320E"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Si les deux domaines cytoplasmiques forment un dimère stable, après fixation de ligand avant l’autophosphorylation, des contraintes stériques pourraient empêcher l’autophosphorylation de certains sites, les plus proches des domaines kinases. Dans ce cas une association très ordonnée des récepteurs pourrait être nécessaire pour compléter l’autophospho</w:t>
      </w:r>
      <w:r w:rsidR="00551FFA" w:rsidRPr="006C320E">
        <w:rPr>
          <w:rFonts w:asciiTheme="majorBidi" w:hAnsiTheme="majorBidi" w:cstheme="majorBidi"/>
          <w:sz w:val="24"/>
          <w:szCs w:val="24"/>
        </w:rPr>
        <w:t>rylation</w:t>
      </w:r>
      <w:r w:rsidRPr="006C320E">
        <w:rPr>
          <w:rFonts w:asciiTheme="majorBidi" w:hAnsiTheme="majorBidi" w:cstheme="majorBidi"/>
          <w:sz w:val="24"/>
          <w:szCs w:val="24"/>
        </w:rPr>
        <w:t>.</w:t>
      </w:r>
    </w:p>
    <w:p w:rsidR="00551FFA" w:rsidRDefault="00DD7746" w:rsidP="00023F0B">
      <w:pPr>
        <w:spacing w:before="100" w:beforeAutospacing="1" w:after="100" w:afterAutospacing="1" w:line="360" w:lineRule="auto"/>
        <w:jc w:val="both"/>
        <w:rPr>
          <w:rFonts w:asciiTheme="majorBidi" w:hAnsiTheme="majorBidi" w:cstheme="majorBidi"/>
          <w:sz w:val="24"/>
          <w:szCs w:val="24"/>
        </w:rPr>
      </w:pPr>
      <w:r w:rsidRPr="006C320E">
        <w:rPr>
          <w:rFonts w:asciiTheme="majorBidi" w:hAnsiTheme="majorBidi" w:cstheme="majorBidi"/>
          <w:sz w:val="24"/>
          <w:szCs w:val="24"/>
        </w:rPr>
        <w:t xml:space="preserve"> La dimérisation des récepteurs implique également l’association des domaines transmembranaires. Il y a peu d’informations sur la façon dont l’hélice transmembranaire interagit physiquement avec son partenaire lors de la dimérisation du récepteur. La mutation ponctuelle d’une valine en acide glutamique dans le segment t</w:t>
      </w:r>
      <w:r w:rsidR="00551FFA" w:rsidRPr="006C320E">
        <w:rPr>
          <w:rFonts w:asciiTheme="majorBidi" w:hAnsiTheme="majorBidi" w:cstheme="majorBidi"/>
          <w:sz w:val="24"/>
          <w:szCs w:val="24"/>
        </w:rPr>
        <w:t xml:space="preserve">ransmembranaire entraîne chez </w:t>
      </w:r>
      <w:r w:rsidRPr="006C320E">
        <w:rPr>
          <w:rFonts w:asciiTheme="majorBidi" w:hAnsiTheme="majorBidi" w:cstheme="majorBidi"/>
          <w:sz w:val="24"/>
          <w:szCs w:val="24"/>
        </w:rPr>
        <w:t xml:space="preserve"> le récepteur Neu/ErbB2 dimérisation et activation constitutive. Cette mutation montre l’importance du domaine transmembranaire dans la transduction du signal. Cet aspect de la dimérisation sera traité dans le chapitre « B le do</w:t>
      </w:r>
      <w:r w:rsidR="00551FFA" w:rsidRPr="006C320E">
        <w:rPr>
          <w:rFonts w:asciiTheme="majorBidi" w:hAnsiTheme="majorBidi" w:cstheme="majorBidi"/>
          <w:sz w:val="24"/>
          <w:szCs w:val="24"/>
        </w:rPr>
        <w:t xml:space="preserve">maine transmembranaire ». </w:t>
      </w:r>
    </w:p>
    <w:p w:rsidR="00EC52BA" w:rsidRPr="006C320E" w:rsidRDefault="00EC52BA" w:rsidP="00023F0B">
      <w:pPr>
        <w:spacing w:before="100" w:beforeAutospacing="1" w:after="100" w:afterAutospacing="1" w:line="360" w:lineRule="auto"/>
        <w:jc w:val="both"/>
        <w:rPr>
          <w:rFonts w:asciiTheme="majorBidi" w:hAnsiTheme="majorBidi" w:cstheme="majorBidi"/>
          <w:sz w:val="24"/>
          <w:szCs w:val="24"/>
        </w:rPr>
      </w:pPr>
    </w:p>
    <w:p w:rsidR="00551FFA" w:rsidRPr="00775FDA" w:rsidRDefault="00775FDA" w:rsidP="00023F0B">
      <w:pPr>
        <w:spacing w:before="100" w:beforeAutospacing="1" w:after="100" w:afterAutospacing="1" w:line="360" w:lineRule="auto"/>
        <w:jc w:val="both"/>
        <w:rPr>
          <w:rFonts w:asciiTheme="majorBidi" w:hAnsiTheme="majorBidi" w:cstheme="majorBidi"/>
          <w:b/>
          <w:bCs/>
          <w:sz w:val="24"/>
          <w:szCs w:val="24"/>
        </w:rPr>
      </w:pPr>
      <w:r w:rsidRPr="00775FDA">
        <w:rPr>
          <w:rFonts w:asciiTheme="majorBidi" w:hAnsiTheme="majorBidi" w:cstheme="majorBidi"/>
          <w:b/>
          <w:bCs/>
          <w:sz w:val="24"/>
          <w:szCs w:val="24"/>
        </w:rPr>
        <w:t>II.2.1.4.3.</w:t>
      </w:r>
      <w:r w:rsidR="00DD7746" w:rsidRPr="00775FDA">
        <w:rPr>
          <w:rFonts w:asciiTheme="majorBidi" w:hAnsiTheme="majorBidi" w:cstheme="majorBidi"/>
          <w:b/>
          <w:bCs/>
          <w:sz w:val="24"/>
          <w:szCs w:val="24"/>
        </w:rPr>
        <w:t xml:space="preserve"> Autophosphorylation des tyrosines</w:t>
      </w:r>
    </w:p>
    <w:p w:rsidR="00551FFA" w:rsidRPr="00775FDA" w:rsidRDefault="00DD7746"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lastRenderedPageBreak/>
        <w:t xml:space="preserve"> L’augmentation de l’activité catalytique intrinsèque du récepteur et la création de sites de fixation dans le domaine intracellulaire pour recruter les protéines de signalisation sont les deux étapes clés de l’activation des récepteurs. Pour la plupart des RTKs, la réalisation de ces deux étapes nécessite l’autophosphorylation des résidus tyrosines du domaine intracellulaire, permise par l’oligomérisation des récepteurs déclenchée par la fixation de ligand. L’autophosphorylation des résidus tyrosines de la boucle activatrice du domaine tyrosine kinase génère des sites de fixation pour les protéines de signalisation pouvant reconnaître les séquences contenant des phosphotyrosines.Les RTKs contiennent entre 1 et 3 tyrosines dans la boucle </w:t>
      </w:r>
      <w:r w:rsidR="00551FFA" w:rsidRPr="00775FDA">
        <w:rPr>
          <w:rFonts w:asciiTheme="majorBidi" w:hAnsiTheme="majorBidi" w:cstheme="majorBidi"/>
          <w:sz w:val="24"/>
          <w:szCs w:val="24"/>
        </w:rPr>
        <w:t>activatrice</w:t>
      </w:r>
      <w:r w:rsidRPr="00775FDA">
        <w:rPr>
          <w:rFonts w:asciiTheme="majorBidi" w:hAnsiTheme="majorBidi" w:cstheme="majorBidi"/>
          <w:sz w:val="24"/>
          <w:szCs w:val="24"/>
        </w:rPr>
        <w:t>.</w:t>
      </w:r>
    </w:p>
    <w:p w:rsidR="00551FFA" w:rsidRPr="00775FDA" w:rsidRDefault="00DD7746"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 xml:space="preserve"> Les deux domaines protéiques reconnaissant les phosphotyrosines sont les domaines SH2 (domaine homologue à src de type 2) et PTB (phosphotyrosine </w:t>
      </w:r>
      <w:r w:rsidR="00551FFA" w:rsidRPr="00775FDA">
        <w:rPr>
          <w:rFonts w:asciiTheme="majorBidi" w:hAnsiTheme="majorBidi" w:cstheme="majorBidi"/>
          <w:sz w:val="24"/>
          <w:szCs w:val="24"/>
        </w:rPr>
        <w:t>binding)</w:t>
      </w:r>
      <w:r w:rsidRPr="00775FDA">
        <w:rPr>
          <w:rFonts w:asciiTheme="majorBidi" w:hAnsiTheme="majorBidi" w:cstheme="majorBidi"/>
          <w:sz w:val="24"/>
          <w:szCs w:val="24"/>
        </w:rPr>
        <w:t xml:space="preserve">. </w:t>
      </w:r>
    </w:p>
    <w:p w:rsidR="001D7DF1" w:rsidRPr="00775FDA" w:rsidRDefault="00DD7746"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Pour un grand nombre de RTKs, la phosphorylation des résidus tyrosines de la boucle activatrice est un événement crucial pour la stimulation de l’activité catalytique et l’induction de la réponse biologique. Parmi ces récepteurs on peut citer le récepteur à</w:t>
      </w:r>
      <w:r w:rsidR="00F34A9D" w:rsidRPr="00775FDA">
        <w:rPr>
          <w:rFonts w:asciiTheme="majorBidi" w:hAnsiTheme="majorBidi" w:cstheme="majorBidi"/>
          <w:sz w:val="24"/>
          <w:szCs w:val="24"/>
        </w:rPr>
        <w:t xml:space="preserve"> l’insuline</w:t>
      </w:r>
      <w:r w:rsidRPr="00775FDA">
        <w:rPr>
          <w:rFonts w:asciiTheme="majorBidi" w:hAnsiTheme="majorBidi" w:cstheme="majorBidi"/>
          <w:sz w:val="24"/>
          <w:szCs w:val="24"/>
        </w:rPr>
        <w:t>, le récepteur aux facteurs de croissance des fibroblastes</w:t>
      </w:r>
      <w:r w:rsidR="00F34A9D" w:rsidRPr="00775FDA">
        <w:rPr>
          <w:rFonts w:asciiTheme="majorBidi" w:hAnsiTheme="majorBidi" w:cstheme="majorBidi"/>
          <w:sz w:val="24"/>
          <w:szCs w:val="24"/>
        </w:rPr>
        <w:t xml:space="preserve"> (FGFR)</w:t>
      </w:r>
      <w:r w:rsidRPr="00775FDA">
        <w:rPr>
          <w:rFonts w:asciiTheme="majorBidi" w:hAnsiTheme="majorBidi" w:cstheme="majorBidi"/>
          <w:sz w:val="24"/>
          <w:szCs w:val="24"/>
        </w:rPr>
        <w:t xml:space="preserve">, le récepteur aux facteurs de croissance endothéliale vasculaire </w:t>
      </w:r>
      <w:r w:rsidR="001D7DF1" w:rsidRPr="00775FDA">
        <w:rPr>
          <w:rFonts w:asciiTheme="majorBidi" w:hAnsiTheme="majorBidi" w:cstheme="majorBidi"/>
          <w:sz w:val="24"/>
          <w:szCs w:val="24"/>
        </w:rPr>
        <w:t>(VEGFR)</w:t>
      </w:r>
      <w:r w:rsidRPr="00775FDA">
        <w:rPr>
          <w:rFonts w:asciiTheme="majorBidi" w:hAnsiTheme="majorBidi" w:cstheme="majorBidi"/>
          <w:sz w:val="24"/>
          <w:szCs w:val="24"/>
        </w:rPr>
        <w:t>, le récepteur aux facteurs de croissance des plaquet</w:t>
      </w:r>
      <w:r w:rsidR="001D7DF1" w:rsidRPr="00775FDA">
        <w:rPr>
          <w:rFonts w:asciiTheme="majorBidi" w:hAnsiTheme="majorBidi" w:cstheme="majorBidi"/>
          <w:sz w:val="24"/>
          <w:szCs w:val="24"/>
        </w:rPr>
        <w:t>tes (PDGFR)</w:t>
      </w:r>
      <w:r w:rsidRPr="00775FDA">
        <w:rPr>
          <w:rFonts w:asciiTheme="majorBidi" w:hAnsiTheme="majorBidi" w:cstheme="majorBidi"/>
          <w:sz w:val="24"/>
          <w:szCs w:val="24"/>
        </w:rPr>
        <w:t>, le récepteur aux facteurs de croissance des hépatocy</w:t>
      </w:r>
      <w:r w:rsidR="001D7DF1" w:rsidRPr="00775FDA">
        <w:rPr>
          <w:rFonts w:asciiTheme="majorBidi" w:hAnsiTheme="majorBidi" w:cstheme="majorBidi"/>
          <w:sz w:val="24"/>
          <w:szCs w:val="24"/>
        </w:rPr>
        <w:t>tes (Met)</w:t>
      </w:r>
      <w:r w:rsidRPr="00775FDA">
        <w:rPr>
          <w:rFonts w:asciiTheme="majorBidi" w:hAnsiTheme="majorBidi" w:cstheme="majorBidi"/>
          <w:sz w:val="24"/>
          <w:szCs w:val="24"/>
        </w:rPr>
        <w:t xml:space="preserve"> et</w:t>
      </w:r>
      <w:r w:rsidR="001D7DF1" w:rsidRPr="00775FDA">
        <w:rPr>
          <w:rFonts w:asciiTheme="majorBidi" w:hAnsiTheme="majorBidi" w:cstheme="majorBidi"/>
          <w:sz w:val="24"/>
          <w:szCs w:val="24"/>
        </w:rPr>
        <w:t xml:space="preserve"> le récepteur TrkA</w:t>
      </w:r>
      <w:r w:rsidRPr="00775FDA">
        <w:rPr>
          <w:rFonts w:asciiTheme="majorBidi" w:hAnsiTheme="majorBidi" w:cstheme="majorBidi"/>
          <w:sz w:val="24"/>
          <w:szCs w:val="24"/>
        </w:rPr>
        <w:t>. Le cas du récepteur au facteur de croissance de l’épiderme (EGFR) est une exception : en effet la mutation de la tyrosine 845 de la boucle activatrice en phénylalanine ne produit aucun effet sur la fonction tyrosine kinas</w:t>
      </w:r>
      <w:r w:rsidR="001D7DF1" w:rsidRPr="00775FDA">
        <w:rPr>
          <w:rFonts w:asciiTheme="majorBidi" w:hAnsiTheme="majorBidi" w:cstheme="majorBidi"/>
          <w:sz w:val="24"/>
          <w:szCs w:val="24"/>
        </w:rPr>
        <w:t>e de l’EGFR</w:t>
      </w:r>
      <w:r w:rsidRPr="00775FDA">
        <w:rPr>
          <w:rFonts w:asciiTheme="majorBidi" w:hAnsiTheme="majorBidi" w:cstheme="majorBidi"/>
          <w:sz w:val="24"/>
          <w:szCs w:val="24"/>
        </w:rPr>
        <w:t xml:space="preserve">. </w:t>
      </w:r>
    </w:p>
    <w:p w:rsidR="001D7DF1" w:rsidRPr="00775FDA" w:rsidRDefault="00DD7746"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L’autophosphorylation des tyrosines peut être cis, dans ce cas la phosphorylation est effectuée par le récepteur même ou trans où la phosphorylation s’effectue entre les récepteurs. La cis autophosphorylation est probablement due à un changement conformationnel provoqué par la fixation de ligand sur le récepteur. La trans autophosphorylation ne nécessite aucun changement conformationnel : le simple effet de proximité engendré par la dimérisation suffit 14 à déclencher la phosphorylation des t</w:t>
      </w:r>
      <w:r w:rsidR="001D7DF1" w:rsidRPr="00775FDA">
        <w:rPr>
          <w:rFonts w:asciiTheme="majorBidi" w:hAnsiTheme="majorBidi" w:cstheme="majorBidi"/>
          <w:sz w:val="24"/>
          <w:szCs w:val="24"/>
        </w:rPr>
        <w:t>yrosines</w:t>
      </w:r>
      <w:r w:rsidRPr="00775FDA">
        <w:rPr>
          <w:rFonts w:asciiTheme="majorBidi" w:hAnsiTheme="majorBidi" w:cstheme="majorBidi"/>
          <w:sz w:val="24"/>
          <w:szCs w:val="24"/>
        </w:rPr>
        <w:t>. Les structures du récepteur à l’insu</w:t>
      </w:r>
      <w:r w:rsidR="001D7DF1" w:rsidRPr="00775FDA">
        <w:rPr>
          <w:rFonts w:asciiTheme="majorBidi" w:hAnsiTheme="majorBidi" w:cstheme="majorBidi"/>
          <w:sz w:val="24"/>
          <w:szCs w:val="24"/>
        </w:rPr>
        <w:t>line seul</w:t>
      </w:r>
      <w:r w:rsidRPr="00775FDA">
        <w:rPr>
          <w:rFonts w:asciiTheme="majorBidi" w:hAnsiTheme="majorBidi" w:cstheme="majorBidi"/>
          <w:sz w:val="24"/>
          <w:szCs w:val="24"/>
        </w:rPr>
        <w:t xml:space="preserve"> et complexé avec un substrat peptidique et un a</w:t>
      </w:r>
      <w:r w:rsidR="001D7DF1" w:rsidRPr="00775FDA">
        <w:rPr>
          <w:rFonts w:asciiTheme="majorBidi" w:hAnsiTheme="majorBidi" w:cstheme="majorBidi"/>
          <w:sz w:val="24"/>
          <w:szCs w:val="24"/>
        </w:rPr>
        <w:t>nalogue de l’ATP</w:t>
      </w:r>
      <w:r w:rsidRPr="00775FDA">
        <w:rPr>
          <w:rFonts w:asciiTheme="majorBidi" w:hAnsiTheme="majorBidi" w:cstheme="majorBidi"/>
          <w:sz w:val="24"/>
          <w:szCs w:val="24"/>
        </w:rPr>
        <w:t xml:space="preserve"> indiquent que les résidus tyrosines dans la boucle activatrice sont phosphorylés uniquement en trans. </w:t>
      </w:r>
    </w:p>
    <w:p w:rsidR="00AA1996" w:rsidRDefault="00DD7746"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 xml:space="preserve">A partir de ces structures Hubbard et collaborateurs ont établi un modèle de stimulation de l’activité tyrosine kinase par </w:t>
      </w:r>
      <w:r w:rsidR="001D7DF1" w:rsidRPr="00775FDA">
        <w:rPr>
          <w:rFonts w:asciiTheme="majorBidi" w:hAnsiTheme="majorBidi" w:cstheme="majorBidi"/>
          <w:sz w:val="24"/>
          <w:szCs w:val="24"/>
        </w:rPr>
        <w:t>dimérisation des récepteurs</w:t>
      </w:r>
      <w:r w:rsidRPr="00775FDA">
        <w:rPr>
          <w:rFonts w:asciiTheme="majorBidi" w:hAnsiTheme="majorBidi" w:cstheme="majorBidi"/>
          <w:sz w:val="24"/>
          <w:szCs w:val="24"/>
        </w:rPr>
        <w:t xml:space="preserve">. Sous forme monomérique, l’accès </w:t>
      </w:r>
      <w:r w:rsidRPr="00775FDA">
        <w:rPr>
          <w:rFonts w:asciiTheme="majorBidi" w:hAnsiTheme="majorBidi" w:cstheme="majorBidi"/>
          <w:sz w:val="24"/>
          <w:szCs w:val="24"/>
        </w:rPr>
        <w:lastRenderedPageBreak/>
        <w:t>au site actif du domaine tyrosine kinase est partiellement obstrué par la boucle activatrice. La boucle est en équilibre entre un état majoritaire bloquant l’accès au site actif et un état minoritaire laissant l’accès libre au site. Les tyrosines dans la boucle activatrice sont très conservées au cours de l’évolution. Leur phosphorylation provoque un déplacement d’équilibre de la conformation où la boucle activatrice empêche l’accès au site actif vers la conformation laissant l’accès libre au site catalytique.</w:t>
      </w:r>
    </w:p>
    <w:p w:rsidR="00702248" w:rsidRDefault="00775FDA"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 xml:space="preserve">         En plus du contrôle de l’activité tyrosine kinase, l’autophosphorylation des tyrosines est importante pour le recrutement et l’activation de nombreux effecteurs. Beaucoup de sites d’autophosphorylation de tyrosine sont localisés dans des régions non catalytiques du domaine intracellulaire des RTKs. Ces sites ont pour fonction de fixer les domaines SH2 et PTB des effecteurs. La fixation de protéines sur un site d’autophosphorylation entraîne une cascade de réactions dont l’assemblage et le recrutement de complexes de signalisation. Les RTKs sont comparables à des plates-formes de reconnaissance et de recrutement de protéines de signalisation.</w:t>
      </w:r>
    </w:p>
    <w:p w:rsidR="00702248" w:rsidRDefault="00625D9A" w:rsidP="00023F0B">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2336" behindDoc="1" locked="0" layoutInCell="1" allowOverlap="1">
            <wp:simplePos x="0" y="0"/>
            <wp:positionH relativeFrom="column">
              <wp:posOffset>1096050</wp:posOffset>
            </wp:positionH>
            <wp:positionV relativeFrom="paragraph">
              <wp:posOffset>-90057</wp:posOffset>
            </wp:positionV>
            <wp:extent cx="3822480" cy="3277041"/>
            <wp:effectExtent l="19050" t="19050" r="6985" b="0"/>
            <wp:wrapNone/>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822480" cy="3277041"/>
                    </a:xfrm>
                    <a:prstGeom prst="rect">
                      <a:avLst/>
                    </a:prstGeom>
                    <a:noFill/>
                    <a:ln w="9525">
                      <a:solidFill>
                        <a:schemeClr val="tx1"/>
                      </a:solidFill>
                      <a:miter lim="800000"/>
                      <a:headEnd/>
                      <a:tailEnd/>
                    </a:ln>
                  </pic:spPr>
                </pic:pic>
              </a:graphicData>
            </a:graphic>
          </wp:anchor>
        </w:drawing>
      </w:r>
    </w:p>
    <w:p w:rsidR="00702248" w:rsidRDefault="00AE2A34" w:rsidP="00AE2A34">
      <w:pPr>
        <w:tabs>
          <w:tab w:val="left" w:pos="3915"/>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r>
    </w:p>
    <w:p w:rsidR="00702248" w:rsidRDefault="00702248" w:rsidP="00023F0B">
      <w:pPr>
        <w:spacing w:before="100" w:beforeAutospacing="1" w:after="100" w:afterAutospacing="1" w:line="360" w:lineRule="auto"/>
        <w:jc w:val="both"/>
        <w:rPr>
          <w:rFonts w:asciiTheme="majorBidi" w:hAnsiTheme="majorBidi" w:cstheme="majorBidi"/>
          <w:sz w:val="24"/>
          <w:szCs w:val="24"/>
        </w:rPr>
      </w:pPr>
    </w:p>
    <w:p w:rsidR="00702248" w:rsidRDefault="00702248" w:rsidP="00023F0B">
      <w:pPr>
        <w:spacing w:before="100" w:beforeAutospacing="1" w:after="100" w:afterAutospacing="1" w:line="360" w:lineRule="auto"/>
        <w:jc w:val="both"/>
        <w:rPr>
          <w:rFonts w:asciiTheme="majorBidi" w:hAnsiTheme="majorBidi" w:cstheme="majorBidi"/>
          <w:sz w:val="24"/>
          <w:szCs w:val="24"/>
        </w:rPr>
      </w:pPr>
    </w:p>
    <w:p w:rsidR="00702248" w:rsidRDefault="00702248" w:rsidP="00023F0B">
      <w:pPr>
        <w:spacing w:before="100" w:beforeAutospacing="1" w:after="100" w:afterAutospacing="1" w:line="360" w:lineRule="auto"/>
        <w:jc w:val="both"/>
        <w:rPr>
          <w:rFonts w:asciiTheme="majorBidi" w:hAnsiTheme="majorBidi" w:cstheme="majorBidi"/>
          <w:sz w:val="24"/>
          <w:szCs w:val="24"/>
        </w:rPr>
      </w:pPr>
    </w:p>
    <w:p w:rsidR="00702248" w:rsidRDefault="00702248" w:rsidP="00023F0B">
      <w:pPr>
        <w:spacing w:before="100" w:beforeAutospacing="1" w:after="100" w:afterAutospacing="1" w:line="360" w:lineRule="auto"/>
        <w:jc w:val="both"/>
        <w:rPr>
          <w:rFonts w:asciiTheme="majorBidi" w:hAnsiTheme="majorBidi" w:cstheme="majorBidi"/>
          <w:sz w:val="24"/>
          <w:szCs w:val="24"/>
        </w:rPr>
      </w:pPr>
    </w:p>
    <w:p w:rsidR="00702248" w:rsidRDefault="00702248" w:rsidP="00023F0B">
      <w:pPr>
        <w:spacing w:before="100" w:beforeAutospacing="1" w:after="100" w:afterAutospacing="1" w:line="360" w:lineRule="auto"/>
        <w:jc w:val="both"/>
        <w:rPr>
          <w:rFonts w:asciiTheme="majorBidi" w:hAnsiTheme="majorBidi" w:cstheme="majorBidi"/>
          <w:sz w:val="24"/>
          <w:szCs w:val="24"/>
        </w:rPr>
      </w:pPr>
    </w:p>
    <w:p w:rsidR="00625D9A" w:rsidRDefault="00625D9A" w:rsidP="00EC52BA">
      <w:pPr>
        <w:spacing w:before="100" w:beforeAutospacing="1" w:after="100" w:afterAutospacing="1" w:line="360" w:lineRule="auto"/>
        <w:jc w:val="both"/>
        <w:rPr>
          <w:rFonts w:asciiTheme="majorBidi" w:hAnsiTheme="majorBidi" w:cstheme="majorBidi"/>
          <w:sz w:val="24"/>
          <w:szCs w:val="24"/>
        </w:rPr>
      </w:pPr>
    </w:p>
    <w:p w:rsidR="00702248" w:rsidRDefault="00775FDA" w:rsidP="00023F0B">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Figure</w:t>
      </w:r>
      <w:r w:rsidR="00625D9A">
        <w:rPr>
          <w:rFonts w:asciiTheme="majorBidi" w:hAnsiTheme="majorBidi" w:cstheme="majorBidi"/>
          <w:b/>
          <w:bCs/>
          <w:sz w:val="24"/>
          <w:szCs w:val="24"/>
        </w:rPr>
        <w:t>16</w:t>
      </w:r>
      <w:r w:rsidR="00702248" w:rsidRPr="00E11C08">
        <w:rPr>
          <w:rFonts w:asciiTheme="majorBidi" w:hAnsiTheme="majorBidi" w:cstheme="majorBidi"/>
          <w:b/>
          <w:bCs/>
          <w:sz w:val="24"/>
          <w:szCs w:val="24"/>
        </w:rPr>
        <w:t>:</w:t>
      </w:r>
      <w:r w:rsidR="00702248">
        <w:rPr>
          <w:rFonts w:asciiTheme="majorBidi" w:hAnsiTheme="majorBidi" w:cstheme="majorBidi"/>
          <w:sz w:val="24"/>
          <w:szCs w:val="24"/>
        </w:rPr>
        <w:t xml:space="preserve"> Activation d’un récepteur tyrosine kinase </w:t>
      </w:r>
      <w:r w:rsidR="00702248" w:rsidRPr="00B85C67">
        <w:rPr>
          <w:rFonts w:asciiTheme="majorBidi" w:hAnsiTheme="majorBidi" w:cstheme="majorBidi"/>
          <w:b/>
          <w:bCs/>
          <w:sz w:val="24"/>
          <w:szCs w:val="24"/>
        </w:rPr>
        <w:t>(Aller, 2005)</w:t>
      </w:r>
    </w:p>
    <w:p w:rsidR="00D517C1" w:rsidRDefault="00D517C1" w:rsidP="00023F0B">
      <w:pPr>
        <w:spacing w:before="100" w:beforeAutospacing="1" w:after="100" w:afterAutospacing="1" w:line="360" w:lineRule="auto"/>
        <w:jc w:val="center"/>
        <w:rPr>
          <w:rFonts w:asciiTheme="majorBidi" w:hAnsiTheme="majorBidi" w:cstheme="majorBidi"/>
          <w:sz w:val="24"/>
          <w:szCs w:val="24"/>
        </w:rPr>
      </w:pPr>
    </w:p>
    <w:p w:rsidR="001D7DF1" w:rsidRPr="00632FA1" w:rsidRDefault="00775FDA" w:rsidP="00023F0B">
      <w:pPr>
        <w:spacing w:before="100" w:beforeAutospacing="1" w:after="100" w:afterAutospacing="1" w:line="360" w:lineRule="auto"/>
        <w:jc w:val="both"/>
        <w:rPr>
          <w:rFonts w:asciiTheme="majorBidi" w:hAnsiTheme="majorBidi" w:cstheme="majorBidi"/>
          <w:b/>
          <w:bCs/>
          <w:sz w:val="24"/>
          <w:szCs w:val="24"/>
        </w:rPr>
      </w:pPr>
      <w:r w:rsidRPr="00775FDA">
        <w:rPr>
          <w:rFonts w:asciiTheme="majorBidi" w:hAnsiTheme="majorBidi" w:cstheme="majorBidi"/>
          <w:b/>
          <w:bCs/>
          <w:sz w:val="24"/>
          <w:szCs w:val="24"/>
        </w:rPr>
        <w:t>II.2.1</w:t>
      </w:r>
      <w:r w:rsidRPr="00632FA1">
        <w:rPr>
          <w:rFonts w:asciiTheme="majorBidi" w:hAnsiTheme="majorBidi" w:cstheme="majorBidi"/>
          <w:b/>
          <w:bCs/>
          <w:sz w:val="24"/>
          <w:szCs w:val="24"/>
        </w:rPr>
        <w:t xml:space="preserve">.5. </w:t>
      </w:r>
      <w:r w:rsidR="001D7DF1" w:rsidRPr="00632FA1">
        <w:rPr>
          <w:rFonts w:asciiTheme="majorBidi" w:hAnsiTheme="majorBidi" w:cstheme="majorBidi"/>
          <w:b/>
          <w:bCs/>
          <w:sz w:val="24"/>
          <w:szCs w:val="24"/>
        </w:rPr>
        <w:t xml:space="preserve">Voies de signalisation des RTKs </w:t>
      </w:r>
    </w:p>
    <w:p w:rsidR="00775FDA" w:rsidRPr="00632FA1" w:rsidRDefault="00775FDA" w:rsidP="00023F0B">
      <w:pPr>
        <w:spacing w:before="100" w:beforeAutospacing="1" w:after="100" w:afterAutospacing="1" w:line="360" w:lineRule="auto"/>
        <w:jc w:val="both"/>
        <w:rPr>
          <w:rFonts w:asciiTheme="majorBidi" w:hAnsiTheme="majorBidi" w:cstheme="majorBidi"/>
          <w:sz w:val="24"/>
          <w:szCs w:val="24"/>
        </w:rPr>
      </w:pPr>
      <w:r w:rsidRPr="00632FA1">
        <w:rPr>
          <w:rFonts w:asciiTheme="majorBidi" w:hAnsiTheme="majorBidi" w:cstheme="majorBidi"/>
          <w:sz w:val="24"/>
          <w:szCs w:val="24"/>
        </w:rPr>
        <w:lastRenderedPageBreak/>
        <w:t xml:space="preserve">          L’activation des RTKs permet la transduction du signal à l’intérieur de la cellule. Les RTKs activés mettent en jeu différentes voies de signalisation via des protéines possédant des modules protéiques pour transmettre le signal au noyau ou à différentes enzymes. Les principales voies de signalisation sont : Ras/MAP kinase et celle du métabolisme du phosphoinositol. Ces voies jouent un rôle important dans des processus métaboliques, le cycle cellulaire, la migration cellulaire, la prolifération et différenciation cellulaire.</w:t>
      </w:r>
    </w:p>
    <w:p w:rsidR="001D7DF1" w:rsidRPr="00775FDA" w:rsidRDefault="00775FDA" w:rsidP="00023F0B">
      <w:pPr>
        <w:spacing w:before="100" w:beforeAutospacing="1" w:after="100" w:afterAutospacing="1" w:line="360" w:lineRule="auto"/>
        <w:rPr>
          <w:rFonts w:asciiTheme="majorBidi" w:hAnsiTheme="majorBidi" w:cstheme="majorBidi"/>
          <w:b/>
          <w:bCs/>
          <w:sz w:val="24"/>
          <w:szCs w:val="24"/>
        </w:rPr>
      </w:pPr>
      <w:r w:rsidRPr="00775FDA">
        <w:rPr>
          <w:rFonts w:asciiTheme="majorBidi" w:hAnsiTheme="majorBidi" w:cstheme="majorBidi"/>
          <w:b/>
          <w:bCs/>
          <w:sz w:val="24"/>
          <w:szCs w:val="24"/>
        </w:rPr>
        <w:t xml:space="preserve">II.2.1.6. </w:t>
      </w:r>
      <w:r w:rsidR="001D7DF1" w:rsidRPr="00775FDA">
        <w:rPr>
          <w:rFonts w:asciiTheme="majorBidi" w:hAnsiTheme="majorBidi" w:cstheme="majorBidi"/>
          <w:b/>
          <w:bCs/>
          <w:sz w:val="24"/>
          <w:szCs w:val="24"/>
        </w:rPr>
        <w:t xml:space="preserve">Modules protéiques des effecteurs </w:t>
      </w:r>
    </w:p>
    <w:p w:rsidR="004817B3" w:rsidRPr="00775FDA" w:rsidRDefault="001D7DF1" w:rsidP="00023F0B">
      <w:pPr>
        <w:spacing w:before="100" w:beforeAutospacing="1" w:after="100" w:afterAutospacing="1" w:line="360" w:lineRule="auto"/>
        <w:rPr>
          <w:rFonts w:asciiTheme="majorBidi" w:hAnsiTheme="majorBidi" w:cstheme="majorBidi"/>
          <w:sz w:val="24"/>
          <w:szCs w:val="24"/>
        </w:rPr>
      </w:pPr>
      <w:r w:rsidRPr="00775FDA">
        <w:rPr>
          <w:rFonts w:asciiTheme="majorBidi" w:hAnsiTheme="majorBidi" w:cstheme="majorBidi"/>
          <w:sz w:val="24"/>
          <w:szCs w:val="24"/>
        </w:rPr>
        <w:t>Les protéines possédant les domaines SH2 et PTB interviennent dans la reconnaissance de sites d’autophosphorylation et dans la cascade de réactions en av</w:t>
      </w:r>
      <w:r w:rsidR="004817B3" w:rsidRPr="00775FDA">
        <w:rPr>
          <w:rFonts w:asciiTheme="majorBidi" w:hAnsiTheme="majorBidi" w:cstheme="majorBidi"/>
          <w:sz w:val="24"/>
          <w:szCs w:val="24"/>
        </w:rPr>
        <w:t>al</w:t>
      </w:r>
      <w:r w:rsidRPr="00775FDA">
        <w:rPr>
          <w:rFonts w:asciiTheme="majorBidi" w:hAnsiTheme="majorBidi" w:cstheme="majorBidi"/>
          <w:sz w:val="24"/>
          <w:szCs w:val="24"/>
        </w:rPr>
        <w:t xml:space="preserve">. Ces protéines peuvent posséder une activité enzymatique et modifier d’autres protéines, des phospholipides ou des acides nucléiques, pendant leur interaction. </w:t>
      </w:r>
    </w:p>
    <w:p w:rsidR="004817B3" w:rsidRPr="00775FDA" w:rsidRDefault="001D7DF1" w:rsidP="00023F0B">
      <w:pPr>
        <w:spacing w:before="100" w:beforeAutospacing="1" w:after="100" w:afterAutospacing="1" w:line="360" w:lineRule="auto"/>
        <w:rPr>
          <w:rFonts w:asciiTheme="majorBidi" w:hAnsiTheme="majorBidi" w:cstheme="majorBidi"/>
          <w:sz w:val="24"/>
          <w:szCs w:val="24"/>
        </w:rPr>
      </w:pPr>
      <w:r w:rsidRPr="00775FDA">
        <w:rPr>
          <w:rFonts w:asciiTheme="majorBidi" w:hAnsiTheme="majorBidi" w:cstheme="majorBidi"/>
          <w:sz w:val="24"/>
          <w:szCs w:val="24"/>
        </w:rPr>
        <w:t>Les protéines effectrices participant à la signalisation intracellulaire possèdent une multitude de petits modules constitués de 50 à 200 acides aminés qui permettent des associations avec d’autres protéines, des membranes ou des</w:t>
      </w:r>
      <w:r w:rsidR="004817B3" w:rsidRPr="00775FDA">
        <w:rPr>
          <w:rFonts w:asciiTheme="majorBidi" w:hAnsiTheme="majorBidi" w:cstheme="majorBidi"/>
          <w:sz w:val="24"/>
          <w:szCs w:val="24"/>
        </w:rPr>
        <w:t xml:space="preserve"> composants cellulaires</w:t>
      </w:r>
      <w:r w:rsidRPr="00775FDA">
        <w:rPr>
          <w:rFonts w:asciiTheme="majorBidi" w:hAnsiTheme="majorBidi" w:cstheme="majorBidi"/>
          <w:sz w:val="24"/>
          <w:szCs w:val="24"/>
        </w:rPr>
        <w:t xml:space="preserve">. </w:t>
      </w:r>
    </w:p>
    <w:p w:rsidR="004817B3" w:rsidRPr="00775FDA" w:rsidRDefault="001D7DF1" w:rsidP="00023F0B">
      <w:pPr>
        <w:spacing w:before="100" w:beforeAutospacing="1" w:after="100" w:afterAutospacing="1" w:line="360" w:lineRule="auto"/>
        <w:rPr>
          <w:rFonts w:asciiTheme="majorBidi" w:hAnsiTheme="majorBidi" w:cstheme="majorBidi"/>
          <w:sz w:val="24"/>
          <w:szCs w:val="24"/>
        </w:rPr>
      </w:pPr>
      <w:r w:rsidRPr="00775FDA">
        <w:rPr>
          <w:rFonts w:asciiTheme="majorBidi" w:hAnsiTheme="majorBidi" w:cstheme="majorBidi"/>
          <w:sz w:val="24"/>
          <w:szCs w:val="24"/>
        </w:rPr>
        <w:t xml:space="preserve">Le domaine SH2 est défini comme une séquence conservée de 100 acides aminés environ, qui fixe une séquence peptidique particulière ( jusqu’à 6 résidus) contenant une phosphotyrosine dans la partie C terminale (intracellulaire) du </w:t>
      </w:r>
      <w:r w:rsidR="009F7931" w:rsidRPr="00775FDA">
        <w:rPr>
          <w:rFonts w:asciiTheme="majorBidi" w:hAnsiTheme="majorBidi" w:cstheme="majorBidi"/>
          <w:sz w:val="24"/>
          <w:szCs w:val="24"/>
        </w:rPr>
        <w:t>récepteur</w:t>
      </w:r>
      <w:r w:rsidRPr="00775FDA">
        <w:rPr>
          <w:rFonts w:asciiTheme="majorBidi" w:hAnsiTheme="majorBidi" w:cstheme="majorBidi"/>
          <w:sz w:val="24"/>
          <w:szCs w:val="24"/>
        </w:rPr>
        <w:t>.</w:t>
      </w:r>
    </w:p>
    <w:p w:rsidR="00702248" w:rsidRPr="00775FDA" w:rsidRDefault="001D7DF1" w:rsidP="00023F0B">
      <w:pPr>
        <w:spacing w:before="100" w:beforeAutospacing="1" w:after="100" w:afterAutospacing="1" w:line="360" w:lineRule="auto"/>
        <w:rPr>
          <w:rFonts w:asciiTheme="majorBidi" w:hAnsiTheme="majorBidi" w:cstheme="majorBidi"/>
          <w:sz w:val="24"/>
          <w:szCs w:val="24"/>
        </w:rPr>
      </w:pPr>
      <w:r w:rsidRPr="00775FDA">
        <w:rPr>
          <w:rFonts w:asciiTheme="majorBidi" w:hAnsiTheme="majorBidi" w:cstheme="majorBidi"/>
          <w:sz w:val="24"/>
          <w:szCs w:val="24"/>
        </w:rPr>
        <w:t>Le domaine PTB, composé d’environ 200 acides aminés, fixe une séquence de 3 à 5 résidus en N terminal de la région intracellulaire du récepteur. La fixation de nombreuses protéines</w:t>
      </w:r>
      <w:r w:rsidR="004817B3" w:rsidRPr="00775FDA">
        <w:rPr>
          <w:rFonts w:asciiTheme="majorBidi" w:hAnsiTheme="majorBidi" w:cstheme="majorBidi"/>
          <w:sz w:val="24"/>
          <w:szCs w:val="24"/>
        </w:rPr>
        <w:t xml:space="preserve"> possédant un domaine PTB est indépendante de la présence d’une tyrosine phosphorylée</w:t>
      </w:r>
    </w:p>
    <w:p w:rsidR="004817B3" w:rsidRPr="00775FDA" w:rsidRDefault="004817B3"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Les domaines SH3 (src homology 3) et WW reconnaissent et fixent des régions riches en proline. Le domaine SH3 fixe spécifiquement la séquence PXXP (P :proline et X représentant n’importe quel acide aminé), mais peut reconnaître d’autres séquences telles qu</w:t>
      </w:r>
      <w:r w:rsidR="00C65E66" w:rsidRPr="00775FDA">
        <w:rPr>
          <w:rFonts w:asciiTheme="majorBidi" w:hAnsiTheme="majorBidi" w:cstheme="majorBidi"/>
          <w:sz w:val="24"/>
          <w:szCs w:val="24"/>
        </w:rPr>
        <w:t xml:space="preserve">e RXXK, comme dans le cas du </w:t>
      </w:r>
      <w:r w:rsidRPr="00775FDA">
        <w:rPr>
          <w:rFonts w:asciiTheme="majorBidi" w:hAnsiTheme="majorBidi" w:cstheme="majorBidi"/>
          <w:sz w:val="24"/>
          <w:szCs w:val="24"/>
        </w:rPr>
        <w:t>domaine SH3 de Gad dans les cellules T. Le domaine WW, petit module de 35-40 acides aminés,</w:t>
      </w:r>
      <w:r w:rsidR="00C65E66" w:rsidRPr="00775FDA">
        <w:rPr>
          <w:rFonts w:asciiTheme="majorBidi" w:hAnsiTheme="majorBidi" w:cstheme="majorBidi"/>
          <w:sz w:val="24"/>
          <w:szCs w:val="24"/>
        </w:rPr>
        <w:t xml:space="preserve"> reconnaît les motifs : PPXY</w:t>
      </w:r>
      <w:r w:rsidRPr="00775FDA">
        <w:rPr>
          <w:rFonts w:asciiTheme="majorBidi" w:hAnsiTheme="majorBidi" w:cstheme="majorBidi"/>
          <w:sz w:val="24"/>
          <w:szCs w:val="24"/>
        </w:rPr>
        <w:t xml:space="preserve">. </w:t>
      </w:r>
    </w:p>
    <w:p w:rsidR="004817B3" w:rsidRPr="00775FDA" w:rsidRDefault="004817B3"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 xml:space="preserve">Le domaine PH (pleckstrin homology) est composé de 120 acides aminés environ. De nombreuses protéines possédant ce domaine sont impliquées dans la régulation de l’actine du cytosquelette, et dans le ciblage intracellulaire au niveau de la membrane. Le domaine PH </w:t>
      </w:r>
      <w:r w:rsidRPr="00775FDA">
        <w:rPr>
          <w:rFonts w:asciiTheme="majorBidi" w:hAnsiTheme="majorBidi" w:cstheme="majorBidi"/>
          <w:sz w:val="24"/>
          <w:szCs w:val="24"/>
        </w:rPr>
        <w:lastRenderedPageBreak/>
        <w:t>interagit spécifiquement avec le phosphatidylinositol 4,5 diphosphate (PIP2) et le phosphatidylinositol 3,4,5 triph</w:t>
      </w:r>
      <w:r w:rsidR="00C65E66" w:rsidRPr="00775FDA">
        <w:rPr>
          <w:rFonts w:asciiTheme="majorBidi" w:hAnsiTheme="majorBidi" w:cstheme="majorBidi"/>
          <w:sz w:val="24"/>
          <w:szCs w:val="24"/>
        </w:rPr>
        <w:t>osphate (PIP3)</w:t>
      </w:r>
      <w:r w:rsidRPr="00775FDA">
        <w:rPr>
          <w:rFonts w:asciiTheme="majorBidi" w:hAnsiTheme="majorBidi" w:cstheme="majorBidi"/>
          <w:sz w:val="24"/>
          <w:szCs w:val="24"/>
        </w:rPr>
        <w:t>.</w:t>
      </w:r>
    </w:p>
    <w:p w:rsidR="004817B3" w:rsidRPr="00775FDA" w:rsidRDefault="004817B3"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Le domaine FYVE comprend un peu moins de 80 acides aminés et tient son nom des protéines de sa famille (Fab1, YGLO23, VPS27 et EEA1). La structure de ce domaine présente deux doigts de zinc et reconnaît spécifiquement le phosphatidylinositol 3</w:t>
      </w:r>
      <w:r w:rsidR="00C65E66" w:rsidRPr="00775FDA">
        <w:rPr>
          <w:rFonts w:asciiTheme="majorBidi" w:hAnsiTheme="majorBidi" w:cstheme="majorBidi"/>
          <w:sz w:val="24"/>
          <w:szCs w:val="24"/>
        </w:rPr>
        <w:t>-phosphate</w:t>
      </w:r>
      <w:r w:rsidRPr="00775FDA">
        <w:rPr>
          <w:rFonts w:asciiTheme="majorBidi" w:hAnsiTheme="majorBidi" w:cstheme="majorBidi"/>
          <w:sz w:val="24"/>
          <w:szCs w:val="24"/>
        </w:rPr>
        <w:t xml:space="preserve">. </w:t>
      </w:r>
    </w:p>
    <w:p w:rsidR="004817B3" w:rsidRPr="00775FDA" w:rsidRDefault="004817B3" w:rsidP="00023F0B">
      <w:pPr>
        <w:spacing w:before="100" w:beforeAutospacing="1" w:after="100" w:afterAutospacing="1" w:line="360" w:lineRule="auto"/>
        <w:jc w:val="both"/>
        <w:rPr>
          <w:rFonts w:asciiTheme="majorBidi" w:hAnsiTheme="majorBidi" w:cstheme="majorBidi"/>
          <w:sz w:val="24"/>
          <w:szCs w:val="24"/>
        </w:rPr>
      </w:pPr>
      <w:r w:rsidRPr="00775FDA">
        <w:rPr>
          <w:rFonts w:asciiTheme="majorBidi" w:hAnsiTheme="majorBidi" w:cstheme="majorBidi"/>
          <w:sz w:val="24"/>
          <w:szCs w:val="24"/>
        </w:rPr>
        <w:t>Le domaine PDZ se compose d’environ 90 acides aminés et reconnaît de courts motifs peptidiques hydrophobes de 4 résidus situés à l’extrémité C termin</w:t>
      </w:r>
      <w:r w:rsidR="00C65E66" w:rsidRPr="00775FDA">
        <w:rPr>
          <w:rFonts w:asciiTheme="majorBidi" w:hAnsiTheme="majorBidi" w:cstheme="majorBidi"/>
          <w:sz w:val="24"/>
          <w:szCs w:val="24"/>
        </w:rPr>
        <w:t>ale de la protéine cible</w:t>
      </w:r>
      <w:r w:rsidRPr="00775FDA">
        <w:rPr>
          <w:rFonts w:asciiTheme="majorBidi" w:hAnsiTheme="majorBidi" w:cstheme="majorBidi"/>
          <w:sz w:val="24"/>
          <w:szCs w:val="24"/>
        </w:rPr>
        <w:t xml:space="preserve">. </w:t>
      </w:r>
    </w:p>
    <w:p w:rsidR="00C553FF" w:rsidRPr="00EC52BA" w:rsidRDefault="004817B3" w:rsidP="00EC52BA">
      <w:pPr>
        <w:spacing w:before="100" w:beforeAutospacing="1" w:after="100" w:afterAutospacing="1" w:line="360" w:lineRule="auto"/>
        <w:jc w:val="both"/>
      </w:pPr>
      <w:r w:rsidRPr="00775FDA">
        <w:rPr>
          <w:rFonts w:asciiTheme="majorBidi" w:hAnsiTheme="majorBidi" w:cstheme="majorBidi"/>
          <w:sz w:val="24"/>
          <w:szCs w:val="24"/>
        </w:rPr>
        <w:t xml:space="preserve">Il existe une large famille de protéines possédant un domaine SH2 et une activité enzymatique comme l’activité protéine tyrosine kinase (Src kinases), l’activité protéine tyrosine phosphatase (Shp2), ou phospholipase C (PLCγ), etc. D’autres protéines possèdent seulement les domaines SH2 et SH3 et assurent un relais entre différentes protéines. Un exemple est la protéine Grb2 qui interagit avec les RTKs activés par son domaine SH2 et avec Sos-Ras via son </w:t>
      </w:r>
      <w:r w:rsidR="00C65E66" w:rsidRPr="00775FDA">
        <w:rPr>
          <w:rFonts w:asciiTheme="majorBidi" w:hAnsiTheme="majorBidi" w:cstheme="majorBidi"/>
          <w:sz w:val="24"/>
          <w:szCs w:val="24"/>
        </w:rPr>
        <w:t>domaine SH3</w:t>
      </w:r>
      <w:r w:rsidRPr="00775FDA">
        <w:rPr>
          <w:rFonts w:asciiTheme="majorBidi" w:hAnsiTheme="majorBidi" w:cstheme="majorBidi"/>
          <w:sz w:val="24"/>
          <w:szCs w:val="24"/>
        </w:rPr>
        <w:t>.</w:t>
      </w:r>
    </w:p>
    <w:p w:rsidR="00C553FF" w:rsidRPr="00C553FF" w:rsidRDefault="00C553FF" w:rsidP="00EC52BA">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C553FF">
        <w:rPr>
          <w:rFonts w:asciiTheme="majorBidi" w:hAnsiTheme="majorBidi" w:cstheme="majorBidi"/>
          <w:b/>
          <w:bCs/>
          <w:sz w:val="24"/>
          <w:szCs w:val="24"/>
        </w:rPr>
        <w:t xml:space="preserve">II.2.2. Récepteurs à activité serine/thréonine kinase </w:t>
      </w:r>
      <w:r>
        <w:rPr>
          <w:rFonts w:asciiTheme="majorBidi" w:hAnsiTheme="majorBidi" w:cstheme="majorBidi"/>
          <w:b/>
          <w:bCs/>
          <w:sz w:val="24"/>
          <w:szCs w:val="24"/>
        </w:rPr>
        <w:t>–</w:t>
      </w:r>
      <w:r w:rsidRPr="00C553FF">
        <w:rPr>
          <w:rFonts w:asciiTheme="majorBidi" w:hAnsiTheme="majorBidi" w:cstheme="majorBidi"/>
          <w:b/>
          <w:bCs/>
          <w:sz w:val="24"/>
          <w:szCs w:val="24"/>
        </w:rPr>
        <w:t xml:space="preserve"> RST</w:t>
      </w:r>
    </w:p>
    <w:p w:rsidR="00576DE1" w:rsidRPr="00C553FF"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hAnsiTheme="majorBidi" w:cstheme="majorBidi"/>
          <w:sz w:val="24"/>
          <w:szCs w:val="24"/>
        </w:rPr>
        <w:t>Les récepteurs à activité sérine/thréonine kinase reconnaissent et fixent des ligands de troisfamilles de facteurs de croissance : les TGFs (</w:t>
      </w:r>
      <w:r w:rsidRPr="00C553FF">
        <w:rPr>
          <w:rFonts w:asciiTheme="majorBidi" w:hAnsiTheme="majorBidi" w:cstheme="majorBidi"/>
          <w:i/>
          <w:iCs/>
          <w:sz w:val="24"/>
          <w:szCs w:val="24"/>
        </w:rPr>
        <w:t>Transforming Growth Factors</w:t>
      </w:r>
      <w:r w:rsidRPr="00C553FF">
        <w:rPr>
          <w:rFonts w:asciiTheme="majorBidi" w:hAnsiTheme="majorBidi" w:cstheme="majorBidi"/>
          <w:sz w:val="24"/>
          <w:szCs w:val="24"/>
        </w:rPr>
        <w:t xml:space="preserve">), les activines et lesprotéines de morphogenèse osseuse (BMP, pour </w:t>
      </w:r>
      <w:r w:rsidRPr="00C553FF">
        <w:rPr>
          <w:rFonts w:asciiTheme="majorBidi" w:hAnsiTheme="majorBidi" w:cstheme="majorBidi"/>
          <w:i/>
          <w:iCs/>
          <w:sz w:val="24"/>
          <w:szCs w:val="24"/>
        </w:rPr>
        <w:t>Bone Morphogenetic Proteins</w:t>
      </w:r>
      <w:r w:rsidRPr="00C553FF">
        <w:rPr>
          <w:rFonts w:asciiTheme="majorBidi" w:hAnsiTheme="majorBidi" w:cstheme="majorBidi"/>
          <w:sz w:val="24"/>
          <w:szCs w:val="24"/>
        </w:rPr>
        <w:t>). Ces facteursinterviennent surtout dans le développement embryonnaire et la différenciation cellulaire.</w:t>
      </w:r>
    </w:p>
    <w:p w:rsidR="00EE1085" w:rsidRPr="00C553FF" w:rsidRDefault="00576DE1" w:rsidP="00EC52B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hAnsiTheme="majorBidi" w:cstheme="majorBidi"/>
          <w:sz w:val="24"/>
          <w:szCs w:val="24"/>
        </w:rPr>
        <w:t>Le mécanisme d'activation de ces récepteurs fait intervenir deux types de récepteurs dimérisés</w:t>
      </w:r>
      <w:r w:rsidR="00EE1085">
        <w:rPr>
          <w:rFonts w:asciiTheme="majorBidi" w:hAnsiTheme="majorBidi" w:cstheme="majorBidi"/>
          <w:sz w:val="24"/>
          <w:szCs w:val="24"/>
        </w:rPr>
        <w:t>différents</w:t>
      </w:r>
      <w:r w:rsidRPr="00C553FF">
        <w:rPr>
          <w:rFonts w:asciiTheme="majorBidi" w:hAnsiTheme="majorBidi" w:cstheme="majorBidi"/>
          <w:sz w:val="24"/>
          <w:szCs w:val="24"/>
        </w:rPr>
        <w:t>. Le ligand se fixe d'abord sur un récepteur de type II (RII) qui se lie alors à unrécepteur de type I (RI) formant ainsi un hétérotétramère.L'activité kinasique de RI est induite par phosphorylation de certains de ses résidus sérine parRII. Cette activation est responsable de la phosphorylation de constituants cytoplasmiques mobilesappelés Smad qui agissent directement sur l’expression génique. Il existe trois types de Smad :</w:t>
      </w:r>
    </w:p>
    <w:p w:rsidR="00576DE1" w:rsidRPr="00C553FF"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eastAsia="SymbolMT" w:hAnsiTheme="majorBidi" w:cstheme="majorBidi"/>
          <w:sz w:val="24"/>
          <w:szCs w:val="24"/>
        </w:rPr>
        <w:t xml:space="preserve">• </w:t>
      </w:r>
      <w:r w:rsidRPr="00C553FF">
        <w:rPr>
          <w:rFonts w:asciiTheme="majorBidi" w:hAnsiTheme="majorBidi" w:cstheme="majorBidi"/>
          <w:sz w:val="24"/>
          <w:szCs w:val="24"/>
        </w:rPr>
        <w:t>Les R-Smad (</w:t>
      </w:r>
      <w:r w:rsidRPr="00C553FF">
        <w:rPr>
          <w:rFonts w:asciiTheme="majorBidi" w:hAnsiTheme="majorBidi" w:cstheme="majorBidi"/>
          <w:i/>
          <w:iCs/>
          <w:sz w:val="24"/>
          <w:szCs w:val="24"/>
        </w:rPr>
        <w:t>regulated Smad</w:t>
      </w:r>
      <w:r w:rsidRPr="00C553FF">
        <w:rPr>
          <w:rFonts w:asciiTheme="majorBidi" w:hAnsiTheme="majorBidi" w:cstheme="majorBidi"/>
          <w:sz w:val="24"/>
          <w:szCs w:val="24"/>
        </w:rPr>
        <w:t>) qui sont phosphorylés et activés par le récepteur activé (RI).</w:t>
      </w:r>
    </w:p>
    <w:p w:rsidR="00576DE1" w:rsidRPr="00C553FF"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hAnsiTheme="majorBidi" w:cstheme="majorBidi"/>
          <w:sz w:val="24"/>
          <w:szCs w:val="24"/>
        </w:rPr>
        <w:t>Ils comprennent les Smad 2 et 3 qui interviennent dans le cas où les ligands sont des TGFs ou des activines, et les Smad 1, 5 et 8 pour les ligands BMP.</w:t>
      </w:r>
    </w:p>
    <w:p w:rsidR="00576DE1" w:rsidRPr="00C553FF"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eastAsia="SymbolMT" w:hAnsiTheme="majorBidi" w:cstheme="majorBidi"/>
          <w:sz w:val="24"/>
          <w:szCs w:val="24"/>
        </w:rPr>
        <w:lastRenderedPageBreak/>
        <w:t xml:space="preserve">• </w:t>
      </w:r>
      <w:r w:rsidRPr="00C553FF">
        <w:rPr>
          <w:rFonts w:asciiTheme="majorBidi" w:hAnsiTheme="majorBidi" w:cstheme="majorBidi"/>
          <w:sz w:val="24"/>
          <w:szCs w:val="24"/>
        </w:rPr>
        <w:t>Les co-Smad représentés par Smad 4.</w:t>
      </w:r>
    </w:p>
    <w:p w:rsidR="00576DE1" w:rsidRPr="00C553FF"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eastAsia="SymbolMT" w:hAnsiTheme="majorBidi" w:cstheme="majorBidi"/>
          <w:sz w:val="24"/>
          <w:szCs w:val="24"/>
        </w:rPr>
        <w:t xml:space="preserve">• </w:t>
      </w:r>
      <w:r w:rsidRPr="00C553FF">
        <w:rPr>
          <w:rFonts w:asciiTheme="majorBidi" w:hAnsiTheme="majorBidi" w:cstheme="majorBidi"/>
          <w:sz w:val="24"/>
          <w:szCs w:val="24"/>
        </w:rPr>
        <w:t>Les I-Smad (Smad 6 et 7) qui jouent le rôle d'inhibiteurs ou antagonistes pour les R-Smad.</w:t>
      </w:r>
    </w:p>
    <w:p w:rsidR="00EE1085" w:rsidRPr="00C553FF" w:rsidRDefault="00576DE1" w:rsidP="00EC52B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hAnsiTheme="majorBidi" w:cstheme="majorBidi"/>
          <w:sz w:val="24"/>
          <w:szCs w:val="24"/>
        </w:rPr>
        <w:t>Quand les R-Smad sont phosphorylés, ils forment un complexe hétérotrimérique avec Smad 4. Ce complexe pénètre dans le noyau et, en s’associant avec d’autres facteurs, module latranscription de différents gènes cibles.</w:t>
      </w:r>
    </w:p>
    <w:p w:rsidR="00EE1085" w:rsidRPr="00EE1085" w:rsidRDefault="00576DE1" w:rsidP="00EC52B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553FF">
        <w:rPr>
          <w:rFonts w:asciiTheme="majorBidi" w:hAnsiTheme="majorBidi" w:cstheme="majorBidi"/>
          <w:sz w:val="24"/>
          <w:szCs w:val="24"/>
        </w:rPr>
        <w:t>Parmi les protéines induites par certains ligands comme le TGFβ par exemple, on trouve des I-Smad, en particulier Smad 7 qui bloque la phosphorylation des R-Smad par les RI. C'est unrétrocontrôle négatif qui met fin à la stimulation.</w:t>
      </w:r>
    </w:p>
    <w:p w:rsidR="00EE1085" w:rsidRPr="00EE1085" w:rsidRDefault="00EE1085" w:rsidP="00EC52BA">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EE1085">
        <w:rPr>
          <w:rFonts w:asciiTheme="majorBidi" w:hAnsiTheme="majorBidi" w:cstheme="majorBidi"/>
          <w:b/>
          <w:bCs/>
          <w:sz w:val="24"/>
          <w:szCs w:val="24"/>
        </w:rPr>
        <w:t>II.2.3. Récepteurs à activité</w:t>
      </w:r>
      <w:r>
        <w:rPr>
          <w:rFonts w:asciiTheme="majorBidi" w:hAnsiTheme="majorBidi" w:cstheme="majorBidi"/>
          <w:b/>
          <w:bCs/>
          <w:sz w:val="24"/>
          <w:szCs w:val="24"/>
        </w:rPr>
        <w:t xml:space="preserve"> guanylyl cyclase – RGC</w:t>
      </w:r>
    </w:p>
    <w:p w:rsidR="00576DE1" w:rsidRPr="00EE1085"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On trouve ces récepteurs au niveau des muscles lisses des parois vasculaires, de l’intestin etdes épithélia olfactif et visuel.Ces récepteurs sont des homodimères qui possèdent un domaine cytoplasmique à activitéguanylyl-cyclase qui transforme le GTP en GMPc. Le récepteur activé produira donc du GMPc qui agi</w:t>
      </w:r>
      <w:r w:rsidR="00EE1085" w:rsidRPr="00EE1085">
        <w:rPr>
          <w:rFonts w:asciiTheme="majorBidi" w:hAnsiTheme="majorBidi" w:cstheme="majorBidi"/>
          <w:sz w:val="24"/>
          <w:szCs w:val="24"/>
        </w:rPr>
        <w:t xml:space="preserve">t comme second messager sur ses </w:t>
      </w:r>
      <w:r w:rsidRPr="00EE1085">
        <w:rPr>
          <w:rFonts w:asciiTheme="majorBidi" w:hAnsiTheme="majorBidi" w:cstheme="majorBidi"/>
          <w:sz w:val="24"/>
          <w:szCs w:val="24"/>
        </w:rPr>
        <w:t>systèmes-cibles (canaux, kinases, …).</w:t>
      </w:r>
    </w:p>
    <w:p w:rsidR="00576DE1" w:rsidRPr="00EE1085"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Le ligand majeur de ces récepteurs est l’ANF (facteur natriurétique auriculaire), libéré auniveau des oreillettes cardiaques suite à une aug</w:t>
      </w:r>
      <w:r w:rsidR="00EE1085" w:rsidRPr="00EE1085">
        <w:rPr>
          <w:rFonts w:asciiTheme="majorBidi" w:hAnsiTheme="majorBidi" w:cstheme="majorBidi"/>
          <w:sz w:val="24"/>
          <w:szCs w:val="24"/>
        </w:rPr>
        <w:t xml:space="preserve">mentation du volume sanguin par </w:t>
      </w:r>
      <w:r w:rsidRPr="00EE1085">
        <w:rPr>
          <w:rFonts w:asciiTheme="majorBidi" w:hAnsiTheme="majorBidi" w:cstheme="majorBidi"/>
          <w:sz w:val="24"/>
          <w:szCs w:val="24"/>
        </w:rPr>
        <w:t>exemple. L’ANF va agir au niveau de récepteurs guan</w:t>
      </w:r>
      <w:r w:rsidR="00EE1085" w:rsidRPr="00EE1085">
        <w:rPr>
          <w:rFonts w:asciiTheme="majorBidi" w:hAnsiTheme="majorBidi" w:cstheme="majorBidi"/>
          <w:sz w:val="24"/>
          <w:szCs w:val="24"/>
        </w:rPr>
        <w:t xml:space="preserve">ylyl-cyclase se trouvant sur la </w:t>
      </w:r>
      <w:r w:rsidRPr="00EE1085">
        <w:rPr>
          <w:rFonts w:asciiTheme="majorBidi" w:hAnsiTheme="majorBidi" w:cstheme="majorBidi"/>
          <w:sz w:val="24"/>
          <w:szCs w:val="24"/>
        </w:rPr>
        <w:t>membrane des cellules musculaires lisses des parois vascu</w:t>
      </w:r>
      <w:r w:rsidR="00EE1085">
        <w:rPr>
          <w:rFonts w:asciiTheme="majorBidi" w:hAnsiTheme="majorBidi" w:cstheme="majorBidi"/>
          <w:sz w:val="24"/>
          <w:szCs w:val="24"/>
        </w:rPr>
        <w:t>laires</w:t>
      </w:r>
      <w:r w:rsidR="00EE1085" w:rsidRPr="00EE1085">
        <w:rPr>
          <w:rFonts w:asciiTheme="majorBidi" w:hAnsiTheme="majorBidi" w:cstheme="majorBidi"/>
          <w:sz w:val="24"/>
          <w:szCs w:val="24"/>
        </w:rPr>
        <w:t xml:space="preserve">. Ces récepteurs </w:t>
      </w:r>
      <w:r w:rsidRPr="00EE1085">
        <w:rPr>
          <w:rFonts w:asciiTheme="majorBidi" w:hAnsiTheme="majorBidi" w:cstheme="majorBidi"/>
          <w:sz w:val="24"/>
          <w:szCs w:val="24"/>
        </w:rPr>
        <w:t>activent, via le GMPc, une protéine kinase PKG. Celle-ci activerait la pompe Ca2+-ATPase du réticulum endoplasmique, induisant ainsi une diminution du Ca2+ cytoplasmique. Ceci aboutit à l’inhibition du complexe actine–myosine et par conséquent, il y a relâchement des cellules musculaires lisses et donc une vasodilatation.</w:t>
      </w:r>
    </w:p>
    <w:p w:rsidR="00576DE1" w:rsidRDefault="00576DE1" w:rsidP="00023F0B">
      <w:pPr>
        <w:spacing w:before="100" w:beforeAutospacing="1" w:after="100" w:afterAutospacing="1" w:line="360" w:lineRule="auto"/>
        <w:jc w:val="both"/>
      </w:pPr>
    </w:p>
    <w:p w:rsidR="00576DE1" w:rsidRPr="00EE1085" w:rsidRDefault="00EE1085" w:rsidP="00023F0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EE1085">
        <w:rPr>
          <w:rFonts w:asciiTheme="majorBidi" w:hAnsiTheme="majorBidi" w:cstheme="majorBidi"/>
          <w:b/>
          <w:bCs/>
          <w:sz w:val="24"/>
          <w:szCs w:val="24"/>
        </w:rPr>
        <w:t>II.2.4.</w:t>
      </w:r>
      <w:r w:rsidR="00560CAB" w:rsidRPr="00EE1085">
        <w:rPr>
          <w:rFonts w:asciiTheme="majorBidi" w:hAnsiTheme="majorBidi" w:cstheme="majorBidi"/>
          <w:b/>
          <w:bCs/>
          <w:sz w:val="24"/>
          <w:szCs w:val="24"/>
        </w:rPr>
        <w:t xml:space="preserve"> Récepteurs à activité phosphatase</w:t>
      </w:r>
    </w:p>
    <w:p w:rsidR="00576DE1" w:rsidRPr="00EE1085"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 xml:space="preserve">Certaines tyrosines phosphatases sont transmembranaires et fonctionnent comme récepteurs.Puisque leur ligand n’est pas encore bien identifié, elles sont alors désignées comme étant des«récepteurs-like». Elles possèdent un seul segment transmembranaire et </w:t>
      </w:r>
      <w:r w:rsidRPr="00EE1085">
        <w:rPr>
          <w:rFonts w:asciiTheme="majorBidi" w:hAnsiTheme="majorBidi" w:cstheme="majorBidi"/>
          <w:sz w:val="24"/>
          <w:szCs w:val="24"/>
        </w:rPr>
        <w:lastRenderedPageBreak/>
        <w:t>souvent elles ont deuxdomaines tyrosines-phosphatases (D1 et D2) dans leur partie intracellulaire.</w:t>
      </w:r>
    </w:p>
    <w:p w:rsidR="00576DE1" w:rsidRPr="00EE1085" w:rsidRDefault="00576DE1" w:rsidP="00023F0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Un exemple important est celui de la protéine CD45 qui se trouve à la surface de tous les</w:t>
      </w:r>
    </w:p>
    <w:p w:rsidR="00560CAB" w:rsidRPr="00EE1085" w:rsidRDefault="00576DE1" w:rsidP="00EC52B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 xml:space="preserve">globules blancs. Elle a un rôle essentiel dans l’activation des lymphocytes T ; elle contribue audéclenchement de la cascade de signalisation en </w:t>
      </w:r>
      <w:r w:rsidR="00560CAB" w:rsidRPr="00EE1085">
        <w:rPr>
          <w:rFonts w:asciiTheme="majorBidi" w:hAnsiTheme="majorBidi" w:cstheme="majorBidi"/>
          <w:sz w:val="24"/>
          <w:szCs w:val="24"/>
        </w:rPr>
        <w:t xml:space="preserve">activant une enzyme Lck </w:t>
      </w:r>
      <w:r w:rsidRPr="00EE1085">
        <w:rPr>
          <w:rFonts w:asciiTheme="majorBidi" w:hAnsiTheme="majorBidi" w:cstheme="majorBidi"/>
          <w:sz w:val="24"/>
          <w:szCs w:val="24"/>
        </w:rPr>
        <w:t>.</w:t>
      </w:r>
    </w:p>
    <w:p w:rsidR="00560CAB" w:rsidRPr="00EC52BA" w:rsidRDefault="00576DE1" w:rsidP="00EC52B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sz w:val="24"/>
          <w:szCs w:val="24"/>
        </w:rPr>
        <w:t>Lck est une tyrosine kinase de la famille Src. Lorsqu’elle est inactive, elle est pliée par uneinteraction intramoléculaire entre son domaine SH2 et un groupe tyrosine-phosphate à l'extrémitéC-terminale.CD45 agit en enlevant le phosphate à ce groupe, ce qui ouvre la structure moléculaire de la Lckpermettant ainsi son activation. Au niveau des lymphocytes T par exemple, Lck phosphoryle dessites ITAM au niveau du complexe TCR-CD3</w:t>
      </w:r>
    </w:p>
    <w:p w:rsidR="00EE1085" w:rsidRDefault="00EE1085" w:rsidP="00023F0B">
      <w:pPr>
        <w:spacing w:before="100" w:beforeAutospacing="1" w:after="100" w:afterAutospacing="1" w:line="360" w:lineRule="auto"/>
        <w:jc w:val="both"/>
        <w:rPr>
          <w:rFonts w:asciiTheme="majorBidi" w:hAnsiTheme="majorBidi" w:cstheme="majorBidi"/>
          <w:sz w:val="24"/>
          <w:szCs w:val="24"/>
        </w:rPr>
      </w:pPr>
      <w:r w:rsidRPr="00EE1085">
        <w:rPr>
          <w:rFonts w:asciiTheme="majorBidi" w:hAnsiTheme="majorBidi" w:cstheme="majorBidi"/>
          <w:b/>
          <w:bCs/>
          <w:sz w:val="24"/>
          <w:szCs w:val="24"/>
        </w:rPr>
        <w:t>II.3.</w:t>
      </w:r>
      <w:r w:rsidR="00560CAB" w:rsidRPr="00EE1085">
        <w:rPr>
          <w:rFonts w:asciiTheme="majorBidi" w:hAnsiTheme="majorBidi" w:cstheme="majorBidi"/>
          <w:b/>
          <w:bCs/>
          <w:sz w:val="24"/>
          <w:szCs w:val="24"/>
        </w:rPr>
        <w:t>Autres types de récepteurs :</w:t>
      </w:r>
    </w:p>
    <w:p w:rsidR="00560CAB" w:rsidRPr="00EE1085" w:rsidRDefault="00EE1085" w:rsidP="00023F0B">
      <w:pPr>
        <w:spacing w:before="100" w:beforeAutospacing="1" w:after="100" w:afterAutospacing="1" w:line="360" w:lineRule="auto"/>
        <w:jc w:val="both"/>
        <w:rPr>
          <w:rFonts w:asciiTheme="majorBidi" w:hAnsiTheme="majorBidi" w:cstheme="majorBidi"/>
          <w:b/>
          <w:bCs/>
          <w:sz w:val="24"/>
          <w:szCs w:val="24"/>
        </w:rPr>
      </w:pPr>
      <w:r w:rsidRPr="00EE1085">
        <w:rPr>
          <w:rFonts w:asciiTheme="majorBidi" w:hAnsiTheme="majorBidi" w:cstheme="majorBidi"/>
          <w:b/>
          <w:bCs/>
          <w:sz w:val="24"/>
          <w:szCs w:val="24"/>
        </w:rPr>
        <w:t>II.3.1.</w:t>
      </w:r>
      <w:r w:rsidRPr="00EE1085">
        <w:rPr>
          <w:rFonts w:ascii="Times New Roman" w:hAnsi="Times New Roman" w:cs="Times New Roman"/>
          <w:b/>
          <w:bCs/>
          <w:sz w:val="24"/>
          <w:szCs w:val="24"/>
        </w:rPr>
        <w:t>R</w:t>
      </w:r>
      <w:r w:rsidR="004D1150" w:rsidRPr="00EE1085">
        <w:rPr>
          <w:rFonts w:ascii="Times New Roman" w:hAnsi="Times New Roman" w:cs="Times New Roman"/>
          <w:b/>
          <w:bCs/>
          <w:sz w:val="24"/>
          <w:szCs w:val="24"/>
        </w:rPr>
        <w:t>écepteurs de mort </w:t>
      </w:r>
      <w:r w:rsidR="00560CAB" w:rsidRPr="00EE1085">
        <w:rPr>
          <w:rFonts w:ascii="Times New Roman" w:hAnsi="Times New Roman" w:cs="Times New Roman"/>
          <w:b/>
          <w:bCs/>
          <w:sz w:val="24"/>
          <w:szCs w:val="24"/>
        </w:rPr>
        <w:t>et apoptose</w:t>
      </w:r>
      <w:r w:rsidR="004D1150" w:rsidRPr="00EE1085">
        <w:rPr>
          <w:rFonts w:ascii="Times New Roman" w:hAnsi="Times New Roman" w:cs="Times New Roman"/>
          <w:b/>
          <w:bCs/>
          <w:sz w:val="24"/>
          <w:szCs w:val="24"/>
        </w:rPr>
        <w:t>:</w:t>
      </w:r>
    </w:p>
    <w:p w:rsidR="00560CAB" w:rsidRDefault="00EE1085" w:rsidP="00EC52BA">
      <w:pPr>
        <w:autoSpaceDE w:val="0"/>
        <w:autoSpaceDN w:val="0"/>
        <w:adjustRightInd w:val="0"/>
        <w:spacing w:before="100" w:beforeAutospacing="1"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II.3.1.1.</w:t>
      </w:r>
      <w:r w:rsidR="00560CAB">
        <w:rPr>
          <w:rFonts w:ascii="Times New Roman" w:hAnsi="Times New Roman" w:cs="Times New Roman"/>
          <w:b/>
          <w:bCs/>
          <w:sz w:val="24"/>
          <w:szCs w:val="24"/>
        </w:rPr>
        <w:t>Les récepteurs de mort</w:t>
      </w:r>
    </w:p>
    <w:p w:rsidR="00560CAB" w:rsidRDefault="00560CAB"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Ils appartiennent à la superfamille du récepteur TNFα (TNFR) ; 7 membres forment le sous groupe des récepteurs de mort (DR : Death Receptor) : Fas (CD95/APO-1; ligand: FasL),</w:t>
      </w:r>
    </w:p>
    <w:p w:rsidR="00560CAB" w:rsidRDefault="00560CAB"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TNFR1 (p55/CD120a; ligands : TNFα et β), DR3 (ligand: VEGI), DR6, p75NGFR (récepteur</w:t>
      </w:r>
    </w:p>
    <w:p w:rsidR="00560CAB" w:rsidRDefault="00560CAB"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au facteur de croissance neuronale ; ligand: NGF) et les 2 récepteurs TRAIL : DR4 (TRAILR1) et DR5 (TRAIL-R2).</w:t>
      </w:r>
    </w:p>
    <w:p w:rsidR="004D1150" w:rsidRPr="00EC52BA" w:rsidRDefault="00560CAB"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Les récepteurs sont composés d’un nombre variable de domaines riches en cystéine (DRC), dans leur partie extracellulaire. Les DRC permettent la stabilité des structures trimériques des récepteurs. Seuls quelques-uns des TNFR possèdent le domaine de mort intracellulaire (DD : Death domain). La fixation du TNF sur son récepteur conduit à sa</w:t>
      </w:r>
      <w:r w:rsidR="00A51CBE">
        <w:rPr>
          <w:rFonts w:ascii="Times New Roman" w:hAnsi="Times New Roman" w:cs="Times New Roman"/>
          <w:sz w:val="24"/>
          <w:szCs w:val="24"/>
        </w:rPr>
        <w:t>trimérisation</w:t>
      </w:r>
      <w:r>
        <w:rPr>
          <w:rFonts w:ascii="Times New Roman" w:hAnsi="Times New Roman" w:cs="Times New Roman"/>
          <w:sz w:val="24"/>
          <w:szCs w:val="24"/>
        </w:rPr>
        <w:t xml:space="preserve">, ce qui permet à TRADD (TNFR-associated death domain), molécule adaptatrice, de se fixer par interaction entre les domaines de mort (DD). TRADD s’associe ensuite à FADD (Fas-associated Death Domain), ce qui induit l’apoptose </w:t>
      </w:r>
      <w:r>
        <w:rPr>
          <w:rFonts w:ascii="Times New Roman" w:hAnsi="Times New Roman" w:cs="Times New Roman"/>
          <w:i/>
          <w:iCs/>
          <w:sz w:val="24"/>
          <w:szCs w:val="24"/>
        </w:rPr>
        <w:t xml:space="preserve">via </w:t>
      </w:r>
      <w:r>
        <w:rPr>
          <w:rFonts w:ascii="Times New Roman" w:hAnsi="Times New Roman" w:cs="Times New Roman"/>
          <w:sz w:val="24"/>
          <w:szCs w:val="24"/>
        </w:rPr>
        <w:t>l’activation de la caspase 8</w:t>
      </w:r>
    </w:p>
    <w:p w:rsidR="00A51CBE" w:rsidRDefault="00A51CBE" w:rsidP="00EC52BA">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II.3.1.2.</w:t>
      </w:r>
      <w:r w:rsidR="00560CAB">
        <w:rPr>
          <w:rFonts w:ascii="Times New Roman" w:hAnsi="Times New Roman" w:cs="Times New Roman"/>
          <w:b/>
          <w:bCs/>
          <w:sz w:val="24"/>
          <w:szCs w:val="24"/>
        </w:rPr>
        <w:t>L’apoptose :</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L’apoptose ou mort cellulaire programmée (M</w:t>
      </w:r>
      <w:r w:rsidR="004D1150">
        <w:rPr>
          <w:rFonts w:ascii="Times New Roman" w:hAnsi="Times New Roman" w:cs="Times New Roman"/>
          <w:sz w:val="24"/>
          <w:szCs w:val="24"/>
        </w:rPr>
        <w:t xml:space="preserve">CP) </w:t>
      </w:r>
      <w:r>
        <w:rPr>
          <w:rFonts w:ascii="Times New Roman" w:hAnsi="Times New Roman" w:cs="Times New Roman"/>
          <w:sz w:val="24"/>
          <w:szCs w:val="24"/>
        </w:rPr>
        <w:t>est unprocessus de mort physiologique. Elle se différencie de la nécrose, processus dégénératif quiintervient dans des cellules ayant subi des dommages physiques, chimiques ou osmotiques.</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L’apoptose implique une séquence précise d’évènements cellulaires, décrits en 1972 par Kerret al. (tissus humains et murins). Elle résulte de l’exécution d’un programme hautement</w:t>
      </w:r>
    </w:p>
    <w:p w:rsidR="00A51CBE" w:rsidRDefault="001E271A"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régulé qui induit la destruction d’une cellule, tout en préservant l’intégrité cellulaireenvironnante. Elle survient naturellement au cours de l’embryogenèse, du renouvellementtissulaire et lors du vieillissement. Cependant, elle peut également se produire en conditionspathologiques et de stress intense de l’organisme.</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L’apoptose est caractérisée par des m</w:t>
      </w:r>
      <w:r w:rsidR="004D1150">
        <w:rPr>
          <w:rFonts w:ascii="Times New Roman" w:hAnsi="Times New Roman" w:cs="Times New Roman"/>
          <w:sz w:val="24"/>
          <w:szCs w:val="24"/>
        </w:rPr>
        <w:t xml:space="preserve">odifications </w:t>
      </w:r>
      <w:r>
        <w:rPr>
          <w:rFonts w:ascii="Times New Roman" w:hAnsi="Times New Roman" w:cs="Times New Roman"/>
          <w:sz w:val="24"/>
          <w:szCs w:val="24"/>
        </w:rPr>
        <w:t>:</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1CBE">
        <w:rPr>
          <w:rFonts w:ascii="Times New Roman" w:hAnsi="Times New Roman" w:cs="Times New Roman"/>
          <w:b/>
          <w:bCs/>
          <w:sz w:val="24"/>
          <w:szCs w:val="24"/>
        </w:rPr>
        <w:t>M</w:t>
      </w:r>
      <w:r>
        <w:rPr>
          <w:rFonts w:ascii="Times New Roman" w:hAnsi="Times New Roman" w:cs="Times New Roman"/>
          <w:b/>
          <w:bCs/>
          <w:sz w:val="24"/>
          <w:szCs w:val="24"/>
        </w:rPr>
        <w:t xml:space="preserve">orphologiques </w:t>
      </w:r>
      <w:r>
        <w:rPr>
          <w:rFonts w:ascii="Times New Roman" w:hAnsi="Times New Roman" w:cs="Times New Roman"/>
          <w:sz w:val="24"/>
          <w:szCs w:val="24"/>
        </w:rPr>
        <w:t>: diminution du volume cellulaire, avec maintien de l’intégritéstructurale de la membrane plasmique, relocalisation des organites cytoplasmiques,condensation de la chromatine puis fragmentation du noyau et de la cellule en corpsapoptotiques,</w:t>
      </w:r>
    </w:p>
    <w:p w:rsidR="004D1150" w:rsidRDefault="001E271A"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1CBE">
        <w:rPr>
          <w:rFonts w:ascii="Times New Roman" w:hAnsi="Times New Roman" w:cs="Times New Roman"/>
          <w:b/>
          <w:bCs/>
          <w:sz w:val="24"/>
          <w:szCs w:val="24"/>
        </w:rPr>
        <w:t>B</w:t>
      </w:r>
      <w:r>
        <w:rPr>
          <w:rFonts w:ascii="Times New Roman" w:hAnsi="Times New Roman" w:cs="Times New Roman"/>
          <w:b/>
          <w:bCs/>
          <w:sz w:val="24"/>
          <w:szCs w:val="24"/>
        </w:rPr>
        <w:t xml:space="preserve">iochimiques </w:t>
      </w:r>
      <w:r>
        <w:rPr>
          <w:rFonts w:ascii="Times New Roman" w:hAnsi="Times New Roman" w:cs="Times New Roman"/>
          <w:sz w:val="24"/>
          <w:szCs w:val="24"/>
        </w:rPr>
        <w:t>: externalisation de la phosphatidylsérine, chute du potentiel demembrane au niveau des mitochondries, activation des caspases et dégradation del’</w:t>
      </w:r>
      <w:r w:rsidR="004D1150">
        <w:rPr>
          <w:rFonts w:ascii="Times New Roman" w:hAnsi="Times New Roman" w:cs="Times New Roman"/>
          <w:sz w:val="24"/>
          <w:szCs w:val="24"/>
        </w:rPr>
        <w:t xml:space="preserve">ADN en fragments </w:t>
      </w:r>
      <w:r>
        <w:rPr>
          <w:rFonts w:ascii="Times New Roman" w:hAnsi="Times New Roman" w:cs="Times New Roman"/>
          <w:sz w:val="24"/>
          <w:szCs w:val="24"/>
        </w:rPr>
        <w:t>oligonucléosomaux.</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Il existe deux voies de signalisation aboutissant à l’apoptose :</w:t>
      </w:r>
    </w:p>
    <w:p w:rsidR="001E271A" w:rsidRDefault="00EC52B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L</w:t>
      </w:r>
      <w:r w:rsidR="001E271A">
        <w:rPr>
          <w:rFonts w:ascii="Times New Roman" w:hAnsi="Times New Roman" w:cs="Times New Roman"/>
          <w:sz w:val="24"/>
          <w:szCs w:val="24"/>
        </w:rPr>
        <w:t xml:space="preserve">a voie des récepteurs de mort ou </w:t>
      </w:r>
      <w:r w:rsidR="001E271A">
        <w:rPr>
          <w:rFonts w:ascii="Times New Roman" w:hAnsi="Times New Roman" w:cs="Times New Roman"/>
          <w:b/>
          <w:bCs/>
          <w:sz w:val="24"/>
          <w:szCs w:val="24"/>
        </w:rPr>
        <w:t>voie extrinsèque</w:t>
      </w:r>
      <w:r w:rsidR="001E271A">
        <w:rPr>
          <w:rFonts w:ascii="Times New Roman" w:hAnsi="Times New Roman" w:cs="Times New Roman"/>
          <w:sz w:val="24"/>
          <w:szCs w:val="24"/>
        </w:rPr>
        <w:t>,</w:t>
      </w:r>
    </w:p>
    <w:p w:rsidR="001E271A" w:rsidRDefault="00EC52B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L</w:t>
      </w:r>
      <w:r w:rsidR="001E271A">
        <w:rPr>
          <w:rFonts w:ascii="Times New Roman" w:hAnsi="Times New Roman" w:cs="Times New Roman"/>
          <w:sz w:val="24"/>
          <w:szCs w:val="24"/>
        </w:rPr>
        <w:t xml:space="preserve">a voie mitochondriale ou </w:t>
      </w:r>
      <w:r w:rsidR="001E271A">
        <w:rPr>
          <w:rFonts w:ascii="Times New Roman" w:hAnsi="Times New Roman" w:cs="Times New Roman"/>
          <w:b/>
          <w:bCs/>
          <w:sz w:val="24"/>
          <w:szCs w:val="24"/>
        </w:rPr>
        <w:t>voie intrinsèque</w:t>
      </w:r>
      <w:r w:rsidR="001E271A">
        <w:rPr>
          <w:rFonts w:ascii="Times New Roman" w:hAnsi="Times New Roman" w:cs="Times New Roman"/>
          <w:sz w:val="24"/>
          <w:szCs w:val="24"/>
        </w:rPr>
        <w:t>.</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Ces deux voies conduisent à l’activation de molécules effectrices de l’apoptose, les caspases.</w:t>
      </w:r>
    </w:p>
    <w:p w:rsidR="001E271A" w:rsidRDefault="001E271A" w:rsidP="00023F0B">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60720" cy="2777115"/>
            <wp:effectExtent l="19050" t="1905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60720" cy="2777115"/>
                    </a:xfrm>
                    <a:prstGeom prst="rect">
                      <a:avLst/>
                    </a:prstGeom>
                    <a:noFill/>
                    <a:ln w="9525">
                      <a:solidFill>
                        <a:schemeClr val="tx1"/>
                      </a:solidFill>
                      <a:miter lim="800000"/>
                      <a:headEnd/>
                      <a:tailEnd/>
                    </a:ln>
                  </pic:spPr>
                </pic:pic>
              </a:graphicData>
            </a:graphic>
          </wp:inline>
        </w:drawing>
      </w:r>
    </w:p>
    <w:p w:rsidR="001E271A" w:rsidRPr="004D1150" w:rsidRDefault="004D1150" w:rsidP="00023F0B">
      <w:pPr>
        <w:autoSpaceDE w:val="0"/>
        <w:autoSpaceDN w:val="0"/>
        <w:adjustRightInd w:val="0"/>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b/>
          <w:bCs/>
          <w:sz w:val="24"/>
          <w:szCs w:val="24"/>
        </w:rPr>
        <w:t>Fig</w:t>
      </w:r>
      <w:r w:rsidR="00A51CBE">
        <w:rPr>
          <w:rFonts w:ascii="Times New Roman" w:hAnsi="Times New Roman" w:cs="Times New Roman"/>
          <w:b/>
          <w:bCs/>
          <w:sz w:val="24"/>
          <w:szCs w:val="24"/>
        </w:rPr>
        <w:t xml:space="preserve">ure </w:t>
      </w:r>
      <w:r w:rsidR="00625D9A">
        <w:rPr>
          <w:rFonts w:ascii="Times New Roman" w:hAnsi="Times New Roman" w:cs="Times New Roman"/>
          <w:b/>
          <w:bCs/>
          <w:sz w:val="24"/>
          <w:szCs w:val="24"/>
        </w:rPr>
        <w:t>17</w:t>
      </w:r>
      <w:r w:rsidR="00A51CBE">
        <w:rPr>
          <w:rFonts w:ascii="Times New Roman" w:hAnsi="Times New Roman" w:cs="Times New Roman"/>
          <w:b/>
          <w:bCs/>
          <w:sz w:val="24"/>
          <w:szCs w:val="24"/>
        </w:rPr>
        <w:t xml:space="preserve"> : </w:t>
      </w:r>
      <w:r w:rsidR="001E271A" w:rsidRPr="004D1150">
        <w:rPr>
          <w:rFonts w:ascii="Times New Roman" w:hAnsi="Times New Roman" w:cs="Times New Roman"/>
          <w:sz w:val="24"/>
          <w:szCs w:val="24"/>
        </w:rPr>
        <w:t>Structure de récepteurs de mort, DD : Death Domain ; DED : Death Effector</w:t>
      </w:r>
    </w:p>
    <w:p w:rsidR="001E271A" w:rsidRDefault="001E271A" w:rsidP="00EC52BA">
      <w:pPr>
        <w:spacing w:before="100" w:beforeAutospacing="1" w:after="100" w:afterAutospacing="1" w:line="360" w:lineRule="auto"/>
        <w:jc w:val="center"/>
        <w:rPr>
          <w:rFonts w:ascii="Times New Roman,Bold" w:hAnsi="Times New Roman" w:cs="Times New Roman,Bold"/>
          <w:b/>
          <w:bCs/>
          <w:sz w:val="24"/>
          <w:szCs w:val="24"/>
        </w:rPr>
      </w:pPr>
      <w:r w:rsidRPr="004D1150">
        <w:rPr>
          <w:rFonts w:ascii="Times New Roman" w:hAnsi="Times New Roman" w:cs="Times New Roman"/>
          <w:sz w:val="24"/>
          <w:szCs w:val="24"/>
        </w:rPr>
        <w:t xml:space="preserve">Domain ; FADD </w:t>
      </w:r>
      <w:r w:rsidR="004D1150">
        <w:rPr>
          <w:rFonts w:ascii="Times New Roman,Bold" w:hAnsi="Times New Roman" w:cs="Times New Roman,Bold"/>
          <w:b/>
          <w:bCs/>
          <w:sz w:val="24"/>
          <w:szCs w:val="24"/>
        </w:rPr>
        <w:t>(Chatel,2014)</w:t>
      </w:r>
    </w:p>
    <w:p w:rsidR="005F77BE" w:rsidRPr="00EC52BA" w:rsidRDefault="001E271A" w:rsidP="00EC52BA">
      <w:pPr>
        <w:pStyle w:val="Paragraphedeliste"/>
        <w:numPr>
          <w:ilvl w:val="0"/>
          <w:numId w:val="2"/>
        </w:numPr>
        <w:autoSpaceDE w:val="0"/>
        <w:autoSpaceDN w:val="0"/>
        <w:adjustRightInd w:val="0"/>
        <w:spacing w:before="100" w:beforeAutospacing="1" w:after="100" w:afterAutospacing="1" w:line="360" w:lineRule="auto"/>
        <w:rPr>
          <w:rFonts w:ascii="Times New Roman" w:hAnsi="Times New Roman" w:cs="Times New Roman"/>
          <w:b/>
          <w:bCs/>
          <w:sz w:val="24"/>
          <w:szCs w:val="24"/>
        </w:rPr>
      </w:pPr>
      <w:r w:rsidRPr="00A51CBE">
        <w:rPr>
          <w:rFonts w:ascii="Times New Roman" w:hAnsi="Times New Roman" w:cs="Times New Roman"/>
          <w:b/>
          <w:bCs/>
          <w:sz w:val="24"/>
          <w:szCs w:val="24"/>
        </w:rPr>
        <w:t>Les caspases</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Les caspases, protéases à cystéine, clivent leurs substrats après un acide aspartique, d’où leurnom générique de Cysteine Aspartate Proteases (Alnemri et al., 1996). Elles ont une structuretrès conservée et sont synthétisées sous forme de zymogène ou pro-caspase. Ces pro-caspasescontiennent un pro-domaine N-terminal de taille variable et un domaine catalytique C</w:t>
      </w:r>
      <w:r w:rsidR="005F77BE">
        <w:rPr>
          <w:rFonts w:ascii="Times New Roman" w:hAnsi="Times New Roman" w:cs="Times New Roman"/>
          <w:sz w:val="24"/>
          <w:szCs w:val="24"/>
        </w:rPr>
        <w:t>-</w:t>
      </w:r>
      <w:r>
        <w:rPr>
          <w:rFonts w:ascii="Times New Roman" w:hAnsi="Times New Roman" w:cs="Times New Roman"/>
          <w:sz w:val="24"/>
          <w:szCs w:val="24"/>
        </w:rPr>
        <w:t>terminal,constitué de deux sous-unités de 20 et 10 KDa. Les caspases à pro-domaine long</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(caspase 8, 9 et 10) sont appelées caspases initiatrices ; elles clivent et activent les caspases</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effectrices. Les caspases à pro-domaine court (caspases 3, 6 et 7) clivent différents substrats</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comme PARP (PolyADP Ribose Polymerase), enzyme de réparation cellulaire, ou la lamine</w:t>
      </w:r>
    </w:p>
    <w:p w:rsidR="00A51CBE" w:rsidRDefault="001E271A" w:rsidP="00EC52BA">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w:t>
      </w:r>
    </w:p>
    <w:p w:rsidR="00AE2A34" w:rsidRDefault="00AE2A34" w:rsidP="00EC52BA">
      <w:pPr>
        <w:spacing w:before="100" w:beforeAutospacing="1" w:after="100" w:afterAutospacing="1" w:line="360" w:lineRule="auto"/>
        <w:jc w:val="both"/>
        <w:rPr>
          <w:rFonts w:ascii="Times New Roman" w:hAnsi="Times New Roman" w:cs="Times New Roman"/>
          <w:sz w:val="24"/>
          <w:szCs w:val="24"/>
        </w:rPr>
      </w:pPr>
    </w:p>
    <w:p w:rsidR="00AE2A34" w:rsidRDefault="00AE2A34" w:rsidP="00EC52BA">
      <w:pPr>
        <w:spacing w:before="100" w:beforeAutospacing="1" w:after="100" w:afterAutospacing="1" w:line="360" w:lineRule="auto"/>
        <w:jc w:val="both"/>
        <w:rPr>
          <w:rFonts w:ascii="Times New Roman" w:hAnsi="Times New Roman" w:cs="Times New Roman"/>
          <w:sz w:val="24"/>
          <w:szCs w:val="24"/>
        </w:rPr>
      </w:pPr>
    </w:p>
    <w:p w:rsidR="00AE2A34" w:rsidRDefault="00AE2A34" w:rsidP="00EC52BA">
      <w:pPr>
        <w:spacing w:before="100" w:beforeAutospacing="1" w:after="100" w:afterAutospacing="1" w:line="360" w:lineRule="auto"/>
        <w:jc w:val="both"/>
        <w:rPr>
          <w:rFonts w:ascii="Times New Roman" w:hAnsi="Times New Roman" w:cs="Times New Roman"/>
          <w:sz w:val="24"/>
          <w:szCs w:val="24"/>
        </w:rPr>
      </w:pPr>
    </w:p>
    <w:p w:rsidR="005F77BE" w:rsidRPr="00EC52BA" w:rsidRDefault="001E271A" w:rsidP="00EC52BA">
      <w:pPr>
        <w:pStyle w:val="Paragraphedeliste"/>
        <w:numPr>
          <w:ilvl w:val="0"/>
          <w:numId w:val="2"/>
        </w:numPr>
        <w:autoSpaceDE w:val="0"/>
        <w:autoSpaceDN w:val="0"/>
        <w:adjustRightInd w:val="0"/>
        <w:spacing w:before="100" w:beforeAutospacing="1" w:after="100" w:afterAutospacing="1" w:line="360" w:lineRule="auto"/>
        <w:rPr>
          <w:rFonts w:ascii="Times New Roman" w:hAnsi="Times New Roman" w:cs="Times New Roman"/>
          <w:b/>
          <w:bCs/>
          <w:sz w:val="24"/>
          <w:szCs w:val="24"/>
        </w:rPr>
      </w:pPr>
      <w:r w:rsidRPr="00A51CBE">
        <w:rPr>
          <w:rFonts w:ascii="Times New Roman" w:hAnsi="Times New Roman" w:cs="Times New Roman"/>
          <w:b/>
          <w:bCs/>
          <w:sz w:val="24"/>
          <w:szCs w:val="24"/>
        </w:rPr>
        <w:lastRenderedPageBreak/>
        <w:t>Bcl-2 et cytochrome c</w:t>
      </w:r>
    </w:p>
    <w:p w:rsidR="004D1150" w:rsidRDefault="001E271A"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famille Bcl-2 peut être divisée en deux sous familles : les protéines anti-apoptotiques (Bcl-2, Bcl-xL, Bcl-w, Mcl-1, Bcl-10) et les protéines pro-apoptotiques (Bad, Bid, Bik/Nbk, Bim,Bax, Bak, BLK, Bmf, Hrk/DP5, Bcl-xS) (Fig. 12). Tous les membres de cette famillepossèdent l’un des 4 motifs conservés au cours de l’évolution, BH1 à BH4 (Bcl2 HomologyDomain), indispensables pour les interactions protéiques. Seules les protéines anti</w:t>
      </w:r>
      <w:r w:rsidR="004D1150">
        <w:rPr>
          <w:rFonts w:ascii="Times New Roman" w:hAnsi="Times New Roman" w:cs="Times New Roman"/>
          <w:sz w:val="24"/>
          <w:szCs w:val="24"/>
        </w:rPr>
        <w:t>-</w:t>
      </w:r>
      <w:r>
        <w:rPr>
          <w:rFonts w:ascii="Times New Roman" w:hAnsi="Times New Roman" w:cs="Times New Roman"/>
          <w:sz w:val="24"/>
          <w:szCs w:val="24"/>
        </w:rPr>
        <w:t>apoptotiquespossèdent les 4 domaines BH.</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balance entre le taux des protéines pro-apoptotiques et anti-apoptotiques conditionne</w:t>
      </w:r>
    </w:p>
    <w:p w:rsidR="004D1150" w:rsidRDefault="001E271A" w:rsidP="00EC52BA">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l’entrée en apoptose d’une cellule. Bcl-2 et Bcl-xL inhibent l’apoptose en se liant auxprotéines pro-apoptotiques Bax et Bak.</w:t>
      </w:r>
    </w:p>
    <w:p w:rsidR="001E271A" w:rsidRDefault="001E271A" w:rsidP="00023F0B">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Dans des cellules saines, Bad est phosphorylé et séquestré dans le cytoplasme par uneprotéine adaptatrice, 14-3-3. Dans les cellules apoptotiques, le taux cytoplasmique de Badaugmente, favorisant la formation de complexes Bcl-2/Bad et Bcl-xL/Bad. Bax et Bak ainsilibérés, s’insèrent dans la membrane mitochondriale où ils créent des pores. Le cytochrome cpasse alors dans le cytoplasme où il forme un complexe, appelé apoptosome, constitué deApaf1 et de la pro-caspase 9, ce qui active la caspase 9.</w:t>
      </w:r>
    </w:p>
    <w:p w:rsidR="001E271A" w:rsidRPr="001E271A" w:rsidRDefault="001E271A" w:rsidP="00023F0B">
      <w:pPr>
        <w:spacing w:before="100" w:beforeAutospacing="1" w:after="100" w:afterAutospacing="1" w:line="360" w:lineRule="auto"/>
        <w:rPr>
          <w:rFonts w:ascii="Times New Roman" w:hAnsi="Times New Roman" w:cs="Times New Roman"/>
          <w:sz w:val="24"/>
          <w:szCs w:val="24"/>
        </w:rPr>
      </w:pPr>
    </w:p>
    <w:sectPr w:rsidR="001E271A" w:rsidRPr="001E271A" w:rsidSect="00023F0B">
      <w:headerReference w:type="default" r:id="rId16"/>
      <w:footerReference w:type="default" r:id="rId17"/>
      <w:pgSz w:w="11906" w:h="16838"/>
      <w:pgMar w:top="1417" w:right="1417" w:bottom="1417" w:left="1417" w:header="708" w:footer="708" w:gutter="0"/>
      <w:pgNumType w:start="2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615" w:rsidRDefault="009A6615" w:rsidP="008A6E83">
      <w:pPr>
        <w:spacing w:after="0" w:line="240" w:lineRule="auto"/>
      </w:pPr>
      <w:r>
        <w:separator/>
      </w:r>
    </w:p>
  </w:endnote>
  <w:endnote w:type="continuationSeparator" w:id="1">
    <w:p w:rsidR="009A6615" w:rsidRDefault="009A6615" w:rsidP="008A6E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Italic">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057227"/>
      <w:docPartObj>
        <w:docPartGallery w:val="Page Numbers (Bottom of Page)"/>
        <w:docPartUnique/>
      </w:docPartObj>
    </w:sdtPr>
    <w:sdtContent>
      <w:p w:rsidR="009732C4" w:rsidRPr="00233B30" w:rsidRDefault="009732C4" w:rsidP="009732C4">
        <w:pPr>
          <w:pStyle w:val="Pieddepage"/>
          <w:jc w:val="right"/>
          <w:rPr>
            <w:rFonts w:asciiTheme="majorBidi" w:hAnsiTheme="majorBidi" w:cstheme="majorBidi"/>
            <w:b/>
            <w:bCs/>
            <w:i/>
            <w:iCs/>
          </w:rPr>
        </w:pPr>
        <w:r w:rsidRPr="00233B30">
          <w:rPr>
            <w:rFonts w:asciiTheme="majorBidi" w:hAnsiTheme="majorBidi" w:cstheme="majorBidi"/>
            <w:b/>
            <w:bCs/>
            <w:i/>
            <w:iCs/>
            <w:sz w:val="20"/>
            <w:szCs w:val="20"/>
          </w:rPr>
          <w:t>Dr.GHOUT.A</w:t>
        </w:r>
      </w:p>
      <w:p w:rsidR="009732C4" w:rsidRDefault="00C04BE4">
        <w:pPr>
          <w:pStyle w:val="Pieddepage"/>
          <w:jc w:val="right"/>
        </w:pPr>
        <w:r w:rsidRPr="00EC52BA">
          <w:rPr>
            <w:i/>
            <w:iCs/>
          </w:rPr>
          <w:fldChar w:fldCharType="begin"/>
        </w:r>
        <w:r w:rsidR="009732C4" w:rsidRPr="00EC52BA">
          <w:rPr>
            <w:i/>
            <w:iCs/>
          </w:rPr>
          <w:instrText xml:space="preserve"> PAGE   \* MERGEFORMAT </w:instrText>
        </w:r>
        <w:r w:rsidRPr="00EC52BA">
          <w:rPr>
            <w:i/>
            <w:iCs/>
          </w:rPr>
          <w:fldChar w:fldCharType="separate"/>
        </w:r>
        <w:r w:rsidR="00E16FFF">
          <w:rPr>
            <w:i/>
            <w:iCs/>
            <w:noProof/>
          </w:rPr>
          <w:t>27</w:t>
        </w:r>
        <w:r w:rsidRPr="00EC52BA">
          <w:rPr>
            <w:i/>
            <w:iCs/>
          </w:rPr>
          <w:fldChar w:fldCharType="end"/>
        </w:r>
      </w:p>
    </w:sdtContent>
  </w:sdt>
  <w:p w:rsidR="001A4A5E" w:rsidRDefault="001A4A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615" w:rsidRDefault="009A6615" w:rsidP="008A6E83">
      <w:pPr>
        <w:spacing w:after="0" w:line="240" w:lineRule="auto"/>
      </w:pPr>
      <w:r>
        <w:separator/>
      </w:r>
    </w:p>
  </w:footnote>
  <w:footnote w:type="continuationSeparator" w:id="1">
    <w:p w:rsidR="009A6615" w:rsidRDefault="009A6615" w:rsidP="008A6E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A5E" w:rsidRPr="00961539" w:rsidRDefault="001A4A5E" w:rsidP="008A6E83">
    <w:pPr>
      <w:pStyle w:val="En-tte"/>
      <w:pBdr>
        <w:bottom w:val="thickThinSmallGap" w:sz="24" w:space="1" w:color="622423" w:themeColor="accent2" w:themeShade="7F"/>
      </w:pBdr>
      <w:tabs>
        <w:tab w:val="clear" w:pos="9072"/>
        <w:tab w:val="left" w:pos="6165"/>
      </w:tabs>
      <w:rPr>
        <w:rFonts w:ascii="Monotype Corsiva" w:eastAsiaTheme="majorEastAsia" w:hAnsi="Monotype Corsiva" w:cstheme="majorBidi"/>
        <w:b/>
        <w:bCs/>
        <w:sz w:val="24"/>
        <w:szCs w:val="24"/>
      </w:rPr>
    </w:pPr>
  </w:p>
  <w:p w:rsidR="00E16FFF" w:rsidRPr="00961539" w:rsidRDefault="00E16FFF" w:rsidP="00E16FFF">
    <w:pPr>
      <w:pStyle w:val="En-tte"/>
      <w:pBdr>
        <w:bottom w:val="thickThinSmallGap" w:sz="24" w:space="1" w:color="622423" w:themeColor="accent2" w:themeShade="7F"/>
      </w:pBdr>
      <w:tabs>
        <w:tab w:val="clear" w:pos="4536"/>
        <w:tab w:val="clear" w:pos="9072"/>
        <w:tab w:val="left" w:pos="3675"/>
      </w:tabs>
      <w:rPr>
        <w:rFonts w:ascii="Monotype Corsiva" w:eastAsiaTheme="majorEastAsia" w:hAnsi="Monotype Corsiva" w:cstheme="majorBidi"/>
        <w:b/>
        <w:bCs/>
        <w:sz w:val="24"/>
        <w:szCs w:val="24"/>
      </w:rPr>
    </w:pPr>
    <w:r>
      <w:rPr>
        <w:rFonts w:ascii="Monotype Corsiva" w:eastAsiaTheme="majorEastAsia" w:hAnsi="Monotype Corsiva" w:cstheme="majorBidi"/>
        <w:b/>
        <w:bCs/>
        <w:sz w:val="24"/>
        <w:szCs w:val="24"/>
      </w:rPr>
      <w:t xml:space="preserve">                                                 Chapitre 2 : Les </w:t>
    </w:r>
    <w:r w:rsidR="001A4A5E" w:rsidRPr="00961539">
      <w:rPr>
        <w:rFonts w:ascii="Monotype Corsiva" w:eastAsiaTheme="majorEastAsia" w:hAnsi="Monotype Corsiva" w:cstheme="majorBidi"/>
        <w:b/>
        <w:bCs/>
        <w:sz w:val="24"/>
        <w:szCs w:val="24"/>
      </w:rPr>
      <w:t xml:space="preserve"> récepteurs membranaire</w:t>
    </w:r>
    <w:r w:rsidR="008000DF">
      <w:rPr>
        <w:rFonts w:ascii="Monotype Corsiva" w:eastAsiaTheme="majorEastAsia" w:hAnsi="Monotype Corsiva" w:cstheme="majorBidi"/>
        <w:b/>
        <w:bCs/>
        <w:sz w:val="24"/>
        <w:szCs w:val="24"/>
      </w:rPr>
      <w:t>s</w:t>
    </w:r>
    <w:r>
      <w:rPr>
        <w:rFonts w:ascii="Monotype Corsiva" w:eastAsiaTheme="majorEastAsia" w:hAnsi="Monotype Corsiva" w:cstheme="majorBidi"/>
        <w:b/>
        <w:bCs/>
        <w:sz w:val="24"/>
        <w:szCs w:val="24"/>
      </w:rPr>
      <w:t xml:space="preserve"> et les effecteurs de la transduction</w:t>
    </w:r>
  </w:p>
  <w:p w:rsidR="001A4A5E" w:rsidRPr="00961539" w:rsidRDefault="001A4A5E">
    <w:pPr>
      <w:pStyle w:val="En-tte"/>
      <w:rPr>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6A7A"/>
    <w:multiLevelType w:val="hybridMultilevel"/>
    <w:tmpl w:val="39C6C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6247C68"/>
    <w:multiLevelType w:val="hybridMultilevel"/>
    <w:tmpl w:val="B9D0D73C"/>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
    <w:nsid w:val="382C230D"/>
    <w:multiLevelType w:val="hybridMultilevel"/>
    <w:tmpl w:val="33628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4C41F0"/>
    <w:multiLevelType w:val="hybridMultilevel"/>
    <w:tmpl w:val="6C684F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0788F"/>
    <w:rsid w:val="000005C9"/>
    <w:rsid w:val="00000B88"/>
    <w:rsid w:val="00001284"/>
    <w:rsid w:val="00001436"/>
    <w:rsid w:val="00001486"/>
    <w:rsid w:val="000017BC"/>
    <w:rsid w:val="00002478"/>
    <w:rsid w:val="000029ED"/>
    <w:rsid w:val="000040F8"/>
    <w:rsid w:val="000045A8"/>
    <w:rsid w:val="000048CF"/>
    <w:rsid w:val="0000659F"/>
    <w:rsid w:val="000103FA"/>
    <w:rsid w:val="00010776"/>
    <w:rsid w:val="000113DA"/>
    <w:rsid w:val="000118BD"/>
    <w:rsid w:val="000120C4"/>
    <w:rsid w:val="00012F3C"/>
    <w:rsid w:val="00014F0E"/>
    <w:rsid w:val="00015560"/>
    <w:rsid w:val="00017CAC"/>
    <w:rsid w:val="00020655"/>
    <w:rsid w:val="000212E9"/>
    <w:rsid w:val="000219A6"/>
    <w:rsid w:val="00021C0D"/>
    <w:rsid w:val="000222D2"/>
    <w:rsid w:val="000222E8"/>
    <w:rsid w:val="00022A11"/>
    <w:rsid w:val="0002306F"/>
    <w:rsid w:val="00023533"/>
    <w:rsid w:val="00023F0B"/>
    <w:rsid w:val="000242D2"/>
    <w:rsid w:val="0002508A"/>
    <w:rsid w:val="000251AF"/>
    <w:rsid w:val="000258C8"/>
    <w:rsid w:val="00025E54"/>
    <w:rsid w:val="0002673A"/>
    <w:rsid w:val="000274AF"/>
    <w:rsid w:val="00030655"/>
    <w:rsid w:val="00031F69"/>
    <w:rsid w:val="00034059"/>
    <w:rsid w:val="0003411F"/>
    <w:rsid w:val="000344E4"/>
    <w:rsid w:val="00034D8E"/>
    <w:rsid w:val="0003520B"/>
    <w:rsid w:val="00035249"/>
    <w:rsid w:val="00035EBA"/>
    <w:rsid w:val="00035F91"/>
    <w:rsid w:val="000366A4"/>
    <w:rsid w:val="0003681B"/>
    <w:rsid w:val="00036A46"/>
    <w:rsid w:val="00036C49"/>
    <w:rsid w:val="00036DDB"/>
    <w:rsid w:val="00037290"/>
    <w:rsid w:val="000374D0"/>
    <w:rsid w:val="00037987"/>
    <w:rsid w:val="0004009D"/>
    <w:rsid w:val="000424EC"/>
    <w:rsid w:val="000435D5"/>
    <w:rsid w:val="00043A84"/>
    <w:rsid w:val="00043C16"/>
    <w:rsid w:val="00043E6A"/>
    <w:rsid w:val="00044776"/>
    <w:rsid w:val="00044ED7"/>
    <w:rsid w:val="00045A90"/>
    <w:rsid w:val="00045EBC"/>
    <w:rsid w:val="0004612B"/>
    <w:rsid w:val="0004640B"/>
    <w:rsid w:val="00047168"/>
    <w:rsid w:val="0005042E"/>
    <w:rsid w:val="00050EF6"/>
    <w:rsid w:val="00051DF1"/>
    <w:rsid w:val="00051F5C"/>
    <w:rsid w:val="00052A52"/>
    <w:rsid w:val="000532FB"/>
    <w:rsid w:val="000542A6"/>
    <w:rsid w:val="00054450"/>
    <w:rsid w:val="000547F0"/>
    <w:rsid w:val="00054865"/>
    <w:rsid w:val="0005509B"/>
    <w:rsid w:val="00055140"/>
    <w:rsid w:val="00055F3D"/>
    <w:rsid w:val="000571B0"/>
    <w:rsid w:val="00057AA4"/>
    <w:rsid w:val="000610BA"/>
    <w:rsid w:val="000612A5"/>
    <w:rsid w:val="000612A9"/>
    <w:rsid w:val="00062E2E"/>
    <w:rsid w:val="000634E7"/>
    <w:rsid w:val="000645DB"/>
    <w:rsid w:val="00064C1B"/>
    <w:rsid w:val="000652A8"/>
    <w:rsid w:val="00065FF0"/>
    <w:rsid w:val="000660D1"/>
    <w:rsid w:val="00066308"/>
    <w:rsid w:val="00066E32"/>
    <w:rsid w:val="00066E7C"/>
    <w:rsid w:val="000672FB"/>
    <w:rsid w:val="00070040"/>
    <w:rsid w:val="0007074F"/>
    <w:rsid w:val="000713CC"/>
    <w:rsid w:val="00071570"/>
    <w:rsid w:val="00071C05"/>
    <w:rsid w:val="00073C9E"/>
    <w:rsid w:val="000744DA"/>
    <w:rsid w:val="00075224"/>
    <w:rsid w:val="00075871"/>
    <w:rsid w:val="000759FB"/>
    <w:rsid w:val="000768F3"/>
    <w:rsid w:val="00076902"/>
    <w:rsid w:val="000772BF"/>
    <w:rsid w:val="00077710"/>
    <w:rsid w:val="00080045"/>
    <w:rsid w:val="00082145"/>
    <w:rsid w:val="000839DB"/>
    <w:rsid w:val="00083E40"/>
    <w:rsid w:val="0008433F"/>
    <w:rsid w:val="00084C39"/>
    <w:rsid w:val="00084F05"/>
    <w:rsid w:val="00084F8C"/>
    <w:rsid w:val="00084FF5"/>
    <w:rsid w:val="0008563C"/>
    <w:rsid w:val="00085EF8"/>
    <w:rsid w:val="000867D4"/>
    <w:rsid w:val="00086A57"/>
    <w:rsid w:val="00086E4F"/>
    <w:rsid w:val="00087204"/>
    <w:rsid w:val="00087635"/>
    <w:rsid w:val="00087D9A"/>
    <w:rsid w:val="0009161E"/>
    <w:rsid w:val="0009242D"/>
    <w:rsid w:val="000926A8"/>
    <w:rsid w:val="00092BE2"/>
    <w:rsid w:val="00092DB4"/>
    <w:rsid w:val="00094F65"/>
    <w:rsid w:val="00095347"/>
    <w:rsid w:val="00095A2A"/>
    <w:rsid w:val="00095CEC"/>
    <w:rsid w:val="00095E1A"/>
    <w:rsid w:val="0009682E"/>
    <w:rsid w:val="0009785D"/>
    <w:rsid w:val="00097B70"/>
    <w:rsid w:val="00097EDF"/>
    <w:rsid w:val="000A0A7E"/>
    <w:rsid w:val="000A0D98"/>
    <w:rsid w:val="000A1877"/>
    <w:rsid w:val="000A1C49"/>
    <w:rsid w:val="000A226C"/>
    <w:rsid w:val="000A2378"/>
    <w:rsid w:val="000A2822"/>
    <w:rsid w:val="000A2FF8"/>
    <w:rsid w:val="000A35DE"/>
    <w:rsid w:val="000A3851"/>
    <w:rsid w:val="000A411F"/>
    <w:rsid w:val="000A433E"/>
    <w:rsid w:val="000A48F6"/>
    <w:rsid w:val="000A4B3F"/>
    <w:rsid w:val="000A581F"/>
    <w:rsid w:val="000A5F5D"/>
    <w:rsid w:val="000A6E77"/>
    <w:rsid w:val="000A6E7A"/>
    <w:rsid w:val="000A70AC"/>
    <w:rsid w:val="000A74D8"/>
    <w:rsid w:val="000A7BAC"/>
    <w:rsid w:val="000B03A4"/>
    <w:rsid w:val="000B05C8"/>
    <w:rsid w:val="000B147C"/>
    <w:rsid w:val="000B1F5B"/>
    <w:rsid w:val="000B20E5"/>
    <w:rsid w:val="000B4D50"/>
    <w:rsid w:val="000B4E0D"/>
    <w:rsid w:val="000B5AAD"/>
    <w:rsid w:val="000B6552"/>
    <w:rsid w:val="000B6834"/>
    <w:rsid w:val="000B7D74"/>
    <w:rsid w:val="000C1407"/>
    <w:rsid w:val="000C16A9"/>
    <w:rsid w:val="000C1C52"/>
    <w:rsid w:val="000C1D3E"/>
    <w:rsid w:val="000C24B7"/>
    <w:rsid w:val="000C27D1"/>
    <w:rsid w:val="000C2D06"/>
    <w:rsid w:val="000C3F6B"/>
    <w:rsid w:val="000C41B9"/>
    <w:rsid w:val="000C4FF2"/>
    <w:rsid w:val="000C58AF"/>
    <w:rsid w:val="000C70BF"/>
    <w:rsid w:val="000D0823"/>
    <w:rsid w:val="000D09B2"/>
    <w:rsid w:val="000D14C8"/>
    <w:rsid w:val="000D1EEF"/>
    <w:rsid w:val="000D2B3E"/>
    <w:rsid w:val="000D2D36"/>
    <w:rsid w:val="000D4040"/>
    <w:rsid w:val="000D4EED"/>
    <w:rsid w:val="000D4F26"/>
    <w:rsid w:val="000D5073"/>
    <w:rsid w:val="000D5447"/>
    <w:rsid w:val="000D55B9"/>
    <w:rsid w:val="000D63DE"/>
    <w:rsid w:val="000D6CBD"/>
    <w:rsid w:val="000D6CC2"/>
    <w:rsid w:val="000D72ED"/>
    <w:rsid w:val="000D75BD"/>
    <w:rsid w:val="000D7B83"/>
    <w:rsid w:val="000E01C5"/>
    <w:rsid w:val="000E03FC"/>
    <w:rsid w:val="000E040D"/>
    <w:rsid w:val="000E1728"/>
    <w:rsid w:val="000E2630"/>
    <w:rsid w:val="000E2F8F"/>
    <w:rsid w:val="000E435E"/>
    <w:rsid w:val="000E4525"/>
    <w:rsid w:val="000E4FEA"/>
    <w:rsid w:val="000E54A6"/>
    <w:rsid w:val="000E5646"/>
    <w:rsid w:val="000E569F"/>
    <w:rsid w:val="000E5985"/>
    <w:rsid w:val="000E5BE6"/>
    <w:rsid w:val="000E7A66"/>
    <w:rsid w:val="000E7D29"/>
    <w:rsid w:val="000F02A4"/>
    <w:rsid w:val="000F03DC"/>
    <w:rsid w:val="000F09C0"/>
    <w:rsid w:val="000F2247"/>
    <w:rsid w:val="000F2BAA"/>
    <w:rsid w:val="000F2ED4"/>
    <w:rsid w:val="000F36CC"/>
    <w:rsid w:val="000F424D"/>
    <w:rsid w:val="000F5DF6"/>
    <w:rsid w:val="000F6C1F"/>
    <w:rsid w:val="000F7148"/>
    <w:rsid w:val="00100A65"/>
    <w:rsid w:val="00100C83"/>
    <w:rsid w:val="00100E29"/>
    <w:rsid w:val="001015F9"/>
    <w:rsid w:val="00102BC7"/>
    <w:rsid w:val="00102EE3"/>
    <w:rsid w:val="001033C9"/>
    <w:rsid w:val="00103A7B"/>
    <w:rsid w:val="001041B8"/>
    <w:rsid w:val="001044FC"/>
    <w:rsid w:val="001045D4"/>
    <w:rsid w:val="00104683"/>
    <w:rsid w:val="00105084"/>
    <w:rsid w:val="001050C6"/>
    <w:rsid w:val="001055FF"/>
    <w:rsid w:val="00105D77"/>
    <w:rsid w:val="0010788F"/>
    <w:rsid w:val="00107CA9"/>
    <w:rsid w:val="001108BB"/>
    <w:rsid w:val="0011178E"/>
    <w:rsid w:val="00111FDC"/>
    <w:rsid w:val="00112157"/>
    <w:rsid w:val="00112382"/>
    <w:rsid w:val="00112B8E"/>
    <w:rsid w:val="00112D50"/>
    <w:rsid w:val="00112D6E"/>
    <w:rsid w:val="00113040"/>
    <w:rsid w:val="00113F9C"/>
    <w:rsid w:val="00114ACD"/>
    <w:rsid w:val="00114E99"/>
    <w:rsid w:val="001151DA"/>
    <w:rsid w:val="0011527F"/>
    <w:rsid w:val="00115477"/>
    <w:rsid w:val="00115CBC"/>
    <w:rsid w:val="00115CFC"/>
    <w:rsid w:val="00116413"/>
    <w:rsid w:val="001168C8"/>
    <w:rsid w:val="00116D55"/>
    <w:rsid w:val="00116F3B"/>
    <w:rsid w:val="00117599"/>
    <w:rsid w:val="001175E7"/>
    <w:rsid w:val="00117732"/>
    <w:rsid w:val="001178DD"/>
    <w:rsid w:val="00117DC0"/>
    <w:rsid w:val="001200B1"/>
    <w:rsid w:val="001201FA"/>
    <w:rsid w:val="00120B87"/>
    <w:rsid w:val="00121BAD"/>
    <w:rsid w:val="00122D76"/>
    <w:rsid w:val="00122E1C"/>
    <w:rsid w:val="00123648"/>
    <w:rsid w:val="00124226"/>
    <w:rsid w:val="00124C18"/>
    <w:rsid w:val="00124FE8"/>
    <w:rsid w:val="00125512"/>
    <w:rsid w:val="00125643"/>
    <w:rsid w:val="00125EFD"/>
    <w:rsid w:val="0012673A"/>
    <w:rsid w:val="00126E10"/>
    <w:rsid w:val="00127004"/>
    <w:rsid w:val="00127018"/>
    <w:rsid w:val="001270A7"/>
    <w:rsid w:val="0012748C"/>
    <w:rsid w:val="00127E09"/>
    <w:rsid w:val="00130FBC"/>
    <w:rsid w:val="00131439"/>
    <w:rsid w:val="0013164D"/>
    <w:rsid w:val="00131774"/>
    <w:rsid w:val="00131D24"/>
    <w:rsid w:val="001329F7"/>
    <w:rsid w:val="001334D0"/>
    <w:rsid w:val="001338BB"/>
    <w:rsid w:val="001355AD"/>
    <w:rsid w:val="001361DA"/>
    <w:rsid w:val="0013672C"/>
    <w:rsid w:val="00136D78"/>
    <w:rsid w:val="00136F3F"/>
    <w:rsid w:val="001376E3"/>
    <w:rsid w:val="00140282"/>
    <w:rsid w:val="001413E4"/>
    <w:rsid w:val="001414A1"/>
    <w:rsid w:val="00142E99"/>
    <w:rsid w:val="00143337"/>
    <w:rsid w:val="00143D0F"/>
    <w:rsid w:val="001448A5"/>
    <w:rsid w:val="00144D0E"/>
    <w:rsid w:val="00145317"/>
    <w:rsid w:val="00146AB5"/>
    <w:rsid w:val="00150325"/>
    <w:rsid w:val="0015066A"/>
    <w:rsid w:val="001509CA"/>
    <w:rsid w:val="00150EFE"/>
    <w:rsid w:val="001512A1"/>
    <w:rsid w:val="00151EAF"/>
    <w:rsid w:val="00154BDF"/>
    <w:rsid w:val="00154BF4"/>
    <w:rsid w:val="001554A6"/>
    <w:rsid w:val="00155823"/>
    <w:rsid w:val="001559D5"/>
    <w:rsid w:val="001566D4"/>
    <w:rsid w:val="00156A13"/>
    <w:rsid w:val="00156D91"/>
    <w:rsid w:val="001572C5"/>
    <w:rsid w:val="001574CB"/>
    <w:rsid w:val="00157B39"/>
    <w:rsid w:val="00157E5E"/>
    <w:rsid w:val="001609A0"/>
    <w:rsid w:val="00160D22"/>
    <w:rsid w:val="00162D06"/>
    <w:rsid w:val="001639BA"/>
    <w:rsid w:val="001643FF"/>
    <w:rsid w:val="00164785"/>
    <w:rsid w:val="00164E77"/>
    <w:rsid w:val="0016542E"/>
    <w:rsid w:val="001666F2"/>
    <w:rsid w:val="00166875"/>
    <w:rsid w:val="00166D8E"/>
    <w:rsid w:val="00166E4C"/>
    <w:rsid w:val="001670ED"/>
    <w:rsid w:val="001671CB"/>
    <w:rsid w:val="001676B4"/>
    <w:rsid w:val="00167A33"/>
    <w:rsid w:val="00170D98"/>
    <w:rsid w:val="001712F1"/>
    <w:rsid w:val="00171910"/>
    <w:rsid w:val="00171FEF"/>
    <w:rsid w:val="00172F3E"/>
    <w:rsid w:val="001731AD"/>
    <w:rsid w:val="001734FF"/>
    <w:rsid w:val="00173FBA"/>
    <w:rsid w:val="00175DA4"/>
    <w:rsid w:val="00176BD2"/>
    <w:rsid w:val="001776CF"/>
    <w:rsid w:val="00177753"/>
    <w:rsid w:val="00177CD4"/>
    <w:rsid w:val="00177DAD"/>
    <w:rsid w:val="00181D28"/>
    <w:rsid w:val="00182284"/>
    <w:rsid w:val="00182325"/>
    <w:rsid w:val="00182352"/>
    <w:rsid w:val="001827FC"/>
    <w:rsid w:val="00182CB9"/>
    <w:rsid w:val="0018309D"/>
    <w:rsid w:val="00184738"/>
    <w:rsid w:val="001858D0"/>
    <w:rsid w:val="001860A3"/>
    <w:rsid w:val="001861B5"/>
    <w:rsid w:val="00186F63"/>
    <w:rsid w:val="0018750C"/>
    <w:rsid w:val="00187524"/>
    <w:rsid w:val="001875CF"/>
    <w:rsid w:val="00187A8C"/>
    <w:rsid w:val="00190650"/>
    <w:rsid w:val="00190AD0"/>
    <w:rsid w:val="00190BF0"/>
    <w:rsid w:val="001915D8"/>
    <w:rsid w:val="0019184A"/>
    <w:rsid w:val="001924D6"/>
    <w:rsid w:val="0019293A"/>
    <w:rsid w:val="00193F04"/>
    <w:rsid w:val="0019406F"/>
    <w:rsid w:val="001951EF"/>
    <w:rsid w:val="0019523C"/>
    <w:rsid w:val="0019627F"/>
    <w:rsid w:val="001963B2"/>
    <w:rsid w:val="00197082"/>
    <w:rsid w:val="001973C8"/>
    <w:rsid w:val="00197ED8"/>
    <w:rsid w:val="001A0841"/>
    <w:rsid w:val="001A08E7"/>
    <w:rsid w:val="001A0D5D"/>
    <w:rsid w:val="001A1D86"/>
    <w:rsid w:val="001A1FBB"/>
    <w:rsid w:val="001A20C7"/>
    <w:rsid w:val="001A2EC3"/>
    <w:rsid w:val="001A35C1"/>
    <w:rsid w:val="001A3CB5"/>
    <w:rsid w:val="001A3DDE"/>
    <w:rsid w:val="001A40A1"/>
    <w:rsid w:val="001A4399"/>
    <w:rsid w:val="001A4A5E"/>
    <w:rsid w:val="001A4E00"/>
    <w:rsid w:val="001A55C8"/>
    <w:rsid w:val="001A641B"/>
    <w:rsid w:val="001A6B12"/>
    <w:rsid w:val="001A6CE7"/>
    <w:rsid w:val="001A7759"/>
    <w:rsid w:val="001A79E0"/>
    <w:rsid w:val="001B028B"/>
    <w:rsid w:val="001B1343"/>
    <w:rsid w:val="001B1C7D"/>
    <w:rsid w:val="001B22F9"/>
    <w:rsid w:val="001B2C07"/>
    <w:rsid w:val="001B35CC"/>
    <w:rsid w:val="001B3728"/>
    <w:rsid w:val="001B3836"/>
    <w:rsid w:val="001B3A3C"/>
    <w:rsid w:val="001B3C95"/>
    <w:rsid w:val="001B4D0C"/>
    <w:rsid w:val="001B4DBD"/>
    <w:rsid w:val="001B4E63"/>
    <w:rsid w:val="001B5225"/>
    <w:rsid w:val="001B53D4"/>
    <w:rsid w:val="001B6137"/>
    <w:rsid w:val="001B6CD8"/>
    <w:rsid w:val="001B7F1C"/>
    <w:rsid w:val="001C0543"/>
    <w:rsid w:val="001C07EA"/>
    <w:rsid w:val="001C1401"/>
    <w:rsid w:val="001C15C3"/>
    <w:rsid w:val="001C1E92"/>
    <w:rsid w:val="001C3FE5"/>
    <w:rsid w:val="001C4FEC"/>
    <w:rsid w:val="001C5F13"/>
    <w:rsid w:val="001C637E"/>
    <w:rsid w:val="001C68DE"/>
    <w:rsid w:val="001C69C9"/>
    <w:rsid w:val="001C7705"/>
    <w:rsid w:val="001D09B3"/>
    <w:rsid w:val="001D0AE7"/>
    <w:rsid w:val="001D0C8D"/>
    <w:rsid w:val="001D0D60"/>
    <w:rsid w:val="001D126F"/>
    <w:rsid w:val="001D193B"/>
    <w:rsid w:val="001D1BFB"/>
    <w:rsid w:val="001D1D61"/>
    <w:rsid w:val="001D24E9"/>
    <w:rsid w:val="001D2B7C"/>
    <w:rsid w:val="001D3095"/>
    <w:rsid w:val="001D3FFC"/>
    <w:rsid w:val="001D41D0"/>
    <w:rsid w:val="001D48AB"/>
    <w:rsid w:val="001D4B85"/>
    <w:rsid w:val="001D4BB7"/>
    <w:rsid w:val="001D4BF7"/>
    <w:rsid w:val="001D5FC9"/>
    <w:rsid w:val="001D6721"/>
    <w:rsid w:val="001D6881"/>
    <w:rsid w:val="001D73C1"/>
    <w:rsid w:val="001D7ABE"/>
    <w:rsid w:val="001D7BEB"/>
    <w:rsid w:val="001D7DF1"/>
    <w:rsid w:val="001E109C"/>
    <w:rsid w:val="001E1AB1"/>
    <w:rsid w:val="001E1ABE"/>
    <w:rsid w:val="001E20E3"/>
    <w:rsid w:val="001E271A"/>
    <w:rsid w:val="001E302F"/>
    <w:rsid w:val="001E31AE"/>
    <w:rsid w:val="001E36AC"/>
    <w:rsid w:val="001E4035"/>
    <w:rsid w:val="001E443E"/>
    <w:rsid w:val="001E5096"/>
    <w:rsid w:val="001E5433"/>
    <w:rsid w:val="001E5B39"/>
    <w:rsid w:val="001E5B85"/>
    <w:rsid w:val="001E6031"/>
    <w:rsid w:val="001E63B3"/>
    <w:rsid w:val="001E6502"/>
    <w:rsid w:val="001E6D3F"/>
    <w:rsid w:val="001E6D87"/>
    <w:rsid w:val="001E6EF6"/>
    <w:rsid w:val="001E7832"/>
    <w:rsid w:val="001E7D21"/>
    <w:rsid w:val="001E7F10"/>
    <w:rsid w:val="001F19D6"/>
    <w:rsid w:val="001F20C2"/>
    <w:rsid w:val="001F235F"/>
    <w:rsid w:val="001F2AC1"/>
    <w:rsid w:val="001F36C9"/>
    <w:rsid w:val="001F42D0"/>
    <w:rsid w:val="001F4CCA"/>
    <w:rsid w:val="001F4D86"/>
    <w:rsid w:val="001F5524"/>
    <w:rsid w:val="001F5851"/>
    <w:rsid w:val="001F5AFF"/>
    <w:rsid w:val="001F656E"/>
    <w:rsid w:val="001F6A2D"/>
    <w:rsid w:val="001F7A9D"/>
    <w:rsid w:val="00202124"/>
    <w:rsid w:val="00204984"/>
    <w:rsid w:val="00205436"/>
    <w:rsid w:val="002062C7"/>
    <w:rsid w:val="002068FC"/>
    <w:rsid w:val="00206AA3"/>
    <w:rsid w:val="00206E77"/>
    <w:rsid w:val="002076A6"/>
    <w:rsid w:val="00210A0C"/>
    <w:rsid w:val="00211DAB"/>
    <w:rsid w:val="00212052"/>
    <w:rsid w:val="00212B91"/>
    <w:rsid w:val="00212E2D"/>
    <w:rsid w:val="00214323"/>
    <w:rsid w:val="00214D91"/>
    <w:rsid w:val="00215D53"/>
    <w:rsid w:val="0021656C"/>
    <w:rsid w:val="00216627"/>
    <w:rsid w:val="002173F7"/>
    <w:rsid w:val="00217EF3"/>
    <w:rsid w:val="0022018B"/>
    <w:rsid w:val="00220482"/>
    <w:rsid w:val="00220649"/>
    <w:rsid w:val="00220DB4"/>
    <w:rsid w:val="00221041"/>
    <w:rsid w:val="00221336"/>
    <w:rsid w:val="00221D9F"/>
    <w:rsid w:val="0022249A"/>
    <w:rsid w:val="00222BAB"/>
    <w:rsid w:val="00222D60"/>
    <w:rsid w:val="00224490"/>
    <w:rsid w:val="0022454C"/>
    <w:rsid w:val="00225455"/>
    <w:rsid w:val="00225597"/>
    <w:rsid w:val="002260D7"/>
    <w:rsid w:val="00226455"/>
    <w:rsid w:val="0022656E"/>
    <w:rsid w:val="002268DE"/>
    <w:rsid w:val="00226B50"/>
    <w:rsid w:val="002278A6"/>
    <w:rsid w:val="00227F62"/>
    <w:rsid w:val="00227FA8"/>
    <w:rsid w:val="00230542"/>
    <w:rsid w:val="00230872"/>
    <w:rsid w:val="00230DB3"/>
    <w:rsid w:val="00232942"/>
    <w:rsid w:val="00232B73"/>
    <w:rsid w:val="002331C4"/>
    <w:rsid w:val="002331F5"/>
    <w:rsid w:val="00233B30"/>
    <w:rsid w:val="00233C81"/>
    <w:rsid w:val="0023412A"/>
    <w:rsid w:val="00234478"/>
    <w:rsid w:val="002344FE"/>
    <w:rsid w:val="0023479E"/>
    <w:rsid w:val="00234950"/>
    <w:rsid w:val="0023546C"/>
    <w:rsid w:val="00235DA0"/>
    <w:rsid w:val="00236B8C"/>
    <w:rsid w:val="00236DBB"/>
    <w:rsid w:val="00237080"/>
    <w:rsid w:val="002370E6"/>
    <w:rsid w:val="00237CB0"/>
    <w:rsid w:val="002404E7"/>
    <w:rsid w:val="00240525"/>
    <w:rsid w:val="002428A1"/>
    <w:rsid w:val="00243B2F"/>
    <w:rsid w:val="00243E31"/>
    <w:rsid w:val="002443C7"/>
    <w:rsid w:val="00244D15"/>
    <w:rsid w:val="00245348"/>
    <w:rsid w:val="0024565F"/>
    <w:rsid w:val="00245EF8"/>
    <w:rsid w:val="0024653D"/>
    <w:rsid w:val="00247ACE"/>
    <w:rsid w:val="00250065"/>
    <w:rsid w:val="002502E6"/>
    <w:rsid w:val="00251AF8"/>
    <w:rsid w:val="00251EA6"/>
    <w:rsid w:val="00253734"/>
    <w:rsid w:val="00254BC3"/>
    <w:rsid w:val="00254E3A"/>
    <w:rsid w:val="00255909"/>
    <w:rsid w:val="0025600B"/>
    <w:rsid w:val="00256A90"/>
    <w:rsid w:val="00256DC1"/>
    <w:rsid w:val="00256DD9"/>
    <w:rsid w:val="002572F0"/>
    <w:rsid w:val="002573C0"/>
    <w:rsid w:val="002575A5"/>
    <w:rsid w:val="00257BD9"/>
    <w:rsid w:val="00260262"/>
    <w:rsid w:val="002606CB"/>
    <w:rsid w:val="0026213C"/>
    <w:rsid w:val="00262D43"/>
    <w:rsid w:val="00262F44"/>
    <w:rsid w:val="00263353"/>
    <w:rsid w:val="002637FD"/>
    <w:rsid w:val="00263A24"/>
    <w:rsid w:val="00263D85"/>
    <w:rsid w:val="002641A0"/>
    <w:rsid w:val="002642D4"/>
    <w:rsid w:val="002644EB"/>
    <w:rsid w:val="002648D0"/>
    <w:rsid w:val="00264AD5"/>
    <w:rsid w:val="00264E81"/>
    <w:rsid w:val="00265321"/>
    <w:rsid w:val="0026534D"/>
    <w:rsid w:val="00265E57"/>
    <w:rsid w:val="00265EE3"/>
    <w:rsid w:val="00265F9D"/>
    <w:rsid w:val="00266F5A"/>
    <w:rsid w:val="00267A24"/>
    <w:rsid w:val="0027074A"/>
    <w:rsid w:val="00270B81"/>
    <w:rsid w:val="00270BB3"/>
    <w:rsid w:val="00270BC2"/>
    <w:rsid w:val="00270BE7"/>
    <w:rsid w:val="00270D3F"/>
    <w:rsid w:val="002715C3"/>
    <w:rsid w:val="00271816"/>
    <w:rsid w:val="00271EA5"/>
    <w:rsid w:val="0027234B"/>
    <w:rsid w:val="00272D00"/>
    <w:rsid w:val="00272D8B"/>
    <w:rsid w:val="0027317A"/>
    <w:rsid w:val="00273B0A"/>
    <w:rsid w:val="00273F94"/>
    <w:rsid w:val="0027547D"/>
    <w:rsid w:val="002758F0"/>
    <w:rsid w:val="00276581"/>
    <w:rsid w:val="00276BFC"/>
    <w:rsid w:val="00276DA3"/>
    <w:rsid w:val="002772D5"/>
    <w:rsid w:val="002773F3"/>
    <w:rsid w:val="00277FBD"/>
    <w:rsid w:val="002803F1"/>
    <w:rsid w:val="0028103A"/>
    <w:rsid w:val="00282BF3"/>
    <w:rsid w:val="00283128"/>
    <w:rsid w:val="0028351C"/>
    <w:rsid w:val="002845AA"/>
    <w:rsid w:val="00284800"/>
    <w:rsid w:val="00285F26"/>
    <w:rsid w:val="00286F2B"/>
    <w:rsid w:val="0028738A"/>
    <w:rsid w:val="00287DA6"/>
    <w:rsid w:val="00290EDE"/>
    <w:rsid w:val="00291912"/>
    <w:rsid w:val="00291993"/>
    <w:rsid w:val="00291A03"/>
    <w:rsid w:val="00291E64"/>
    <w:rsid w:val="0029279E"/>
    <w:rsid w:val="00292E90"/>
    <w:rsid w:val="00292EF6"/>
    <w:rsid w:val="00293A1A"/>
    <w:rsid w:val="00294C3F"/>
    <w:rsid w:val="00295398"/>
    <w:rsid w:val="00295B0B"/>
    <w:rsid w:val="00295E8D"/>
    <w:rsid w:val="00296331"/>
    <w:rsid w:val="00296436"/>
    <w:rsid w:val="00296445"/>
    <w:rsid w:val="00296D2F"/>
    <w:rsid w:val="00297147"/>
    <w:rsid w:val="002A09E2"/>
    <w:rsid w:val="002A0ADC"/>
    <w:rsid w:val="002A0B28"/>
    <w:rsid w:val="002A216F"/>
    <w:rsid w:val="002A2423"/>
    <w:rsid w:val="002A24C1"/>
    <w:rsid w:val="002A2A5F"/>
    <w:rsid w:val="002A43A8"/>
    <w:rsid w:val="002A5815"/>
    <w:rsid w:val="002A5A70"/>
    <w:rsid w:val="002A5B76"/>
    <w:rsid w:val="002A5FB4"/>
    <w:rsid w:val="002A75A0"/>
    <w:rsid w:val="002A7CBE"/>
    <w:rsid w:val="002B0DCC"/>
    <w:rsid w:val="002B2660"/>
    <w:rsid w:val="002B27C9"/>
    <w:rsid w:val="002B2A76"/>
    <w:rsid w:val="002B3663"/>
    <w:rsid w:val="002B4209"/>
    <w:rsid w:val="002B464E"/>
    <w:rsid w:val="002B4D6F"/>
    <w:rsid w:val="002B500F"/>
    <w:rsid w:val="002B55C4"/>
    <w:rsid w:val="002B5FF7"/>
    <w:rsid w:val="002B71DB"/>
    <w:rsid w:val="002B725A"/>
    <w:rsid w:val="002B7659"/>
    <w:rsid w:val="002C01D5"/>
    <w:rsid w:val="002C0413"/>
    <w:rsid w:val="002C0656"/>
    <w:rsid w:val="002C0E17"/>
    <w:rsid w:val="002C14EC"/>
    <w:rsid w:val="002C1F33"/>
    <w:rsid w:val="002C22B2"/>
    <w:rsid w:val="002C2803"/>
    <w:rsid w:val="002C2933"/>
    <w:rsid w:val="002C3B3A"/>
    <w:rsid w:val="002C3D4E"/>
    <w:rsid w:val="002C44AE"/>
    <w:rsid w:val="002C47DE"/>
    <w:rsid w:val="002C57A7"/>
    <w:rsid w:val="002C591D"/>
    <w:rsid w:val="002C60E5"/>
    <w:rsid w:val="002C644E"/>
    <w:rsid w:val="002C66B3"/>
    <w:rsid w:val="002C6BA9"/>
    <w:rsid w:val="002C731C"/>
    <w:rsid w:val="002C77CB"/>
    <w:rsid w:val="002C78D7"/>
    <w:rsid w:val="002D0572"/>
    <w:rsid w:val="002D059F"/>
    <w:rsid w:val="002D13D7"/>
    <w:rsid w:val="002D1D0E"/>
    <w:rsid w:val="002D2625"/>
    <w:rsid w:val="002D3E01"/>
    <w:rsid w:val="002D4E92"/>
    <w:rsid w:val="002D58AB"/>
    <w:rsid w:val="002D5EFD"/>
    <w:rsid w:val="002D6645"/>
    <w:rsid w:val="002D6729"/>
    <w:rsid w:val="002D7971"/>
    <w:rsid w:val="002D7D40"/>
    <w:rsid w:val="002D7DBF"/>
    <w:rsid w:val="002E0066"/>
    <w:rsid w:val="002E043A"/>
    <w:rsid w:val="002E0847"/>
    <w:rsid w:val="002E21EC"/>
    <w:rsid w:val="002E2CB4"/>
    <w:rsid w:val="002E41B3"/>
    <w:rsid w:val="002E420A"/>
    <w:rsid w:val="002E49BC"/>
    <w:rsid w:val="002E4CDC"/>
    <w:rsid w:val="002E4D1B"/>
    <w:rsid w:val="002E4E10"/>
    <w:rsid w:val="002E58A6"/>
    <w:rsid w:val="002E595B"/>
    <w:rsid w:val="002E608E"/>
    <w:rsid w:val="002E65E8"/>
    <w:rsid w:val="002E6BED"/>
    <w:rsid w:val="002E6D82"/>
    <w:rsid w:val="002E76A5"/>
    <w:rsid w:val="002E7BFF"/>
    <w:rsid w:val="002F03D6"/>
    <w:rsid w:val="002F09A7"/>
    <w:rsid w:val="002F2144"/>
    <w:rsid w:val="002F29B9"/>
    <w:rsid w:val="002F302F"/>
    <w:rsid w:val="002F37F0"/>
    <w:rsid w:val="002F4946"/>
    <w:rsid w:val="002F4E15"/>
    <w:rsid w:val="002F4FEA"/>
    <w:rsid w:val="002F507B"/>
    <w:rsid w:val="002F586D"/>
    <w:rsid w:val="002F59B8"/>
    <w:rsid w:val="002F6685"/>
    <w:rsid w:val="002F6DAF"/>
    <w:rsid w:val="002F7692"/>
    <w:rsid w:val="002F7A6E"/>
    <w:rsid w:val="002F7F05"/>
    <w:rsid w:val="00300570"/>
    <w:rsid w:val="00301F62"/>
    <w:rsid w:val="00302ADB"/>
    <w:rsid w:val="0030332D"/>
    <w:rsid w:val="00303A80"/>
    <w:rsid w:val="00303D99"/>
    <w:rsid w:val="00303F8F"/>
    <w:rsid w:val="00304116"/>
    <w:rsid w:val="0030432E"/>
    <w:rsid w:val="00304528"/>
    <w:rsid w:val="00304D9E"/>
    <w:rsid w:val="00305648"/>
    <w:rsid w:val="00306398"/>
    <w:rsid w:val="00306CCF"/>
    <w:rsid w:val="003123BB"/>
    <w:rsid w:val="00312AFC"/>
    <w:rsid w:val="00313A64"/>
    <w:rsid w:val="00315512"/>
    <w:rsid w:val="003165C3"/>
    <w:rsid w:val="003166B2"/>
    <w:rsid w:val="0031741A"/>
    <w:rsid w:val="00317D41"/>
    <w:rsid w:val="00320AA9"/>
    <w:rsid w:val="00320F2F"/>
    <w:rsid w:val="003215E6"/>
    <w:rsid w:val="0032197A"/>
    <w:rsid w:val="003224CA"/>
    <w:rsid w:val="003234CF"/>
    <w:rsid w:val="0032376E"/>
    <w:rsid w:val="00323C60"/>
    <w:rsid w:val="00323CD4"/>
    <w:rsid w:val="00323EE8"/>
    <w:rsid w:val="00324011"/>
    <w:rsid w:val="00324AB6"/>
    <w:rsid w:val="0032503A"/>
    <w:rsid w:val="00326DBC"/>
    <w:rsid w:val="00330672"/>
    <w:rsid w:val="00330A4F"/>
    <w:rsid w:val="00331061"/>
    <w:rsid w:val="0033171F"/>
    <w:rsid w:val="003321E6"/>
    <w:rsid w:val="003324AB"/>
    <w:rsid w:val="003326F9"/>
    <w:rsid w:val="003327DD"/>
    <w:rsid w:val="00332C6E"/>
    <w:rsid w:val="00332EC1"/>
    <w:rsid w:val="00334805"/>
    <w:rsid w:val="00335607"/>
    <w:rsid w:val="00336297"/>
    <w:rsid w:val="00336388"/>
    <w:rsid w:val="00336A94"/>
    <w:rsid w:val="00336D14"/>
    <w:rsid w:val="00337166"/>
    <w:rsid w:val="0033753C"/>
    <w:rsid w:val="0033788D"/>
    <w:rsid w:val="003379AB"/>
    <w:rsid w:val="00337D64"/>
    <w:rsid w:val="003408C2"/>
    <w:rsid w:val="003429C3"/>
    <w:rsid w:val="003432AA"/>
    <w:rsid w:val="00343490"/>
    <w:rsid w:val="00343982"/>
    <w:rsid w:val="00343A2E"/>
    <w:rsid w:val="003441D2"/>
    <w:rsid w:val="003441DE"/>
    <w:rsid w:val="003445C0"/>
    <w:rsid w:val="00344744"/>
    <w:rsid w:val="00344CBC"/>
    <w:rsid w:val="00346CE2"/>
    <w:rsid w:val="0034737F"/>
    <w:rsid w:val="003473BB"/>
    <w:rsid w:val="00347E19"/>
    <w:rsid w:val="003505D9"/>
    <w:rsid w:val="00351FF4"/>
    <w:rsid w:val="00352ACD"/>
    <w:rsid w:val="0035424B"/>
    <w:rsid w:val="00354479"/>
    <w:rsid w:val="0035467C"/>
    <w:rsid w:val="00354B13"/>
    <w:rsid w:val="00354CCC"/>
    <w:rsid w:val="00355880"/>
    <w:rsid w:val="00355B97"/>
    <w:rsid w:val="00355BB6"/>
    <w:rsid w:val="00356996"/>
    <w:rsid w:val="003579F3"/>
    <w:rsid w:val="00357FD0"/>
    <w:rsid w:val="00361729"/>
    <w:rsid w:val="0036217F"/>
    <w:rsid w:val="0036256A"/>
    <w:rsid w:val="00364E6C"/>
    <w:rsid w:val="0036678A"/>
    <w:rsid w:val="003678C5"/>
    <w:rsid w:val="00370021"/>
    <w:rsid w:val="00370215"/>
    <w:rsid w:val="00370868"/>
    <w:rsid w:val="00372488"/>
    <w:rsid w:val="00372A07"/>
    <w:rsid w:val="00372CE4"/>
    <w:rsid w:val="003732AF"/>
    <w:rsid w:val="00373735"/>
    <w:rsid w:val="003739D9"/>
    <w:rsid w:val="003741B9"/>
    <w:rsid w:val="00374EB1"/>
    <w:rsid w:val="0037566B"/>
    <w:rsid w:val="00376036"/>
    <w:rsid w:val="0037677F"/>
    <w:rsid w:val="00377364"/>
    <w:rsid w:val="003803AC"/>
    <w:rsid w:val="00380620"/>
    <w:rsid w:val="00380AD7"/>
    <w:rsid w:val="0038106F"/>
    <w:rsid w:val="003815CC"/>
    <w:rsid w:val="00381EF6"/>
    <w:rsid w:val="00381F15"/>
    <w:rsid w:val="00382240"/>
    <w:rsid w:val="00382AE9"/>
    <w:rsid w:val="003833DD"/>
    <w:rsid w:val="003841F2"/>
    <w:rsid w:val="0038465A"/>
    <w:rsid w:val="00384A6B"/>
    <w:rsid w:val="00384AC3"/>
    <w:rsid w:val="00384C24"/>
    <w:rsid w:val="003852D0"/>
    <w:rsid w:val="00385BE7"/>
    <w:rsid w:val="00385C09"/>
    <w:rsid w:val="003863C0"/>
    <w:rsid w:val="003863FB"/>
    <w:rsid w:val="0038666C"/>
    <w:rsid w:val="00387760"/>
    <w:rsid w:val="00387C98"/>
    <w:rsid w:val="0039011A"/>
    <w:rsid w:val="0039017E"/>
    <w:rsid w:val="00390217"/>
    <w:rsid w:val="00390355"/>
    <w:rsid w:val="0039208B"/>
    <w:rsid w:val="00392AFC"/>
    <w:rsid w:val="00392CB3"/>
    <w:rsid w:val="00393E54"/>
    <w:rsid w:val="003941D2"/>
    <w:rsid w:val="0039421A"/>
    <w:rsid w:val="003943A6"/>
    <w:rsid w:val="0039678E"/>
    <w:rsid w:val="00396ACC"/>
    <w:rsid w:val="00397651"/>
    <w:rsid w:val="003978F5"/>
    <w:rsid w:val="003A02BB"/>
    <w:rsid w:val="003A0D2F"/>
    <w:rsid w:val="003A14C2"/>
    <w:rsid w:val="003A1547"/>
    <w:rsid w:val="003A1AE8"/>
    <w:rsid w:val="003A20C9"/>
    <w:rsid w:val="003A211C"/>
    <w:rsid w:val="003A3483"/>
    <w:rsid w:val="003A3726"/>
    <w:rsid w:val="003A3A9F"/>
    <w:rsid w:val="003A3C12"/>
    <w:rsid w:val="003A3DBE"/>
    <w:rsid w:val="003A419E"/>
    <w:rsid w:val="003A431F"/>
    <w:rsid w:val="003A4456"/>
    <w:rsid w:val="003A44B8"/>
    <w:rsid w:val="003A5188"/>
    <w:rsid w:val="003A75F9"/>
    <w:rsid w:val="003A77E9"/>
    <w:rsid w:val="003B00C4"/>
    <w:rsid w:val="003B0308"/>
    <w:rsid w:val="003B03F7"/>
    <w:rsid w:val="003B15E7"/>
    <w:rsid w:val="003B1729"/>
    <w:rsid w:val="003B1B43"/>
    <w:rsid w:val="003B1BAC"/>
    <w:rsid w:val="003B1F41"/>
    <w:rsid w:val="003B2DBB"/>
    <w:rsid w:val="003B3A21"/>
    <w:rsid w:val="003B3E2A"/>
    <w:rsid w:val="003B4029"/>
    <w:rsid w:val="003B4A58"/>
    <w:rsid w:val="003B5CA2"/>
    <w:rsid w:val="003B6099"/>
    <w:rsid w:val="003B6664"/>
    <w:rsid w:val="003B698E"/>
    <w:rsid w:val="003B7735"/>
    <w:rsid w:val="003C0B06"/>
    <w:rsid w:val="003C120D"/>
    <w:rsid w:val="003C1DC1"/>
    <w:rsid w:val="003C30DF"/>
    <w:rsid w:val="003C3487"/>
    <w:rsid w:val="003C38A6"/>
    <w:rsid w:val="003C5218"/>
    <w:rsid w:val="003C53DA"/>
    <w:rsid w:val="003C5B9D"/>
    <w:rsid w:val="003C5E69"/>
    <w:rsid w:val="003C6406"/>
    <w:rsid w:val="003C6AAF"/>
    <w:rsid w:val="003C726D"/>
    <w:rsid w:val="003D0E29"/>
    <w:rsid w:val="003D1741"/>
    <w:rsid w:val="003D22CD"/>
    <w:rsid w:val="003D24CE"/>
    <w:rsid w:val="003D2523"/>
    <w:rsid w:val="003D269C"/>
    <w:rsid w:val="003D2B5D"/>
    <w:rsid w:val="003D2E7D"/>
    <w:rsid w:val="003D3356"/>
    <w:rsid w:val="003D338F"/>
    <w:rsid w:val="003D3A5D"/>
    <w:rsid w:val="003D3AD5"/>
    <w:rsid w:val="003D4033"/>
    <w:rsid w:val="003D478B"/>
    <w:rsid w:val="003D48C6"/>
    <w:rsid w:val="003D4BA3"/>
    <w:rsid w:val="003D55DC"/>
    <w:rsid w:val="003D61EB"/>
    <w:rsid w:val="003D6D60"/>
    <w:rsid w:val="003D71C3"/>
    <w:rsid w:val="003E0402"/>
    <w:rsid w:val="003E04CD"/>
    <w:rsid w:val="003E10E6"/>
    <w:rsid w:val="003E1418"/>
    <w:rsid w:val="003E1608"/>
    <w:rsid w:val="003E2EE7"/>
    <w:rsid w:val="003E368C"/>
    <w:rsid w:val="003E3BF6"/>
    <w:rsid w:val="003E4EB5"/>
    <w:rsid w:val="003E527C"/>
    <w:rsid w:val="003E5857"/>
    <w:rsid w:val="003E5D0D"/>
    <w:rsid w:val="003E5F59"/>
    <w:rsid w:val="003E699E"/>
    <w:rsid w:val="003E6D70"/>
    <w:rsid w:val="003F0118"/>
    <w:rsid w:val="003F1358"/>
    <w:rsid w:val="003F1D00"/>
    <w:rsid w:val="003F2672"/>
    <w:rsid w:val="003F28D5"/>
    <w:rsid w:val="003F2927"/>
    <w:rsid w:val="003F2AFA"/>
    <w:rsid w:val="003F4519"/>
    <w:rsid w:val="003F57A6"/>
    <w:rsid w:val="003F587C"/>
    <w:rsid w:val="003F6363"/>
    <w:rsid w:val="003F70EC"/>
    <w:rsid w:val="003F7F8F"/>
    <w:rsid w:val="004004C2"/>
    <w:rsid w:val="00400525"/>
    <w:rsid w:val="004009F4"/>
    <w:rsid w:val="00400D65"/>
    <w:rsid w:val="0040103A"/>
    <w:rsid w:val="00403647"/>
    <w:rsid w:val="0040431E"/>
    <w:rsid w:val="00404A60"/>
    <w:rsid w:val="00404FCE"/>
    <w:rsid w:val="00406CF2"/>
    <w:rsid w:val="00407AF2"/>
    <w:rsid w:val="00410E14"/>
    <w:rsid w:val="0041154D"/>
    <w:rsid w:val="004127CB"/>
    <w:rsid w:val="0041369C"/>
    <w:rsid w:val="00413E97"/>
    <w:rsid w:val="00413FFE"/>
    <w:rsid w:val="004145E7"/>
    <w:rsid w:val="0041482B"/>
    <w:rsid w:val="004151AE"/>
    <w:rsid w:val="0041528C"/>
    <w:rsid w:val="004152DF"/>
    <w:rsid w:val="00415512"/>
    <w:rsid w:val="004155CE"/>
    <w:rsid w:val="004158D3"/>
    <w:rsid w:val="00415E79"/>
    <w:rsid w:val="00416752"/>
    <w:rsid w:val="0041677A"/>
    <w:rsid w:val="00417F9D"/>
    <w:rsid w:val="004217E7"/>
    <w:rsid w:val="00421A9A"/>
    <w:rsid w:val="00421E1C"/>
    <w:rsid w:val="00422033"/>
    <w:rsid w:val="004221DB"/>
    <w:rsid w:val="0042428E"/>
    <w:rsid w:val="004243FF"/>
    <w:rsid w:val="0042525D"/>
    <w:rsid w:val="00425AA3"/>
    <w:rsid w:val="00425AFD"/>
    <w:rsid w:val="004260A0"/>
    <w:rsid w:val="00430213"/>
    <w:rsid w:val="0043149D"/>
    <w:rsid w:val="0043166F"/>
    <w:rsid w:val="00432028"/>
    <w:rsid w:val="004320EB"/>
    <w:rsid w:val="00432F51"/>
    <w:rsid w:val="00433CE7"/>
    <w:rsid w:val="0043488D"/>
    <w:rsid w:val="00435BED"/>
    <w:rsid w:val="004363B7"/>
    <w:rsid w:val="004370F8"/>
    <w:rsid w:val="00437586"/>
    <w:rsid w:val="00437816"/>
    <w:rsid w:val="00437A93"/>
    <w:rsid w:val="00437E07"/>
    <w:rsid w:val="004402D4"/>
    <w:rsid w:val="00440BCB"/>
    <w:rsid w:val="00440CB4"/>
    <w:rsid w:val="00442030"/>
    <w:rsid w:val="0044210E"/>
    <w:rsid w:val="0044356A"/>
    <w:rsid w:val="00443CBC"/>
    <w:rsid w:val="00443FB8"/>
    <w:rsid w:val="004443D8"/>
    <w:rsid w:val="00444E09"/>
    <w:rsid w:val="00444F7A"/>
    <w:rsid w:val="00445AFF"/>
    <w:rsid w:val="0044677A"/>
    <w:rsid w:val="004467A3"/>
    <w:rsid w:val="0044685E"/>
    <w:rsid w:val="00446CD4"/>
    <w:rsid w:val="00447187"/>
    <w:rsid w:val="00447635"/>
    <w:rsid w:val="00447E7F"/>
    <w:rsid w:val="00454474"/>
    <w:rsid w:val="0045451F"/>
    <w:rsid w:val="00455CAC"/>
    <w:rsid w:val="004563A1"/>
    <w:rsid w:val="00456B96"/>
    <w:rsid w:val="00457001"/>
    <w:rsid w:val="00457701"/>
    <w:rsid w:val="004577B2"/>
    <w:rsid w:val="00457B88"/>
    <w:rsid w:val="00460407"/>
    <w:rsid w:val="004609F8"/>
    <w:rsid w:val="004613F3"/>
    <w:rsid w:val="0046184C"/>
    <w:rsid w:val="0046359A"/>
    <w:rsid w:val="004637B4"/>
    <w:rsid w:val="004640EC"/>
    <w:rsid w:val="004641CB"/>
    <w:rsid w:val="00464F4F"/>
    <w:rsid w:val="00465146"/>
    <w:rsid w:val="0046653D"/>
    <w:rsid w:val="00466B5E"/>
    <w:rsid w:val="00470B77"/>
    <w:rsid w:val="00471426"/>
    <w:rsid w:val="00472BB7"/>
    <w:rsid w:val="00472D50"/>
    <w:rsid w:val="00474552"/>
    <w:rsid w:val="00474C24"/>
    <w:rsid w:val="00474CC9"/>
    <w:rsid w:val="00474EC2"/>
    <w:rsid w:val="00475876"/>
    <w:rsid w:val="00475B47"/>
    <w:rsid w:val="00476342"/>
    <w:rsid w:val="0047673A"/>
    <w:rsid w:val="00476C85"/>
    <w:rsid w:val="0047703B"/>
    <w:rsid w:val="00477D5D"/>
    <w:rsid w:val="00481205"/>
    <w:rsid w:val="00481512"/>
    <w:rsid w:val="004817B3"/>
    <w:rsid w:val="00482506"/>
    <w:rsid w:val="004828A0"/>
    <w:rsid w:val="00482D59"/>
    <w:rsid w:val="00482F07"/>
    <w:rsid w:val="00483730"/>
    <w:rsid w:val="00484121"/>
    <w:rsid w:val="00484169"/>
    <w:rsid w:val="0048543A"/>
    <w:rsid w:val="00485C21"/>
    <w:rsid w:val="004861D7"/>
    <w:rsid w:val="004862F1"/>
    <w:rsid w:val="00486843"/>
    <w:rsid w:val="00486DCD"/>
    <w:rsid w:val="004873B5"/>
    <w:rsid w:val="004909FD"/>
    <w:rsid w:val="00490E88"/>
    <w:rsid w:val="0049162D"/>
    <w:rsid w:val="004917D9"/>
    <w:rsid w:val="004922AA"/>
    <w:rsid w:val="00492508"/>
    <w:rsid w:val="00492B9A"/>
    <w:rsid w:val="00493281"/>
    <w:rsid w:val="00493E16"/>
    <w:rsid w:val="004949D6"/>
    <w:rsid w:val="00494B52"/>
    <w:rsid w:val="0049602D"/>
    <w:rsid w:val="004962A1"/>
    <w:rsid w:val="00496B3D"/>
    <w:rsid w:val="004979E6"/>
    <w:rsid w:val="004A07EE"/>
    <w:rsid w:val="004A0DEF"/>
    <w:rsid w:val="004A1633"/>
    <w:rsid w:val="004A1D65"/>
    <w:rsid w:val="004A2034"/>
    <w:rsid w:val="004A2197"/>
    <w:rsid w:val="004A25A0"/>
    <w:rsid w:val="004A2722"/>
    <w:rsid w:val="004A3159"/>
    <w:rsid w:val="004A3607"/>
    <w:rsid w:val="004A36DB"/>
    <w:rsid w:val="004A37CB"/>
    <w:rsid w:val="004A3E75"/>
    <w:rsid w:val="004A5157"/>
    <w:rsid w:val="004A65E5"/>
    <w:rsid w:val="004A6725"/>
    <w:rsid w:val="004A6DD0"/>
    <w:rsid w:val="004A72A4"/>
    <w:rsid w:val="004B0097"/>
    <w:rsid w:val="004B0B0C"/>
    <w:rsid w:val="004B0C9D"/>
    <w:rsid w:val="004B1270"/>
    <w:rsid w:val="004B228E"/>
    <w:rsid w:val="004B30C6"/>
    <w:rsid w:val="004B3D91"/>
    <w:rsid w:val="004B44BA"/>
    <w:rsid w:val="004B49EA"/>
    <w:rsid w:val="004B52ED"/>
    <w:rsid w:val="004B53E1"/>
    <w:rsid w:val="004B5FD3"/>
    <w:rsid w:val="004B6430"/>
    <w:rsid w:val="004B711B"/>
    <w:rsid w:val="004B73E9"/>
    <w:rsid w:val="004B7C84"/>
    <w:rsid w:val="004B7E3B"/>
    <w:rsid w:val="004B7E7D"/>
    <w:rsid w:val="004C068A"/>
    <w:rsid w:val="004C1345"/>
    <w:rsid w:val="004C17FC"/>
    <w:rsid w:val="004C1E4A"/>
    <w:rsid w:val="004C2A23"/>
    <w:rsid w:val="004C30AB"/>
    <w:rsid w:val="004C3C1A"/>
    <w:rsid w:val="004C4424"/>
    <w:rsid w:val="004C531F"/>
    <w:rsid w:val="004C54A6"/>
    <w:rsid w:val="004C590A"/>
    <w:rsid w:val="004C5ADC"/>
    <w:rsid w:val="004C662C"/>
    <w:rsid w:val="004C7378"/>
    <w:rsid w:val="004C77FA"/>
    <w:rsid w:val="004C78F5"/>
    <w:rsid w:val="004D0932"/>
    <w:rsid w:val="004D0F96"/>
    <w:rsid w:val="004D0FA7"/>
    <w:rsid w:val="004D1150"/>
    <w:rsid w:val="004D2587"/>
    <w:rsid w:val="004D2A21"/>
    <w:rsid w:val="004D3999"/>
    <w:rsid w:val="004D4B1E"/>
    <w:rsid w:val="004D4D40"/>
    <w:rsid w:val="004D51EF"/>
    <w:rsid w:val="004D5A14"/>
    <w:rsid w:val="004D7493"/>
    <w:rsid w:val="004D79F3"/>
    <w:rsid w:val="004D7A5B"/>
    <w:rsid w:val="004D7D9C"/>
    <w:rsid w:val="004E0427"/>
    <w:rsid w:val="004E1744"/>
    <w:rsid w:val="004E2456"/>
    <w:rsid w:val="004E26F8"/>
    <w:rsid w:val="004E3153"/>
    <w:rsid w:val="004E3D0E"/>
    <w:rsid w:val="004E408D"/>
    <w:rsid w:val="004E411B"/>
    <w:rsid w:val="004E420E"/>
    <w:rsid w:val="004E5CFF"/>
    <w:rsid w:val="004E6828"/>
    <w:rsid w:val="004E6AC7"/>
    <w:rsid w:val="004E786D"/>
    <w:rsid w:val="004E7A0B"/>
    <w:rsid w:val="004E7D3D"/>
    <w:rsid w:val="004F2525"/>
    <w:rsid w:val="004F4123"/>
    <w:rsid w:val="004F5456"/>
    <w:rsid w:val="004F5EE5"/>
    <w:rsid w:val="004F6592"/>
    <w:rsid w:val="004F6670"/>
    <w:rsid w:val="004F69E6"/>
    <w:rsid w:val="00500289"/>
    <w:rsid w:val="005007C8"/>
    <w:rsid w:val="00500FCB"/>
    <w:rsid w:val="0050131F"/>
    <w:rsid w:val="005017AE"/>
    <w:rsid w:val="005021E8"/>
    <w:rsid w:val="00502440"/>
    <w:rsid w:val="00502489"/>
    <w:rsid w:val="00502588"/>
    <w:rsid w:val="00503656"/>
    <w:rsid w:val="00503968"/>
    <w:rsid w:val="005042DA"/>
    <w:rsid w:val="005044A4"/>
    <w:rsid w:val="00504D39"/>
    <w:rsid w:val="0050586A"/>
    <w:rsid w:val="0050619D"/>
    <w:rsid w:val="005066EB"/>
    <w:rsid w:val="00506910"/>
    <w:rsid w:val="00506E4E"/>
    <w:rsid w:val="0050706C"/>
    <w:rsid w:val="005070EE"/>
    <w:rsid w:val="00507249"/>
    <w:rsid w:val="0051058F"/>
    <w:rsid w:val="00510B10"/>
    <w:rsid w:val="00510D24"/>
    <w:rsid w:val="00512031"/>
    <w:rsid w:val="005120F4"/>
    <w:rsid w:val="0051279E"/>
    <w:rsid w:val="00512F45"/>
    <w:rsid w:val="0051341C"/>
    <w:rsid w:val="00513A76"/>
    <w:rsid w:val="00513E41"/>
    <w:rsid w:val="0051467E"/>
    <w:rsid w:val="005156DC"/>
    <w:rsid w:val="005157C2"/>
    <w:rsid w:val="0051637F"/>
    <w:rsid w:val="005173F8"/>
    <w:rsid w:val="00517429"/>
    <w:rsid w:val="00517CDE"/>
    <w:rsid w:val="00520038"/>
    <w:rsid w:val="00520E78"/>
    <w:rsid w:val="00522795"/>
    <w:rsid w:val="00522A7B"/>
    <w:rsid w:val="00522A97"/>
    <w:rsid w:val="00522E56"/>
    <w:rsid w:val="00523044"/>
    <w:rsid w:val="00523617"/>
    <w:rsid w:val="00523F2F"/>
    <w:rsid w:val="005241D0"/>
    <w:rsid w:val="00524D8A"/>
    <w:rsid w:val="00525225"/>
    <w:rsid w:val="00525333"/>
    <w:rsid w:val="00526255"/>
    <w:rsid w:val="00526E33"/>
    <w:rsid w:val="00526ED8"/>
    <w:rsid w:val="00527594"/>
    <w:rsid w:val="00530191"/>
    <w:rsid w:val="00530B8A"/>
    <w:rsid w:val="00531994"/>
    <w:rsid w:val="00531B27"/>
    <w:rsid w:val="00531FEF"/>
    <w:rsid w:val="005326AF"/>
    <w:rsid w:val="00533443"/>
    <w:rsid w:val="0053380E"/>
    <w:rsid w:val="00533B6E"/>
    <w:rsid w:val="00533D1E"/>
    <w:rsid w:val="005340AC"/>
    <w:rsid w:val="00534283"/>
    <w:rsid w:val="0053469C"/>
    <w:rsid w:val="005361F0"/>
    <w:rsid w:val="005362E0"/>
    <w:rsid w:val="005364ED"/>
    <w:rsid w:val="005367CB"/>
    <w:rsid w:val="00536FC7"/>
    <w:rsid w:val="005374CD"/>
    <w:rsid w:val="005401CF"/>
    <w:rsid w:val="00540760"/>
    <w:rsid w:val="005409A0"/>
    <w:rsid w:val="00540C41"/>
    <w:rsid w:val="00540E2A"/>
    <w:rsid w:val="00540FF4"/>
    <w:rsid w:val="005414A8"/>
    <w:rsid w:val="00541726"/>
    <w:rsid w:val="00541A19"/>
    <w:rsid w:val="0054378A"/>
    <w:rsid w:val="00544411"/>
    <w:rsid w:val="005446FB"/>
    <w:rsid w:val="00544EC7"/>
    <w:rsid w:val="00544F7F"/>
    <w:rsid w:val="005456E8"/>
    <w:rsid w:val="00545DA7"/>
    <w:rsid w:val="0054666B"/>
    <w:rsid w:val="00546890"/>
    <w:rsid w:val="00546CBB"/>
    <w:rsid w:val="005479E8"/>
    <w:rsid w:val="005500FD"/>
    <w:rsid w:val="00550243"/>
    <w:rsid w:val="00550814"/>
    <w:rsid w:val="00551553"/>
    <w:rsid w:val="00551EBB"/>
    <w:rsid w:val="00551FFA"/>
    <w:rsid w:val="00552573"/>
    <w:rsid w:val="00552688"/>
    <w:rsid w:val="0055368D"/>
    <w:rsid w:val="005537F2"/>
    <w:rsid w:val="00553E1F"/>
    <w:rsid w:val="00553E65"/>
    <w:rsid w:val="00554075"/>
    <w:rsid w:val="00555AC5"/>
    <w:rsid w:val="00555CD9"/>
    <w:rsid w:val="005566DF"/>
    <w:rsid w:val="0055672A"/>
    <w:rsid w:val="00556E4C"/>
    <w:rsid w:val="00557028"/>
    <w:rsid w:val="00557931"/>
    <w:rsid w:val="00557AC5"/>
    <w:rsid w:val="00557D3F"/>
    <w:rsid w:val="00560396"/>
    <w:rsid w:val="00560CAB"/>
    <w:rsid w:val="00560F5E"/>
    <w:rsid w:val="00561B76"/>
    <w:rsid w:val="00562A54"/>
    <w:rsid w:val="00562DBF"/>
    <w:rsid w:val="00563ACF"/>
    <w:rsid w:val="00563AF5"/>
    <w:rsid w:val="00563E3E"/>
    <w:rsid w:val="00564321"/>
    <w:rsid w:val="0056473C"/>
    <w:rsid w:val="00564DDB"/>
    <w:rsid w:val="00564E2E"/>
    <w:rsid w:val="00564F3D"/>
    <w:rsid w:val="005651BB"/>
    <w:rsid w:val="00565938"/>
    <w:rsid w:val="00566573"/>
    <w:rsid w:val="00566802"/>
    <w:rsid w:val="005677C5"/>
    <w:rsid w:val="00567865"/>
    <w:rsid w:val="00567D8D"/>
    <w:rsid w:val="00571BDB"/>
    <w:rsid w:val="005723C2"/>
    <w:rsid w:val="00572462"/>
    <w:rsid w:val="00572AC6"/>
    <w:rsid w:val="00572E13"/>
    <w:rsid w:val="00572FBF"/>
    <w:rsid w:val="005735A3"/>
    <w:rsid w:val="00573B66"/>
    <w:rsid w:val="00574F15"/>
    <w:rsid w:val="00575D3B"/>
    <w:rsid w:val="00575FC6"/>
    <w:rsid w:val="00576661"/>
    <w:rsid w:val="00576A4D"/>
    <w:rsid w:val="00576B36"/>
    <w:rsid w:val="00576DA5"/>
    <w:rsid w:val="00576DE1"/>
    <w:rsid w:val="00576E77"/>
    <w:rsid w:val="0057715F"/>
    <w:rsid w:val="0058083B"/>
    <w:rsid w:val="005813C1"/>
    <w:rsid w:val="005816EF"/>
    <w:rsid w:val="00581A82"/>
    <w:rsid w:val="00581E1A"/>
    <w:rsid w:val="00581EF3"/>
    <w:rsid w:val="00582170"/>
    <w:rsid w:val="00582244"/>
    <w:rsid w:val="00583458"/>
    <w:rsid w:val="00583DE8"/>
    <w:rsid w:val="0058404B"/>
    <w:rsid w:val="005861FE"/>
    <w:rsid w:val="005872CA"/>
    <w:rsid w:val="005873C0"/>
    <w:rsid w:val="00587784"/>
    <w:rsid w:val="00590267"/>
    <w:rsid w:val="00590410"/>
    <w:rsid w:val="00590496"/>
    <w:rsid w:val="00590FDE"/>
    <w:rsid w:val="00591465"/>
    <w:rsid w:val="00591743"/>
    <w:rsid w:val="00591AD9"/>
    <w:rsid w:val="0059224B"/>
    <w:rsid w:val="0059274A"/>
    <w:rsid w:val="005934E0"/>
    <w:rsid w:val="00593C73"/>
    <w:rsid w:val="00593E1A"/>
    <w:rsid w:val="005947AA"/>
    <w:rsid w:val="00595B5B"/>
    <w:rsid w:val="00595FB4"/>
    <w:rsid w:val="0059712F"/>
    <w:rsid w:val="005A04C6"/>
    <w:rsid w:val="005A077B"/>
    <w:rsid w:val="005A0AD7"/>
    <w:rsid w:val="005A1FB6"/>
    <w:rsid w:val="005A2620"/>
    <w:rsid w:val="005A2D26"/>
    <w:rsid w:val="005A3844"/>
    <w:rsid w:val="005A3AA6"/>
    <w:rsid w:val="005A3FC1"/>
    <w:rsid w:val="005A4257"/>
    <w:rsid w:val="005A45BC"/>
    <w:rsid w:val="005A4B83"/>
    <w:rsid w:val="005A50CE"/>
    <w:rsid w:val="005A514D"/>
    <w:rsid w:val="005A5F6E"/>
    <w:rsid w:val="005A642B"/>
    <w:rsid w:val="005A7215"/>
    <w:rsid w:val="005B003B"/>
    <w:rsid w:val="005B0A6D"/>
    <w:rsid w:val="005B0AB6"/>
    <w:rsid w:val="005B1600"/>
    <w:rsid w:val="005B1A62"/>
    <w:rsid w:val="005B22C1"/>
    <w:rsid w:val="005B281F"/>
    <w:rsid w:val="005B2D23"/>
    <w:rsid w:val="005B3A98"/>
    <w:rsid w:val="005B5C07"/>
    <w:rsid w:val="005B6799"/>
    <w:rsid w:val="005B6A25"/>
    <w:rsid w:val="005B7F4D"/>
    <w:rsid w:val="005C0330"/>
    <w:rsid w:val="005C0756"/>
    <w:rsid w:val="005C0EE3"/>
    <w:rsid w:val="005C0F0C"/>
    <w:rsid w:val="005C1391"/>
    <w:rsid w:val="005C13C7"/>
    <w:rsid w:val="005C23BD"/>
    <w:rsid w:val="005C2461"/>
    <w:rsid w:val="005C2650"/>
    <w:rsid w:val="005C33CC"/>
    <w:rsid w:val="005C36FE"/>
    <w:rsid w:val="005C4329"/>
    <w:rsid w:val="005C44A1"/>
    <w:rsid w:val="005C5B16"/>
    <w:rsid w:val="005C5F84"/>
    <w:rsid w:val="005C5FD8"/>
    <w:rsid w:val="005C7205"/>
    <w:rsid w:val="005C7A20"/>
    <w:rsid w:val="005C7DC5"/>
    <w:rsid w:val="005D0171"/>
    <w:rsid w:val="005D0F94"/>
    <w:rsid w:val="005D1864"/>
    <w:rsid w:val="005D187A"/>
    <w:rsid w:val="005D19A6"/>
    <w:rsid w:val="005D1D61"/>
    <w:rsid w:val="005D2161"/>
    <w:rsid w:val="005D2736"/>
    <w:rsid w:val="005D3161"/>
    <w:rsid w:val="005D3AD7"/>
    <w:rsid w:val="005D6180"/>
    <w:rsid w:val="005D67F5"/>
    <w:rsid w:val="005D6A75"/>
    <w:rsid w:val="005D6C2D"/>
    <w:rsid w:val="005D768C"/>
    <w:rsid w:val="005D7D88"/>
    <w:rsid w:val="005E0D3B"/>
    <w:rsid w:val="005E1291"/>
    <w:rsid w:val="005E196D"/>
    <w:rsid w:val="005E1EEE"/>
    <w:rsid w:val="005E2801"/>
    <w:rsid w:val="005E3020"/>
    <w:rsid w:val="005E34E9"/>
    <w:rsid w:val="005E40A4"/>
    <w:rsid w:val="005E509E"/>
    <w:rsid w:val="005E715A"/>
    <w:rsid w:val="005E71E9"/>
    <w:rsid w:val="005E79AB"/>
    <w:rsid w:val="005E7ACB"/>
    <w:rsid w:val="005E7C80"/>
    <w:rsid w:val="005F0D10"/>
    <w:rsid w:val="005F0D54"/>
    <w:rsid w:val="005F1B59"/>
    <w:rsid w:val="005F1C37"/>
    <w:rsid w:val="005F29F1"/>
    <w:rsid w:val="005F3C37"/>
    <w:rsid w:val="005F3D80"/>
    <w:rsid w:val="005F4156"/>
    <w:rsid w:val="005F49D9"/>
    <w:rsid w:val="005F65A0"/>
    <w:rsid w:val="005F68B5"/>
    <w:rsid w:val="005F6D85"/>
    <w:rsid w:val="005F6DA7"/>
    <w:rsid w:val="005F6EF0"/>
    <w:rsid w:val="005F7244"/>
    <w:rsid w:val="005F77BE"/>
    <w:rsid w:val="005F7DA2"/>
    <w:rsid w:val="00600061"/>
    <w:rsid w:val="00600A9A"/>
    <w:rsid w:val="00600F31"/>
    <w:rsid w:val="00601FE6"/>
    <w:rsid w:val="0060205C"/>
    <w:rsid w:val="006022C3"/>
    <w:rsid w:val="0060263B"/>
    <w:rsid w:val="00603872"/>
    <w:rsid w:val="0060411A"/>
    <w:rsid w:val="0060416C"/>
    <w:rsid w:val="006043E4"/>
    <w:rsid w:val="0060454F"/>
    <w:rsid w:val="006048B1"/>
    <w:rsid w:val="00605A0F"/>
    <w:rsid w:val="0060617E"/>
    <w:rsid w:val="00606341"/>
    <w:rsid w:val="00606535"/>
    <w:rsid w:val="00606D56"/>
    <w:rsid w:val="0060768A"/>
    <w:rsid w:val="00607783"/>
    <w:rsid w:val="006100DA"/>
    <w:rsid w:val="00610E41"/>
    <w:rsid w:val="0061142D"/>
    <w:rsid w:val="006117A1"/>
    <w:rsid w:val="00611931"/>
    <w:rsid w:val="00611CD2"/>
    <w:rsid w:val="00611FCB"/>
    <w:rsid w:val="0061218F"/>
    <w:rsid w:val="0061267E"/>
    <w:rsid w:val="00612994"/>
    <w:rsid w:val="0061303F"/>
    <w:rsid w:val="00613989"/>
    <w:rsid w:val="006147B4"/>
    <w:rsid w:val="00614B31"/>
    <w:rsid w:val="00614F88"/>
    <w:rsid w:val="006153B9"/>
    <w:rsid w:val="0061546D"/>
    <w:rsid w:val="006163C1"/>
    <w:rsid w:val="00616440"/>
    <w:rsid w:val="00616A3F"/>
    <w:rsid w:val="00616BB8"/>
    <w:rsid w:val="006179F5"/>
    <w:rsid w:val="0062005F"/>
    <w:rsid w:val="006202E2"/>
    <w:rsid w:val="00620897"/>
    <w:rsid w:val="006215BC"/>
    <w:rsid w:val="00621A9B"/>
    <w:rsid w:val="00624667"/>
    <w:rsid w:val="0062466B"/>
    <w:rsid w:val="00624693"/>
    <w:rsid w:val="00625CDC"/>
    <w:rsid w:val="00625D9A"/>
    <w:rsid w:val="00625E9A"/>
    <w:rsid w:val="006262A9"/>
    <w:rsid w:val="006264AB"/>
    <w:rsid w:val="00630326"/>
    <w:rsid w:val="00630784"/>
    <w:rsid w:val="006311A8"/>
    <w:rsid w:val="006313B5"/>
    <w:rsid w:val="00632FA1"/>
    <w:rsid w:val="00632FA4"/>
    <w:rsid w:val="00633477"/>
    <w:rsid w:val="00633BB4"/>
    <w:rsid w:val="00633D66"/>
    <w:rsid w:val="006340C6"/>
    <w:rsid w:val="006345BD"/>
    <w:rsid w:val="006346BD"/>
    <w:rsid w:val="00634A16"/>
    <w:rsid w:val="00634AAB"/>
    <w:rsid w:val="00634D29"/>
    <w:rsid w:val="006359CE"/>
    <w:rsid w:val="006370D6"/>
    <w:rsid w:val="00637EA9"/>
    <w:rsid w:val="00640095"/>
    <w:rsid w:val="00640CF7"/>
    <w:rsid w:val="00640FC8"/>
    <w:rsid w:val="006411B5"/>
    <w:rsid w:val="00642102"/>
    <w:rsid w:val="006421DB"/>
    <w:rsid w:val="00642764"/>
    <w:rsid w:val="00642A4D"/>
    <w:rsid w:val="00642B8E"/>
    <w:rsid w:val="00642E4A"/>
    <w:rsid w:val="006432F7"/>
    <w:rsid w:val="00643CA9"/>
    <w:rsid w:val="00644013"/>
    <w:rsid w:val="006441D1"/>
    <w:rsid w:val="00644D46"/>
    <w:rsid w:val="006457F4"/>
    <w:rsid w:val="00645B07"/>
    <w:rsid w:val="00645D41"/>
    <w:rsid w:val="006462F6"/>
    <w:rsid w:val="00647EE0"/>
    <w:rsid w:val="0065004C"/>
    <w:rsid w:val="00650C2A"/>
    <w:rsid w:val="006514AF"/>
    <w:rsid w:val="00652A4F"/>
    <w:rsid w:val="00652B91"/>
    <w:rsid w:val="00653C5A"/>
    <w:rsid w:val="00653DFE"/>
    <w:rsid w:val="006547DE"/>
    <w:rsid w:val="00654E91"/>
    <w:rsid w:val="00655209"/>
    <w:rsid w:val="0065539F"/>
    <w:rsid w:val="00655991"/>
    <w:rsid w:val="006563C0"/>
    <w:rsid w:val="00656FEC"/>
    <w:rsid w:val="00657D28"/>
    <w:rsid w:val="00660888"/>
    <w:rsid w:val="0066088E"/>
    <w:rsid w:val="00660949"/>
    <w:rsid w:val="00662DF0"/>
    <w:rsid w:val="00663C64"/>
    <w:rsid w:val="00665DB0"/>
    <w:rsid w:val="00665DD4"/>
    <w:rsid w:val="006661AE"/>
    <w:rsid w:val="006666E7"/>
    <w:rsid w:val="00666EC8"/>
    <w:rsid w:val="006679A2"/>
    <w:rsid w:val="00670999"/>
    <w:rsid w:val="00670C79"/>
    <w:rsid w:val="00671478"/>
    <w:rsid w:val="00671FDE"/>
    <w:rsid w:val="00672635"/>
    <w:rsid w:val="00673104"/>
    <w:rsid w:val="006747A7"/>
    <w:rsid w:val="00674A30"/>
    <w:rsid w:val="006753BF"/>
    <w:rsid w:val="006761C1"/>
    <w:rsid w:val="00676B73"/>
    <w:rsid w:val="00676E4C"/>
    <w:rsid w:val="006770C7"/>
    <w:rsid w:val="006777B4"/>
    <w:rsid w:val="006810A3"/>
    <w:rsid w:val="006819D4"/>
    <w:rsid w:val="00681F7F"/>
    <w:rsid w:val="006822FA"/>
    <w:rsid w:val="006824F3"/>
    <w:rsid w:val="006824FA"/>
    <w:rsid w:val="0068286B"/>
    <w:rsid w:val="00683F48"/>
    <w:rsid w:val="00684EFC"/>
    <w:rsid w:val="00684F7B"/>
    <w:rsid w:val="00685560"/>
    <w:rsid w:val="00686484"/>
    <w:rsid w:val="0068650A"/>
    <w:rsid w:val="00686A8C"/>
    <w:rsid w:val="00686F4B"/>
    <w:rsid w:val="00686FBB"/>
    <w:rsid w:val="00687637"/>
    <w:rsid w:val="00687AF1"/>
    <w:rsid w:val="00690471"/>
    <w:rsid w:val="00690AAD"/>
    <w:rsid w:val="00690E1D"/>
    <w:rsid w:val="0069316A"/>
    <w:rsid w:val="00693573"/>
    <w:rsid w:val="00693598"/>
    <w:rsid w:val="00694711"/>
    <w:rsid w:val="00694891"/>
    <w:rsid w:val="00694BD3"/>
    <w:rsid w:val="00694C36"/>
    <w:rsid w:val="00695864"/>
    <w:rsid w:val="00695C4A"/>
    <w:rsid w:val="00697034"/>
    <w:rsid w:val="00697881"/>
    <w:rsid w:val="006A1461"/>
    <w:rsid w:val="006A1D04"/>
    <w:rsid w:val="006A30F6"/>
    <w:rsid w:val="006A34AD"/>
    <w:rsid w:val="006A55FA"/>
    <w:rsid w:val="006A6108"/>
    <w:rsid w:val="006A660B"/>
    <w:rsid w:val="006A6AFE"/>
    <w:rsid w:val="006B1572"/>
    <w:rsid w:val="006B1F82"/>
    <w:rsid w:val="006B24B7"/>
    <w:rsid w:val="006B255D"/>
    <w:rsid w:val="006B257A"/>
    <w:rsid w:val="006B2F1F"/>
    <w:rsid w:val="006B3185"/>
    <w:rsid w:val="006B31D9"/>
    <w:rsid w:val="006B3C1B"/>
    <w:rsid w:val="006B499F"/>
    <w:rsid w:val="006B7932"/>
    <w:rsid w:val="006B7A25"/>
    <w:rsid w:val="006B7DA9"/>
    <w:rsid w:val="006C1974"/>
    <w:rsid w:val="006C1F3E"/>
    <w:rsid w:val="006C221F"/>
    <w:rsid w:val="006C271C"/>
    <w:rsid w:val="006C29DA"/>
    <w:rsid w:val="006C320E"/>
    <w:rsid w:val="006C40B6"/>
    <w:rsid w:val="006C469E"/>
    <w:rsid w:val="006C479C"/>
    <w:rsid w:val="006C4CE8"/>
    <w:rsid w:val="006C62CC"/>
    <w:rsid w:val="006C65D7"/>
    <w:rsid w:val="006C6ABE"/>
    <w:rsid w:val="006C6E28"/>
    <w:rsid w:val="006C7064"/>
    <w:rsid w:val="006C7889"/>
    <w:rsid w:val="006C7AB2"/>
    <w:rsid w:val="006D04DE"/>
    <w:rsid w:val="006D2B0C"/>
    <w:rsid w:val="006D2F34"/>
    <w:rsid w:val="006D46B9"/>
    <w:rsid w:val="006D52FD"/>
    <w:rsid w:val="006D577E"/>
    <w:rsid w:val="006D5BD7"/>
    <w:rsid w:val="006D6218"/>
    <w:rsid w:val="006D7C15"/>
    <w:rsid w:val="006E1CE6"/>
    <w:rsid w:val="006E278B"/>
    <w:rsid w:val="006E2A52"/>
    <w:rsid w:val="006E32FC"/>
    <w:rsid w:val="006E3773"/>
    <w:rsid w:val="006E37F1"/>
    <w:rsid w:val="006E3ACA"/>
    <w:rsid w:val="006E492E"/>
    <w:rsid w:val="006E4E6A"/>
    <w:rsid w:val="006E52DC"/>
    <w:rsid w:val="006E5A85"/>
    <w:rsid w:val="006E6083"/>
    <w:rsid w:val="006E6B9F"/>
    <w:rsid w:val="006E6F18"/>
    <w:rsid w:val="006E72AB"/>
    <w:rsid w:val="006E7C69"/>
    <w:rsid w:val="006F01F4"/>
    <w:rsid w:val="006F09EB"/>
    <w:rsid w:val="006F0BB5"/>
    <w:rsid w:val="006F0EBE"/>
    <w:rsid w:val="006F0EDE"/>
    <w:rsid w:val="006F0F47"/>
    <w:rsid w:val="006F2043"/>
    <w:rsid w:val="006F2968"/>
    <w:rsid w:val="006F3115"/>
    <w:rsid w:val="006F3DA9"/>
    <w:rsid w:val="006F3ECF"/>
    <w:rsid w:val="006F4119"/>
    <w:rsid w:val="006F4595"/>
    <w:rsid w:val="006F4D94"/>
    <w:rsid w:val="006F50CE"/>
    <w:rsid w:val="006F58A5"/>
    <w:rsid w:val="006F5FC9"/>
    <w:rsid w:val="006F6276"/>
    <w:rsid w:val="006F6566"/>
    <w:rsid w:val="006F66AA"/>
    <w:rsid w:val="006F6DC4"/>
    <w:rsid w:val="006F7008"/>
    <w:rsid w:val="006F7FF1"/>
    <w:rsid w:val="0070032E"/>
    <w:rsid w:val="00700C32"/>
    <w:rsid w:val="007011BB"/>
    <w:rsid w:val="00701907"/>
    <w:rsid w:val="00701B81"/>
    <w:rsid w:val="00702248"/>
    <w:rsid w:val="00702A62"/>
    <w:rsid w:val="00702DB2"/>
    <w:rsid w:val="00702F32"/>
    <w:rsid w:val="00702FD0"/>
    <w:rsid w:val="00703273"/>
    <w:rsid w:val="007045E3"/>
    <w:rsid w:val="00704721"/>
    <w:rsid w:val="00706AD8"/>
    <w:rsid w:val="00707B47"/>
    <w:rsid w:val="00707B51"/>
    <w:rsid w:val="00710174"/>
    <w:rsid w:val="0071087C"/>
    <w:rsid w:val="00710E4E"/>
    <w:rsid w:val="00710F8B"/>
    <w:rsid w:val="007113B2"/>
    <w:rsid w:val="007127FF"/>
    <w:rsid w:val="0071281F"/>
    <w:rsid w:val="00712E94"/>
    <w:rsid w:val="00712F81"/>
    <w:rsid w:val="0071345D"/>
    <w:rsid w:val="00713ADA"/>
    <w:rsid w:val="00713CC5"/>
    <w:rsid w:val="00714799"/>
    <w:rsid w:val="00714F3D"/>
    <w:rsid w:val="0071508B"/>
    <w:rsid w:val="00715176"/>
    <w:rsid w:val="00715450"/>
    <w:rsid w:val="00716AA7"/>
    <w:rsid w:val="007176D3"/>
    <w:rsid w:val="0071780D"/>
    <w:rsid w:val="00717B50"/>
    <w:rsid w:val="00721ABE"/>
    <w:rsid w:val="00721DB5"/>
    <w:rsid w:val="00722D2F"/>
    <w:rsid w:val="007238F1"/>
    <w:rsid w:val="00723FAF"/>
    <w:rsid w:val="007245C2"/>
    <w:rsid w:val="00724D9D"/>
    <w:rsid w:val="00724FED"/>
    <w:rsid w:val="0072725A"/>
    <w:rsid w:val="0072749A"/>
    <w:rsid w:val="007279D8"/>
    <w:rsid w:val="00730964"/>
    <w:rsid w:val="00731A50"/>
    <w:rsid w:val="00731FFC"/>
    <w:rsid w:val="007320F5"/>
    <w:rsid w:val="00732375"/>
    <w:rsid w:val="0073305C"/>
    <w:rsid w:val="007331AD"/>
    <w:rsid w:val="0073328B"/>
    <w:rsid w:val="0073398C"/>
    <w:rsid w:val="007340B5"/>
    <w:rsid w:val="007345C1"/>
    <w:rsid w:val="007350C7"/>
    <w:rsid w:val="0073532C"/>
    <w:rsid w:val="00735B68"/>
    <w:rsid w:val="00736186"/>
    <w:rsid w:val="0073641D"/>
    <w:rsid w:val="007374AC"/>
    <w:rsid w:val="00737631"/>
    <w:rsid w:val="00737A47"/>
    <w:rsid w:val="0074030E"/>
    <w:rsid w:val="007405E2"/>
    <w:rsid w:val="00740C79"/>
    <w:rsid w:val="007410AE"/>
    <w:rsid w:val="007418CB"/>
    <w:rsid w:val="00741BE9"/>
    <w:rsid w:val="00741E98"/>
    <w:rsid w:val="0074237E"/>
    <w:rsid w:val="00742874"/>
    <w:rsid w:val="00742C53"/>
    <w:rsid w:val="00743550"/>
    <w:rsid w:val="00743855"/>
    <w:rsid w:val="00743E8A"/>
    <w:rsid w:val="00743FE1"/>
    <w:rsid w:val="00744028"/>
    <w:rsid w:val="00744BB1"/>
    <w:rsid w:val="00744D47"/>
    <w:rsid w:val="00745A15"/>
    <w:rsid w:val="00746A54"/>
    <w:rsid w:val="00747033"/>
    <w:rsid w:val="007474B6"/>
    <w:rsid w:val="00747A57"/>
    <w:rsid w:val="00747DE2"/>
    <w:rsid w:val="00750DDE"/>
    <w:rsid w:val="00751638"/>
    <w:rsid w:val="00751E90"/>
    <w:rsid w:val="00751F07"/>
    <w:rsid w:val="00753417"/>
    <w:rsid w:val="0075392F"/>
    <w:rsid w:val="00754672"/>
    <w:rsid w:val="00754848"/>
    <w:rsid w:val="00754F8A"/>
    <w:rsid w:val="0075547D"/>
    <w:rsid w:val="00755776"/>
    <w:rsid w:val="00757F06"/>
    <w:rsid w:val="00757F73"/>
    <w:rsid w:val="0076063F"/>
    <w:rsid w:val="007608F9"/>
    <w:rsid w:val="0076176B"/>
    <w:rsid w:val="00761F62"/>
    <w:rsid w:val="00761FA4"/>
    <w:rsid w:val="00762928"/>
    <w:rsid w:val="00762B1A"/>
    <w:rsid w:val="00762E63"/>
    <w:rsid w:val="0076366F"/>
    <w:rsid w:val="0076485B"/>
    <w:rsid w:val="0076553D"/>
    <w:rsid w:val="00766435"/>
    <w:rsid w:val="007668B0"/>
    <w:rsid w:val="00766C5B"/>
    <w:rsid w:val="00767BBB"/>
    <w:rsid w:val="00770059"/>
    <w:rsid w:val="007700D9"/>
    <w:rsid w:val="0077067C"/>
    <w:rsid w:val="00771B8E"/>
    <w:rsid w:val="007720D1"/>
    <w:rsid w:val="00772C69"/>
    <w:rsid w:val="0077318F"/>
    <w:rsid w:val="007745B5"/>
    <w:rsid w:val="0077559F"/>
    <w:rsid w:val="00775FD5"/>
    <w:rsid w:val="00775FDA"/>
    <w:rsid w:val="007761DF"/>
    <w:rsid w:val="00776289"/>
    <w:rsid w:val="007773B0"/>
    <w:rsid w:val="00777570"/>
    <w:rsid w:val="00777EE0"/>
    <w:rsid w:val="00780839"/>
    <w:rsid w:val="0078235D"/>
    <w:rsid w:val="00782420"/>
    <w:rsid w:val="00782492"/>
    <w:rsid w:val="0078256E"/>
    <w:rsid w:val="00782B95"/>
    <w:rsid w:val="00782FF7"/>
    <w:rsid w:val="007856F1"/>
    <w:rsid w:val="00785ADC"/>
    <w:rsid w:val="007878D1"/>
    <w:rsid w:val="007904BF"/>
    <w:rsid w:val="00791336"/>
    <w:rsid w:val="00792634"/>
    <w:rsid w:val="0079326F"/>
    <w:rsid w:val="007935F6"/>
    <w:rsid w:val="007943D5"/>
    <w:rsid w:val="00794709"/>
    <w:rsid w:val="00794EC6"/>
    <w:rsid w:val="00795456"/>
    <w:rsid w:val="00796652"/>
    <w:rsid w:val="0079678E"/>
    <w:rsid w:val="00796BCA"/>
    <w:rsid w:val="00796DBE"/>
    <w:rsid w:val="00797783"/>
    <w:rsid w:val="007A05FA"/>
    <w:rsid w:val="007A11DE"/>
    <w:rsid w:val="007A1861"/>
    <w:rsid w:val="007A588A"/>
    <w:rsid w:val="007A5E5B"/>
    <w:rsid w:val="007A6123"/>
    <w:rsid w:val="007A6E02"/>
    <w:rsid w:val="007A6E8B"/>
    <w:rsid w:val="007A7022"/>
    <w:rsid w:val="007A78D0"/>
    <w:rsid w:val="007A7941"/>
    <w:rsid w:val="007A7D82"/>
    <w:rsid w:val="007B0E7F"/>
    <w:rsid w:val="007B1D7F"/>
    <w:rsid w:val="007B1ED8"/>
    <w:rsid w:val="007B2491"/>
    <w:rsid w:val="007B27ED"/>
    <w:rsid w:val="007B2E94"/>
    <w:rsid w:val="007B31DC"/>
    <w:rsid w:val="007B371F"/>
    <w:rsid w:val="007B4806"/>
    <w:rsid w:val="007B4AC3"/>
    <w:rsid w:val="007B4BA5"/>
    <w:rsid w:val="007B4EC0"/>
    <w:rsid w:val="007B6102"/>
    <w:rsid w:val="007B63E9"/>
    <w:rsid w:val="007B7650"/>
    <w:rsid w:val="007C0148"/>
    <w:rsid w:val="007C08C2"/>
    <w:rsid w:val="007C1918"/>
    <w:rsid w:val="007C1A3F"/>
    <w:rsid w:val="007C245A"/>
    <w:rsid w:val="007C39CF"/>
    <w:rsid w:val="007C4A15"/>
    <w:rsid w:val="007C4ED7"/>
    <w:rsid w:val="007C52DF"/>
    <w:rsid w:val="007C5884"/>
    <w:rsid w:val="007C75B3"/>
    <w:rsid w:val="007D028A"/>
    <w:rsid w:val="007D04DC"/>
    <w:rsid w:val="007D1821"/>
    <w:rsid w:val="007D1873"/>
    <w:rsid w:val="007D5265"/>
    <w:rsid w:val="007D5D95"/>
    <w:rsid w:val="007D5EBB"/>
    <w:rsid w:val="007D6F20"/>
    <w:rsid w:val="007D759A"/>
    <w:rsid w:val="007D762E"/>
    <w:rsid w:val="007E0919"/>
    <w:rsid w:val="007E2CED"/>
    <w:rsid w:val="007E2EFB"/>
    <w:rsid w:val="007E3A95"/>
    <w:rsid w:val="007E44B7"/>
    <w:rsid w:val="007E4931"/>
    <w:rsid w:val="007E4B6C"/>
    <w:rsid w:val="007E4FE2"/>
    <w:rsid w:val="007E5A29"/>
    <w:rsid w:val="007E62BD"/>
    <w:rsid w:val="007E777E"/>
    <w:rsid w:val="007E7E70"/>
    <w:rsid w:val="007F04EF"/>
    <w:rsid w:val="007F1768"/>
    <w:rsid w:val="007F2943"/>
    <w:rsid w:val="007F2E86"/>
    <w:rsid w:val="007F3E5F"/>
    <w:rsid w:val="007F4D09"/>
    <w:rsid w:val="007F5558"/>
    <w:rsid w:val="007F7CF6"/>
    <w:rsid w:val="008000DF"/>
    <w:rsid w:val="008005B9"/>
    <w:rsid w:val="0080142E"/>
    <w:rsid w:val="00801CFE"/>
    <w:rsid w:val="00802551"/>
    <w:rsid w:val="00802600"/>
    <w:rsid w:val="00803BBD"/>
    <w:rsid w:val="0080467D"/>
    <w:rsid w:val="00805AFB"/>
    <w:rsid w:val="00805F8F"/>
    <w:rsid w:val="008065F8"/>
    <w:rsid w:val="00806C1D"/>
    <w:rsid w:val="00810AA8"/>
    <w:rsid w:val="00810D9A"/>
    <w:rsid w:val="008114EC"/>
    <w:rsid w:val="0081405F"/>
    <w:rsid w:val="00814A58"/>
    <w:rsid w:val="00814B0F"/>
    <w:rsid w:val="0081521D"/>
    <w:rsid w:val="008159F1"/>
    <w:rsid w:val="00816485"/>
    <w:rsid w:val="00816526"/>
    <w:rsid w:val="008168D9"/>
    <w:rsid w:val="00816E83"/>
    <w:rsid w:val="008178DD"/>
    <w:rsid w:val="00817B96"/>
    <w:rsid w:val="00817CA7"/>
    <w:rsid w:val="008201AC"/>
    <w:rsid w:val="00821863"/>
    <w:rsid w:val="00822024"/>
    <w:rsid w:val="00822308"/>
    <w:rsid w:val="0082394C"/>
    <w:rsid w:val="00823953"/>
    <w:rsid w:val="00823BAB"/>
    <w:rsid w:val="00824715"/>
    <w:rsid w:val="0082480C"/>
    <w:rsid w:val="00824ECD"/>
    <w:rsid w:val="008256BD"/>
    <w:rsid w:val="00825A6F"/>
    <w:rsid w:val="00825D19"/>
    <w:rsid w:val="00825EF4"/>
    <w:rsid w:val="00826466"/>
    <w:rsid w:val="008277B2"/>
    <w:rsid w:val="0083051E"/>
    <w:rsid w:val="00832A00"/>
    <w:rsid w:val="00832C08"/>
    <w:rsid w:val="0083358C"/>
    <w:rsid w:val="008347FC"/>
    <w:rsid w:val="00834BE7"/>
    <w:rsid w:val="008351AD"/>
    <w:rsid w:val="00835781"/>
    <w:rsid w:val="00835819"/>
    <w:rsid w:val="00836309"/>
    <w:rsid w:val="008363E4"/>
    <w:rsid w:val="00836432"/>
    <w:rsid w:val="00836909"/>
    <w:rsid w:val="00837C4D"/>
    <w:rsid w:val="008408D4"/>
    <w:rsid w:val="00840BB1"/>
    <w:rsid w:val="00842B50"/>
    <w:rsid w:val="00843137"/>
    <w:rsid w:val="00843265"/>
    <w:rsid w:val="00844A49"/>
    <w:rsid w:val="00845C24"/>
    <w:rsid w:val="00845D87"/>
    <w:rsid w:val="00846918"/>
    <w:rsid w:val="00847E90"/>
    <w:rsid w:val="00847ECC"/>
    <w:rsid w:val="00851212"/>
    <w:rsid w:val="0085122F"/>
    <w:rsid w:val="008513B8"/>
    <w:rsid w:val="008519B8"/>
    <w:rsid w:val="00851F57"/>
    <w:rsid w:val="008527BA"/>
    <w:rsid w:val="00852D6A"/>
    <w:rsid w:val="00853232"/>
    <w:rsid w:val="008540EB"/>
    <w:rsid w:val="00854804"/>
    <w:rsid w:val="00854F1B"/>
    <w:rsid w:val="00855652"/>
    <w:rsid w:val="00855867"/>
    <w:rsid w:val="008574FA"/>
    <w:rsid w:val="00857BF5"/>
    <w:rsid w:val="00857C2B"/>
    <w:rsid w:val="008602A4"/>
    <w:rsid w:val="0086054E"/>
    <w:rsid w:val="00860701"/>
    <w:rsid w:val="00861906"/>
    <w:rsid w:val="00861EC2"/>
    <w:rsid w:val="00863568"/>
    <w:rsid w:val="008636AB"/>
    <w:rsid w:val="00863A12"/>
    <w:rsid w:val="00865D1D"/>
    <w:rsid w:val="00865E52"/>
    <w:rsid w:val="00866B7D"/>
    <w:rsid w:val="008672B2"/>
    <w:rsid w:val="008678F2"/>
    <w:rsid w:val="00867CB4"/>
    <w:rsid w:val="0087032B"/>
    <w:rsid w:val="00870792"/>
    <w:rsid w:val="00870931"/>
    <w:rsid w:val="00871C9A"/>
    <w:rsid w:val="0087356D"/>
    <w:rsid w:val="008737A9"/>
    <w:rsid w:val="00873C7C"/>
    <w:rsid w:val="008748D4"/>
    <w:rsid w:val="00874BCF"/>
    <w:rsid w:val="00874CA3"/>
    <w:rsid w:val="00875480"/>
    <w:rsid w:val="00875B9E"/>
    <w:rsid w:val="008764CC"/>
    <w:rsid w:val="008770D5"/>
    <w:rsid w:val="00880D62"/>
    <w:rsid w:val="0088138E"/>
    <w:rsid w:val="0088165F"/>
    <w:rsid w:val="00881699"/>
    <w:rsid w:val="00882622"/>
    <w:rsid w:val="00882749"/>
    <w:rsid w:val="00882E43"/>
    <w:rsid w:val="00882E49"/>
    <w:rsid w:val="0088464F"/>
    <w:rsid w:val="00886832"/>
    <w:rsid w:val="008868E6"/>
    <w:rsid w:val="00887A08"/>
    <w:rsid w:val="00887F27"/>
    <w:rsid w:val="00890952"/>
    <w:rsid w:val="00891B78"/>
    <w:rsid w:val="00891D5C"/>
    <w:rsid w:val="00892468"/>
    <w:rsid w:val="00892719"/>
    <w:rsid w:val="00893405"/>
    <w:rsid w:val="00893AA4"/>
    <w:rsid w:val="00894555"/>
    <w:rsid w:val="0089469B"/>
    <w:rsid w:val="00894BA5"/>
    <w:rsid w:val="00895129"/>
    <w:rsid w:val="00895576"/>
    <w:rsid w:val="0089585A"/>
    <w:rsid w:val="00895DB4"/>
    <w:rsid w:val="0089614C"/>
    <w:rsid w:val="0089676C"/>
    <w:rsid w:val="0089797A"/>
    <w:rsid w:val="00897B1A"/>
    <w:rsid w:val="00897C82"/>
    <w:rsid w:val="008A0632"/>
    <w:rsid w:val="008A0EA4"/>
    <w:rsid w:val="008A121C"/>
    <w:rsid w:val="008A2511"/>
    <w:rsid w:val="008A2589"/>
    <w:rsid w:val="008A260B"/>
    <w:rsid w:val="008A2967"/>
    <w:rsid w:val="008A2BBC"/>
    <w:rsid w:val="008A2DFB"/>
    <w:rsid w:val="008A4018"/>
    <w:rsid w:val="008A434F"/>
    <w:rsid w:val="008A44E0"/>
    <w:rsid w:val="008A5076"/>
    <w:rsid w:val="008A570B"/>
    <w:rsid w:val="008A5D70"/>
    <w:rsid w:val="008A5EC4"/>
    <w:rsid w:val="008A698A"/>
    <w:rsid w:val="008A6D55"/>
    <w:rsid w:val="008A6E83"/>
    <w:rsid w:val="008B0115"/>
    <w:rsid w:val="008B0BF4"/>
    <w:rsid w:val="008B14E8"/>
    <w:rsid w:val="008B2D55"/>
    <w:rsid w:val="008B3FF0"/>
    <w:rsid w:val="008B4166"/>
    <w:rsid w:val="008B4AB4"/>
    <w:rsid w:val="008B52A2"/>
    <w:rsid w:val="008B559B"/>
    <w:rsid w:val="008B5CDD"/>
    <w:rsid w:val="008B689D"/>
    <w:rsid w:val="008B73DA"/>
    <w:rsid w:val="008B7583"/>
    <w:rsid w:val="008B785E"/>
    <w:rsid w:val="008B7C04"/>
    <w:rsid w:val="008C067D"/>
    <w:rsid w:val="008C0BBA"/>
    <w:rsid w:val="008C117F"/>
    <w:rsid w:val="008C16A3"/>
    <w:rsid w:val="008C17D2"/>
    <w:rsid w:val="008C25E9"/>
    <w:rsid w:val="008C3E3F"/>
    <w:rsid w:val="008C45A6"/>
    <w:rsid w:val="008C4D74"/>
    <w:rsid w:val="008C4EE5"/>
    <w:rsid w:val="008C59A9"/>
    <w:rsid w:val="008C5B7D"/>
    <w:rsid w:val="008C691C"/>
    <w:rsid w:val="008C6F61"/>
    <w:rsid w:val="008C764C"/>
    <w:rsid w:val="008C76E9"/>
    <w:rsid w:val="008C7701"/>
    <w:rsid w:val="008C7FC0"/>
    <w:rsid w:val="008D0906"/>
    <w:rsid w:val="008D1210"/>
    <w:rsid w:val="008D1649"/>
    <w:rsid w:val="008D1E2A"/>
    <w:rsid w:val="008D25A3"/>
    <w:rsid w:val="008D30E3"/>
    <w:rsid w:val="008D48A5"/>
    <w:rsid w:val="008D4D5C"/>
    <w:rsid w:val="008D4F5A"/>
    <w:rsid w:val="008D4F64"/>
    <w:rsid w:val="008D5081"/>
    <w:rsid w:val="008D5168"/>
    <w:rsid w:val="008D5878"/>
    <w:rsid w:val="008D5F7F"/>
    <w:rsid w:val="008E065A"/>
    <w:rsid w:val="008E0CEC"/>
    <w:rsid w:val="008E3153"/>
    <w:rsid w:val="008E3192"/>
    <w:rsid w:val="008E32D7"/>
    <w:rsid w:val="008E33DF"/>
    <w:rsid w:val="008E3A5D"/>
    <w:rsid w:val="008E4AFE"/>
    <w:rsid w:val="008E4FB4"/>
    <w:rsid w:val="008E52F3"/>
    <w:rsid w:val="008E537A"/>
    <w:rsid w:val="008E6267"/>
    <w:rsid w:val="008E763E"/>
    <w:rsid w:val="008F3175"/>
    <w:rsid w:val="008F4265"/>
    <w:rsid w:val="008F482B"/>
    <w:rsid w:val="008F4B85"/>
    <w:rsid w:val="008F4D2A"/>
    <w:rsid w:val="008F52AE"/>
    <w:rsid w:val="008F6331"/>
    <w:rsid w:val="008F6991"/>
    <w:rsid w:val="008F74C1"/>
    <w:rsid w:val="008F7FA7"/>
    <w:rsid w:val="00902289"/>
    <w:rsid w:val="009031C8"/>
    <w:rsid w:val="009033BB"/>
    <w:rsid w:val="00904284"/>
    <w:rsid w:val="00904929"/>
    <w:rsid w:val="00905D46"/>
    <w:rsid w:val="00906205"/>
    <w:rsid w:val="00906910"/>
    <w:rsid w:val="009073A0"/>
    <w:rsid w:val="0090797F"/>
    <w:rsid w:val="00907AE6"/>
    <w:rsid w:val="00910877"/>
    <w:rsid w:val="00910C02"/>
    <w:rsid w:val="00912538"/>
    <w:rsid w:val="0091313F"/>
    <w:rsid w:val="00913558"/>
    <w:rsid w:val="0091463F"/>
    <w:rsid w:val="00914DB1"/>
    <w:rsid w:val="009160DD"/>
    <w:rsid w:val="0091628C"/>
    <w:rsid w:val="00916768"/>
    <w:rsid w:val="00916C7E"/>
    <w:rsid w:val="00916E5D"/>
    <w:rsid w:val="00916F51"/>
    <w:rsid w:val="00920A1F"/>
    <w:rsid w:val="00920A28"/>
    <w:rsid w:val="00920CD5"/>
    <w:rsid w:val="00921BD0"/>
    <w:rsid w:val="0092215A"/>
    <w:rsid w:val="00924717"/>
    <w:rsid w:val="0092474A"/>
    <w:rsid w:val="009255B4"/>
    <w:rsid w:val="00925608"/>
    <w:rsid w:val="00925C91"/>
    <w:rsid w:val="00927293"/>
    <w:rsid w:val="009309B3"/>
    <w:rsid w:val="00930E0B"/>
    <w:rsid w:val="00930E52"/>
    <w:rsid w:val="009311ED"/>
    <w:rsid w:val="00931AD9"/>
    <w:rsid w:val="00932C81"/>
    <w:rsid w:val="009332B0"/>
    <w:rsid w:val="009336E8"/>
    <w:rsid w:val="0093371E"/>
    <w:rsid w:val="009340D6"/>
    <w:rsid w:val="00934265"/>
    <w:rsid w:val="00934724"/>
    <w:rsid w:val="00934812"/>
    <w:rsid w:val="009350CC"/>
    <w:rsid w:val="0093557C"/>
    <w:rsid w:val="0093613C"/>
    <w:rsid w:val="00936868"/>
    <w:rsid w:val="00936E5B"/>
    <w:rsid w:val="0093763F"/>
    <w:rsid w:val="009376F8"/>
    <w:rsid w:val="009402E9"/>
    <w:rsid w:val="009413B4"/>
    <w:rsid w:val="00941658"/>
    <w:rsid w:val="00941BB2"/>
    <w:rsid w:val="00941EA4"/>
    <w:rsid w:val="009427C1"/>
    <w:rsid w:val="00943618"/>
    <w:rsid w:val="009436B6"/>
    <w:rsid w:val="00944CCA"/>
    <w:rsid w:val="00944E58"/>
    <w:rsid w:val="00944FE3"/>
    <w:rsid w:val="00945141"/>
    <w:rsid w:val="00945525"/>
    <w:rsid w:val="009455F6"/>
    <w:rsid w:val="00945C0A"/>
    <w:rsid w:val="0095083A"/>
    <w:rsid w:val="00950F0E"/>
    <w:rsid w:val="0095157D"/>
    <w:rsid w:val="00951FE1"/>
    <w:rsid w:val="00953410"/>
    <w:rsid w:val="00953F25"/>
    <w:rsid w:val="00955FE9"/>
    <w:rsid w:val="009560BF"/>
    <w:rsid w:val="009570AA"/>
    <w:rsid w:val="009601BE"/>
    <w:rsid w:val="009614AA"/>
    <w:rsid w:val="00961539"/>
    <w:rsid w:val="009617CE"/>
    <w:rsid w:val="00961A18"/>
    <w:rsid w:val="00961CC1"/>
    <w:rsid w:val="00962828"/>
    <w:rsid w:val="00962EBB"/>
    <w:rsid w:val="0096339C"/>
    <w:rsid w:val="00963B3A"/>
    <w:rsid w:val="00964555"/>
    <w:rsid w:val="009663A5"/>
    <w:rsid w:val="00966D16"/>
    <w:rsid w:val="009706EA"/>
    <w:rsid w:val="009708E3"/>
    <w:rsid w:val="00970D47"/>
    <w:rsid w:val="00970DD9"/>
    <w:rsid w:val="00972569"/>
    <w:rsid w:val="009727E4"/>
    <w:rsid w:val="00972E4C"/>
    <w:rsid w:val="009732C4"/>
    <w:rsid w:val="0097424D"/>
    <w:rsid w:val="00976233"/>
    <w:rsid w:val="00983094"/>
    <w:rsid w:val="00983189"/>
    <w:rsid w:val="00983503"/>
    <w:rsid w:val="00983597"/>
    <w:rsid w:val="009844DF"/>
    <w:rsid w:val="00984985"/>
    <w:rsid w:val="00985588"/>
    <w:rsid w:val="00985F31"/>
    <w:rsid w:val="009864BE"/>
    <w:rsid w:val="009869CD"/>
    <w:rsid w:val="009878D3"/>
    <w:rsid w:val="00991596"/>
    <w:rsid w:val="0099167F"/>
    <w:rsid w:val="00991D33"/>
    <w:rsid w:val="009924E8"/>
    <w:rsid w:val="009926A5"/>
    <w:rsid w:val="00992F1A"/>
    <w:rsid w:val="009939A9"/>
    <w:rsid w:val="0099404A"/>
    <w:rsid w:val="0099440C"/>
    <w:rsid w:val="009954DE"/>
    <w:rsid w:val="00995710"/>
    <w:rsid w:val="00995A3F"/>
    <w:rsid w:val="00996068"/>
    <w:rsid w:val="009962DC"/>
    <w:rsid w:val="009968FF"/>
    <w:rsid w:val="00996A31"/>
    <w:rsid w:val="0099763C"/>
    <w:rsid w:val="0099790D"/>
    <w:rsid w:val="009979B7"/>
    <w:rsid w:val="00997EE1"/>
    <w:rsid w:val="009A0121"/>
    <w:rsid w:val="009A0765"/>
    <w:rsid w:val="009A116C"/>
    <w:rsid w:val="009A13AA"/>
    <w:rsid w:val="009A1E1F"/>
    <w:rsid w:val="009A2CD4"/>
    <w:rsid w:val="009A4A11"/>
    <w:rsid w:val="009A5429"/>
    <w:rsid w:val="009A5ADC"/>
    <w:rsid w:val="009A6615"/>
    <w:rsid w:val="009B02F2"/>
    <w:rsid w:val="009B1067"/>
    <w:rsid w:val="009B1300"/>
    <w:rsid w:val="009B194A"/>
    <w:rsid w:val="009B24BC"/>
    <w:rsid w:val="009B24ED"/>
    <w:rsid w:val="009B277F"/>
    <w:rsid w:val="009B298A"/>
    <w:rsid w:val="009B2E9C"/>
    <w:rsid w:val="009B4A68"/>
    <w:rsid w:val="009B59C9"/>
    <w:rsid w:val="009B60AF"/>
    <w:rsid w:val="009B77ED"/>
    <w:rsid w:val="009B7C4F"/>
    <w:rsid w:val="009C0C3A"/>
    <w:rsid w:val="009C1961"/>
    <w:rsid w:val="009C19E8"/>
    <w:rsid w:val="009C1F3C"/>
    <w:rsid w:val="009C25C6"/>
    <w:rsid w:val="009C2FAC"/>
    <w:rsid w:val="009C34EF"/>
    <w:rsid w:val="009C409F"/>
    <w:rsid w:val="009C4BE5"/>
    <w:rsid w:val="009C503E"/>
    <w:rsid w:val="009C50DC"/>
    <w:rsid w:val="009C581C"/>
    <w:rsid w:val="009C6ACF"/>
    <w:rsid w:val="009C7123"/>
    <w:rsid w:val="009C731C"/>
    <w:rsid w:val="009C783B"/>
    <w:rsid w:val="009D05B8"/>
    <w:rsid w:val="009D0F4C"/>
    <w:rsid w:val="009D15B0"/>
    <w:rsid w:val="009D16DE"/>
    <w:rsid w:val="009D1981"/>
    <w:rsid w:val="009D1C3D"/>
    <w:rsid w:val="009D1D54"/>
    <w:rsid w:val="009D2422"/>
    <w:rsid w:val="009D2C14"/>
    <w:rsid w:val="009D2CF4"/>
    <w:rsid w:val="009D2D90"/>
    <w:rsid w:val="009D3307"/>
    <w:rsid w:val="009D48A0"/>
    <w:rsid w:val="009D5071"/>
    <w:rsid w:val="009D5627"/>
    <w:rsid w:val="009D5BA8"/>
    <w:rsid w:val="009D6CE4"/>
    <w:rsid w:val="009D70CB"/>
    <w:rsid w:val="009D77CA"/>
    <w:rsid w:val="009D7FA2"/>
    <w:rsid w:val="009E0595"/>
    <w:rsid w:val="009E06F2"/>
    <w:rsid w:val="009E0F90"/>
    <w:rsid w:val="009E1130"/>
    <w:rsid w:val="009E197D"/>
    <w:rsid w:val="009E203B"/>
    <w:rsid w:val="009E235F"/>
    <w:rsid w:val="009E2E65"/>
    <w:rsid w:val="009E2F58"/>
    <w:rsid w:val="009E2F83"/>
    <w:rsid w:val="009E3069"/>
    <w:rsid w:val="009E38BC"/>
    <w:rsid w:val="009E3954"/>
    <w:rsid w:val="009E477F"/>
    <w:rsid w:val="009E50DA"/>
    <w:rsid w:val="009E5493"/>
    <w:rsid w:val="009E55DC"/>
    <w:rsid w:val="009E61EA"/>
    <w:rsid w:val="009E6566"/>
    <w:rsid w:val="009E75BF"/>
    <w:rsid w:val="009F161B"/>
    <w:rsid w:val="009F1A53"/>
    <w:rsid w:val="009F2C93"/>
    <w:rsid w:val="009F36DD"/>
    <w:rsid w:val="009F3920"/>
    <w:rsid w:val="009F3B96"/>
    <w:rsid w:val="009F42B2"/>
    <w:rsid w:val="009F45F6"/>
    <w:rsid w:val="009F4CBE"/>
    <w:rsid w:val="009F5290"/>
    <w:rsid w:val="009F5949"/>
    <w:rsid w:val="009F5A38"/>
    <w:rsid w:val="009F5C23"/>
    <w:rsid w:val="009F6595"/>
    <w:rsid w:val="009F743C"/>
    <w:rsid w:val="009F7506"/>
    <w:rsid w:val="009F7931"/>
    <w:rsid w:val="00A00369"/>
    <w:rsid w:val="00A00722"/>
    <w:rsid w:val="00A010CB"/>
    <w:rsid w:val="00A010CC"/>
    <w:rsid w:val="00A0157E"/>
    <w:rsid w:val="00A022BD"/>
    <w:rsid w:val="00A031EF"/>
    <w:rsid w:val="00A051C7"/>
    <w:rsid w:val="00A05672"/>
    <w:rsid w:val="00A05FAA"/>
    <w:rsid w:val="00A06ECD"/>
    <w:rsid w:val="00A10528"/>
    <w:rsid w:val="00A10A37"/>
    <w:rsid w:val="00A11067"/>
    <w:rsid w:val="00A118E7"/>
    <w:rsid w:val="00A1247C"/>
    <w:rsid w:val="00A127F8"/>
    <w:rsid w:val="00A12A09"/>
    <w:rsid w:val="00A12B91"/>
    <w:rsid w:val="00A12F90"/>
    <w:rsid w:val="00A13F09"/>
    <w:rsid w:val="00A14821"/>
    <w:rsid w:val="00A14EEC"/>
    <w:rsid w:val="00A15A42"/>
    <w:rsid w:val="00A166C6"/>
    <w:rsid w:val="00A16826"/>
    <w:rsid w:val="00A17F93"/>
    <w:rsid w:val="00A21046"/>
    <w:rsid w:val="00A217F1"/>
    <w:rsid w:val="00A21BE8"/>
    <w:rsid w:val="00A21C2A"/>
    <w:rsid w:val="00A22337"/>
    <w:rsid w:val="00A22686"/>
    <w:rsid w:val="00A23015"/>
    <w:rsid w:val="00A23BAD"/>
    <w:rsid w:val="00A2442B"/>
    <w:rsid w:val="00A248D5"/>
    <w:rsid w:val="00A2553C"/>
    <w:rsid w:val="00A256A5"/>
    <w:rsid w:val="00A25D36"/>
    <w:rsid w:val="00A26A77"/>
    <w:rsid w:val="00A26DF5"/>
    <w:rsid w:val="00A278F9"/>
    <w:rsid w:val="00A30C8B"/>
    <w:rsid w:val="00A30DE0"/>
    <w:rsid w:val="00A31C30"/>
    <w:rsid w:val="00A32D6E"/>
    <w:rsid w:val="00A333E1"/>
    <w:rsid w:val="00A33918"/>
    <w:rsid w:val="00A340A8"/>
    <w:rsid w:val="00A34593"/>
    <w:rsid w:val="00A34C71"/>
    <w:rsid w:val="00A34E04"/>
    <w:rsid w:val="00A35411"/>
    <w:rsid w:val="00A35A72"/>
    <w:rsid w:val="00A35BF0"/>
    <w:rsid w:val="00A35C0C"/>
    <w:rsid w:val="00A36BBD"/>
    <w:rsid w:val="00A36BDA"/>
    <w:rsid w:val="00A37D41"/>
    <w:rsid w:val="00A4017C"/>
    <w:rsid w:val="00A402C5"/>
    <w:rsid w:val="00A40338"/>
    <w:rsid w:val="00A407CD"/>
    <w:rsid w:val="00A40EB3"/>
    <w:rsid w:val="00A40ED5"/>
    <w:rsid w:val="00A42E63"/>
    <w:rsid w:val="00A43536"/>
    <w:rsid w:val="00A448C1"/>
    <w:rsid w:val="00A44973"/>
    <w:rsid w:val="00A46166"/>
    <w:rsid w:val="00A5032F"/>
    <w:rsid w:val="00A5075E"/>
    <w:rsid w:val="00A51CBE"/>
    <w:rsid w:val="00A51D48"/>
    <w:rsid w:val="00A52A2C"/>
    <w:rsid w:val="00A53428"/>
    <w:rsid w:val="00A545C0"/>
    <w:rsid w:val="00A54939"/>
    <w:rsid w:val="00A54FA9"/>
    <w:rsid w:val="00A55149"/>
    <w:rsid w:val="00A555AE"/>
    <w:rsid w:val="00A563B6"/>
    <w:rsid w:val="00A570C2"/>
    <w:rsid w:val="00A57BFC"/>
    <w:rsid w:val="00A57D42"/>
    <w:rsid w:val="00A60B1B"/>
    <w:rsid w:val="00A60B51"/>
    <w:rsid w:val="00A60C19"/>
    <w:rsid w:val="00A639F4"/>
    <w:rsid w:val="00A63DE6"/>
    <w:rsid w:val="00A64FB6"/>
    <w:rsid w:val="00A65089"/>
    <w:rsid w:val="00A654DB"/>
    <w:rsid w:val="00A659AE"/>
    <w:rsid w:val="00A65C35"/>
    <w:rsid w:val="00A669DB"/>
    <w:rsid w:val="00A66DC8"/>
    <w:rsid w:val="00A6766A"/>
    <w:rsid w:val="00A67FBD"/>
    <w:rsid w:val="00A70358"/>
    <w:rsid w:val="00A70942"/>
    <w:rsid w:val="00A712A4"/>
    <w:rsid w:val="00A72CCC"/>
    <w:rsid w:val="00A72E74"/>
    <w:rsid w:val="00A731B2"/>
    <w:rsid w:val="00A7503C"/>
    <w:rsid w:val="00A75352"/>
    <w:rsid w:val="00A75A1E"/>
    <w:rsid w:val="00A76AE9"/>
    <w:rsid w:val="00A76D09"/>
    <w:rsid w:val="00A77531"/>
    <w:rsid w:val="00A804C4"/>
    <w:rsid w:val="00A8066D"/>
    <w:rsid w:val="00A80AB4"/>
    <w:rsid w:val="00A81BDA"/>
    <w:rsid w:val="00A820ED"/>
    <w:rsid w:val="00A8266B"/>
    <w:rsid w:val="00A84187"/>
    <w:rsid w:val="00A84560"/>
    <w:rsid w:val="00A84B5A"/>
    <w:rsid w:val="00A85288"/>
    <w:rsid w:val="00A8570A"/>
    <w:rsid w:val="00A8672C"/>
    <w:rsid w:val="00A86845"/>
    <w:rsid w:val="00A873E2"/>
    <w:rsid w:val="00A875D7"/>
    <w:rsid w:val="00A87B31"/>
    <w:rsid w:val="00A90201"/>
    <w:rsid w:val="00A90898"/>
    <w:rsid w:val="00A90A7B"/>
    <w:rsid w:val="00A90F3E"/>
    <w:rsid w:val="00A9118C"/>
    <w:rsid w:val="00A91F5E"/>
    <w:rsid w:val="00A922E4"/>
    <w:rsid w:val="00A92FBC"/>
    <w:rsid w:val="00A93917"/>
    <w:rsid w:val="00A93F66"/>
    <w:rsid w:val="00A94010"/>
    <w:rsid w:val="00A94606"/>
    <w:rsid w:val="00A94898"/>
    <w:rsid w:val="00A9523B"/>
    <w:rsid w:val="00A9638C"/>
    <w:rsid w:val="00A972BB"/>
    <w:rsid w:val="00A97A09"/>
    <w:rsid w:val="00AA0192"/>
    <w:rsid w:val="00AA03ED"/>
    <w:rsid w:val="00AA0BE6"/>
    <w:rsid w:val="00AA0D36"/>
    <w:rsid w:val="00AA0D4A"/>
    <w:rsid w:val="00AA1045"/>
    <w:rsid w:val="00AA10BB"/>
    <w:rsid w:val="00AA1996"/>
    <w:rsid w:val="00AA1B93"/>
    <w:rsid w:val="00AA252F"/>
    <w:rsid w:val="00AA2AE8"/>
    <w:rsid w:val="00AA2F95"/>
    <w:rsid w:val="00AA508B"/>
    <w:rsid w:val="00AA5407"/>
    <w:rsid w:val="00AA5AF7"/>
    <w:rsid w:val="00AA628E"/>
    <w:rsid w:val="00AA6A38"/>
    <w:rsid w:val="00AA7866"/>
    <w:rsid w:val="00AB11E3"/>
    <w:rsid w:val="00AB2213"/>
    <w:rsid w:val="00AB2B01"/>
    <w:rsid w:val="00AB4BAB"/>
    <w:rsid w:val="00AB5994"/>
    <w:rsid w:val="00AB5EBC"/>
    <w:rsid w:val="00AC022F"/>
    <w:rsid w:val="00AC0C01"/>
    <w:rsid w:val="00AC0CCA"/>
    <w:rsid w:val="00AC1F0C"/>
    <w:rsid w:val="00AC2A09"/>
    <w:rsid w:val="00AC2BC9"/>
    <w:rsid w:val="00AC2FC3"/>
    <w:rsid w:val="00AC31ED"/>
    <w:rsid w:val="00AC33D5"/>
    <w:rsid w:val="00AC3818"/>
    <w:rsid w:val="00AC3E62"/>
    <w:rsid w:val="00AC44BF"/>
    <w:rsid w:val="00AC4896"/>
    <w:rsid w:val="00AC498A"/>
    <w:rsid w:val="00AC4B14"/>
    <w:rsid w:val="00AC6AFD"/>
    <w:rsid w:val="00AC7315"/>
    <w:rsid w:val="00AC7D97"/>
    <w:rsid w:val="00AC7FE1"/>
    <w:rsid w:val="00AD0079"/>
    <w:rsid w:val="00AD1AAA"/>
    <w:rsid w:val="00AD2010"/>
    <w:rsid w:val="00AD2689"/>
    <w:rsid w:val="00AD3271"/>
    <w:rsid w:val="00AD4133"/>
    <w:rsid w:val="00AD57E1"/>
    <w:rsid w:val="00AD58EA"/>
    <w:rsid w:val="00AD5B25"/>
    <w:rsid w:val="00AD6006"/>
    <w:rsid w:val="00AD62E5"/>
    <w:rsid w:val="00AD6ED6"/>
    <w:rsid w:val="00AD70E3"/>
    <w:rsid w:val="00AD73A3"/>
    <w:rsid w:val="00AD7561"/>
    <w:rsid w:val="00AE09AB"/>
    <w:rsid w:val="00AE1636"/>
    <w:rsid w:val="00AE1A67"/>
    <w:rsid w:val="00AE20FB"/>
    <w:rsid w:val="00AE2A34"/>
    <w:rsid w:val="00AE333A"/>
    <w:rsid w:val="00AE39AC"/>
    <w:rsid w:val="00AE4130"/>
    <w:rsid w:val="00AE4477"/>
    <w:rsid w:val="00AE5545"/>
    <w:rsid w:val="00AE5949"/>
    <w:rsid w:val="00AE64CA"/>
    <w:rsid w:val="00AE68C2"/>
    <w:rsid w:val="00AE6D26"/>
    <w:rsid w:val="00AE6DDC"/>
    <w:rsid w:val="00AE6E5B"/>
    <w:rsid w:val="00AE70CE"/>
    <w:rsid w:val="00AF058A"/>
    <w:rsid w:val="00AF12BB"/>
    <w:rsid w:val="00AF1C86"/>
    <w:rsid w:val="00AF254B"/>
    <w:rsid w:val="00AF2DC1"/>
    <w:rsid w:val="00AF3EDE"/>
    <w:rsid w:val="00AF41FD"/>
    <w:rsid w:val="00AF4E5C"/>
    <w:rsid w:val="00AF5A2D"/>
    <w:rsid w:val="00AF5A4E"/>
    <w:rsid w:val="00AF6060"/>
    <w:rsid w:val="00AF70B4"/>
    <w:rsid w:val="00AF7ADA"/>
    <w:rsid w:val="00AF7F83"/>
    <w:rsid w:val="00AF7FBD"/>
    <w:rsid w:val="00B00159"/>
    <w:rsid w:val="00B009DA"/>
    <w:rsid w:val="00B017D7"/>
    <w:rsid w:val="00B01A7E"/>
    <w:rsid w:val="00B01D08"/>
    <w:rsid w:val="00B020E0"/>
    <w:rsid w:val="00B021DA"/>
    <w:rsid w:val="00B025B7"/>
    <w:rsid w:val="00B02823"/>
    <w:rsid w:val="00B03D92"/>
    <w:rsid w:val="00B041F6"/>
    <w:rsid w:val="00B045BD"/>
    <w:rsid w:val="00B045C0"/>
    <w:rsid w:val="00B04AA0"/>
    <w:rsid w:val="00B0578A"/>
    <w:rsid w:val="00B058FD"/>
    <w:rsid w:val="00B06001"/>
    <w:rsid w:val="00B064C3"/>
    <w:rsid w:val="00B0698D"/>
    <w:rsid w:val="00B06B69"/>
    <w:rsid w:val="00B07560"/>
    <w:rsid w:val="00B07A0C"/>
    <w:rsid w:val="00B07B7D"/>
    <w:rsid w:val="00B07D97"/>
    <w:rsid w:val="00B1001F"/>
    <w:rsid w:val="00B10B80"/>
    <w:rsid w:val="00B1192A"/>
    <w:rsid w:val="00B11FD0"/>
    <w:rsid w:val="00B12158"/>
    <w:rsid w:val="00B125DC"/>
    <w:rsid w:val="00B130C0"/>
    <w:rsid w:val="00B1346F"/>
    <w:rsid w:val="00B1392C"/>
    <w:rsid w:val="00B13D3D"/>
    <w:rsid w:val="00B14DA3"/>
    <w:rsid w:val="00B15343"/>
    <w:rsid w:val="00B15AA8"/>
    <w:rsid w:val="00B16046"/>
    <w:rsid w:val="00B16EBB"/>
    <w:rsid w:val="00B1752D"/>
    <w:rsid w:val="00B17D4D"/>
    <w:rsid w:val="00B20CCB"/>
    <w:rsid w:val="00B21ACB"/>
    <w:rsid w:val="00B2216E"/>
    <w:rsid w:val="00B23104"/>
    <w:rsid w:val="00B2310E"/>
    <w:rsid w:val="00B2458E"/>
    <w:rsid w:val="00B24815"/>
    <w:rsid w:val="00B24C84"/>
    <w:rsid w:val="00B2509F"/>
    <w:rsid w:val="00B2546F"/>
    <w:rsid w:val="00B25A14"/>
    <w:rsid w:val="00B25CE1"/>
    <w:rsid w:val="00B25D38"/>
    <w:rsid w:val="00B25E5F"/>
    <w:rsid w:val="00B26184"/>
    <w:rsid w:val="00B26345"/>
    <w:rsid w:val="00B27115"/>
    <w:rsid w:val="00B27486"/>
    <w:rsid w:val="00B277A6"/>
    <w:rsid w:val="00B3014D"/>
    <w:rsid w:val="00B30C78"/>
    <w:rsid w:val="00B31424"/>
    <w:rsid w:val="00B31916"/>
    <w:rsid w:val="00B3192E"/>
    <w:rsid w:val="00B31F09"/>
    <w:rsid w:val="00B32DBF"/>
    <w:rsid w:val="00B33065"/>
    <w:rsid w:val="00B34395"/>
    <w:rsid w:val="00B344C4"/>
    <w:rsid w:val="00B34BFE"/>
    <w:rsid w:val="00B36EC8"/>
    <w:rsid w:val="00B3708D"/>
    <w:rsid w:val="00B3758D"/>
    <w:rsid w:val="00B37712"/>
    <w:rsid w:val="00B377A1"/>
    <w:rsid w:val="00B41662"/>
    <w:rsid w:val="00B41997"/>
    <w:rsid w:val="00B41EF9"/>
    <w:rsid w:val="00B41EFB"/>
    <w:rsid w:val="00B41F7A"/>
    <w:rsid w:val="00B4294F"/>
    <w:rsid w:val="00B42D19"/>
    <w:rsid w:val="00B4364A"/>
    <w:rsid w:val="00B4386F"/>
    <w:rsid w:val="00B45C2C"/>
    <w:rsid w:val="00B47434"/>
    <w:rsid w:val="00B47A83"/>
    <w:rsid w:val="00B501A0"/>
    <w:rsid w:val="00B50BEF"/>
    <w:rsid w:val="00B518CA"/>
    <w:rsid w:val="00B5240B"/>
    <w:rsid w:val="00B52495"/>
    <w:rsid w:val="00B528D5"/>
    <w:rsid w:val="00B5304B"/>
    <w:rsid w:val="00B53E48"/>
    <w:rsid w:val="00B53FD6"/>
    <w:rsid w:val="00B543DC"/>
    <w:rsid w:val="00B55250"/>
    <w:rsid w:val="00B555C8"/>
    <w:rsid w:val="00B55D7A"/>
    <w:rsid w:val="00B55E25"/>
    <w:rsid w:val="00B55F32"/>
    <w:rsid w:val="00B565C4"/>
    <w:rsid w:val="00B56905"/>
    <w:rsid w:val="00B618D7"/>
    <w:rsid w:val="00B62781"/>
    <w:rsid w:val="00B62E80"/>
    <w:rsid w:val="00B63F2D"/>
    <w:rsid w:val="00B644F8"/>
    <w:rsid w:val="00B645FE"/>
    <w:rsid w:val="00B64918"/>
    <w:rsid w:val="00B64EFA"/>
    <w:rsid w:val="00B679D7"/>
    <w:rsid w:val="00B67AA9"/>
    <w:rsid w:val="00B67AE2"/>
    <w:rsid w:val="00B713CE"/>
    <w:rsid w:val="00B71788"/>
    <w:rsid w:val="00B71F94"/>
    <w:rsid w:val="00B72B9C"/>
    <w:rsid w:val="00B75A0F"/>
    <w:rsid w:val="00B76284"/>
    <w:rsid w:val="00B7648D"/>
    <w:rsid w:val="00B772F6"/>
    <w:rsid w:val="00B7738C"/>
    <w:rsid w:val="00B80086"/>
    <w:rsid w:val="00B80634"/>
    <w:rsid w:val="00B80D8A"/>
    <w:rsid w:val="00B83A36"/>
    <w:rsid w:val="00B83AED"/>
    <w:rsid w:val="00B84237"/>
    <w:rsid w:val="00B84974"/>
    <w:rsid w:val="00B852FA"/>
    <w:rsid w:val="00B85B3C"/>
    <w:rsid w:val="00B86AA6"/>
    <w:rsid w:val="00B86B31"/>
    <w:rsid w:val="00B86B6C"/>
    <w:rsid w:val="00B93931"/>
    <w:rsid w:val="00B93934"/>
    <w:rsid w:val="00B957B9"/>
    <w:rsid w:val="00B9593A"/>
    <w:rsid w:val="00B96322"/>
    <w:rsid w:val="00B9717C"/>
    <w:rsid w:val="00B97436"/>
    <w:rsid w:val="00B97594"/>
    <w:rsid w:val="00B97966"/>
    <w:rsid w:val="00BA03F7"/>
    <w:rsid w:val="00BA081C"/>
    <w:rsid w:val="00BA096C"/>
    <w:rsid w:val="00BA0AAA"/>
    <w:rsid w:val="00BA0B6F"/>
    <w:rsid w:val="00BA1602"/>
    <w:rsid w:val="00BA1AC7"/>
    <w:rsid w:val="00BA22F3"/>
    <w:rsid w:val="00BA2525"/>
    <w:rsid w:val="00BA2CCF"/>
    <w:rsid w:val="00BA313B"/>
    <w:rsid w:val="00BA47D1"/>
    <w:rsid w:val="00BA48C5"/>
    <w:rsid w:val="00BA5B7C"/>
    <w:rsid w:val="00BA61AC"/>
    <w:rsid w:val="00BA6378"/>
    <w:rsid w:val="00BA6E60"/>
    <w:rsid w:val="00BA73BD"/>
    <w:rsid w:val="00BA755F"/>
    <w:rsid w:val="00BA7B58"/>
    <w:rsid w:val="00BA7FF0"/>
    <w:rsid w:val="00BB0594"/>
    <w:rsid w:val="00BB0AE1"/>
    <w:rsid w:val="00BB0EDC"/>
    <w:rsid w:val="00BB1AE2"/>
    <w:rsid w:val="00BB232B"/>
    <w:rsid w:val="00BB2461"/>
    <w:rsid w:val="00BB3843"/>
    <w:rsid w:val="00BB3F8A"/>
    <w:rsid w:val="00BB52C9"/>
    <w:rsid w:val="00BB5751"/>
    <w:rsid w:val="00BB5D1E"/>
    <w:rsid w:val="00BB6585"/>
    <w:rsid w:val="00BB799A"/>
    <w:rsid w:val="00BB7BF2"/>
    <w:rsid w:val="00BC008D"/>
    <w:rsid w:val="00BC02D6"/>
    <w:rsid w:val="00BC0352"/>
    <w:rsid w:val="00BC04E5"/>
    <w:rsid w:val="00BC0609"/>
    <w:rsid w:val="00BC1A4B"/>
    <w:rsid w:val="00BC1AB5"/>
    <w:rsid w:val="00BC1B08"/>
    <w:rsid w:val="00BC1D89"/>
    <w:rsid w:val="00BC29BC"/>
    <w:rsid w:val="00BC2A58"/>
    <w:rsid w:val="00BC2D14"/>
    <w:rsid w:val="00BC344E"/>
    <w:rsid w:val="00BC367B"/>
    <w:rsid w:val="00BC4D51"/>
    <w:rsid w:val="00BC5626"/>
    <w:rsid w:val="00BC5C4F"/>
    <w:rsid w:val="00BC6E8E"/>
    <w:rsid w:val="00BC761A"/>
    <w:rsid w:val="00BC7787"/>
    <w:rsid w:val="00BC790F"/>
    <w:rsid w:val="00BD0F98"/>
    <w:rsid w:val="00BD123E"/>
    <w:rsid w:val="00BD191E"/>
    <w:rsid w:val="00BD2984"/>
    <w:rsid w:val="00BD51B1"/>
    <w:rsid w:val="00BD6636"/>
    <w:rsid w:val="00BD7D14"/>
    <w:rsid w:val="00BE0B7C"/>
    <w:rsid w:val="00BE11B0"/>
    <w:rsid w:val="00BE1449"/>
    <w:rsid w:val="00BE24C9"/>
    <w:rsid w:val="00BE34BD"/>
    <w:rsid w:val="00BE4377"/>
    <w:rsid w:val="00BE450C"/>
    <w:rsid w:val="00BE5557"/>
    <w:rsid w:val="00BE6830"/>
    <w:rsid w:val="00BE737F"/>
    <w:rsid w:val="00BE7B5A"/>
    <w:rsid w:val="00BE7C8D"/>
    <w:rsid w:val="00BF0190"/>
    <w:rsid w:val="00BF0448"/>
    <w:rsid w:val="00BF0680"/>
    <w:rsid w:val="00BF0899"/>
    <w:rsid w:val="00BF2243"/>
    <w:rsid w:val="00BF290D"/>
    <w:rsid w:val="00BF3E02"/>
    <w:rsid w:val="00BF437E"/>
    <w:rsid w:val="00BF500A"/>
    <w:rsid w:val="00BF52C7"/>
    <w:rsid w:val="00BF55A6"/>
    <w:rsid w:val="00BF5802"/>
    <w:rsid w:val="00BF5C05"/>
    <w:rsid w:val="00BF682E"/>
    <w:rsid w:val="00C00056"/>
    <w:rsid w:val="00C00900"/>
    <w:rsid w:val="00C01279"/>
    <w:rsid w:val="00C01F01"/>
    <w:rsid w:val="00C03B90"/>
    <w:rsid w:val="00C03FB9"/>
    <w:rsid w:val="00C04130"/>
    <w:rsid w:val="00C04BE4"/>
    <w:rsid w:val="00C04D65"/>
    <w:rsid w:val="00C04E2E"/>
    <w:rsid w:val="00C05C3C"/>
    <w:rsid w:val="00C05FF2"/>
    <w:rsid w:val="00C0636E"/>
    <w:rsid w:val="00C06A01"/>
    <w:rsid w:val="00C0756D"/>
    <w:rsid w:val="00C0757B"/>
    <w:rsid w:val="00C0781E"/>
    <w:rsid w:val="00C07FF1"/>
    <w:rsid w:val="00C10499"/>
    <w:rsid w:val="00C10804"/>
    <w:rsid w:val="00C1104A"/>
    <w:rsid w:val="00C11551"/>
    <w:rsid w:val="00C11BE4"/>
    <w:rsid w:val="00C12FAF"/>
    <w:rsid w:val="00C13166"/>
    <w:rsid w:val="00C1324E"/>
    <w:rsid w:val="00C135F4"/>
    <w:rsid w:val="00C13F5E"/>
    <w:rsid w:val="00C13FA9"/>
    <w:rsid w:val="00C14436"/>
    <w:rsid w:val="00C14821"/>
    <w:rsid w:val="00C152AE"/>
    <w:rsid w:val="00C157B7"/>
    <w:rsid w:val="00C169DC"/>
    <w:rsid w:val="00C2038F"/>
    <w:rsid w:val="00C20614"/>
    <w:rsid w:val="00C209BE"/>
    <w:rsid w:val="00C20E2C"/>
    <w:rsid w:val="00C2131D"/>
    <w:rsid w:val="00C222A7"/>
    <w:rsid w:val="00C2253D"/>
    <w:rsid w:val="00C22B91"/>
    <w:rsid w:val="00C22BF6"/>
    <w:rsid w:val="00C23EBA"/>
    <w:rsid w:val="00C240BA"/>
    <w:rsid w:val="00C2515E"/>
    <w:rsid w:val="00C261BA"/>
    <w:rsid w:val="00C268ED"/>
    <w:rsid w:val="00C27020"/>
    <w:rsid w:val="00C272CA"/>
    <w:rsid w:val="00C277EE"/>
    <w:rsid w:val="00C278AB"/>
    <w:rsid w:val="00C27AEA"/>
    <w:rsid w:val="00C27EAD"/>
    <w:rsid w:val="00C30A28"/>
    <w:rsid w:val="00C30FF9"/>
    <w:rsid w:val="00C321DA"/>
    <w:rsid w:val="00C32665"/>
    <w:rsid w:val="00C33676"/>
    <w:rsid w:val="00C3568E"/>
    <w:rsid w:val="00C358D0"/>
    <w:rsid w:val="00C3598B"/>
    <w:rsid w:val="00C3689D"/>
    <w:rsid w:val="00C368AD"/>
    <w:rsid w:val="00C37DBB"/>
    <w:rsid w:val="00C408BA"/>
    <w:rsid w:val="00C419C4"/>
    <w:rsid w:val="00C41F05"/>
    <w:rsid w:val="00C420F3"/>
    <w:rsid w:val="00C4211B"/>
    <w:rsid w:val="00C423A6"/>
    <w:rsid w:val="00C429CF"/>
    <w:rsid w:val="00C42ED1"/>
    <w:rsid w:val="00C4329A"/>
    <w:rsid w:val="00C44EF8"/>
    <w:rsid w:val="00C45367"/>
    <w:rsid w:val="00C45DCB"/>
    <w:rsid w:val="00C462D2"/>
    <w:rsid w:val="00C463CD"/>
    <w:rsid w:val="00C468B1"/>
    <w:rsid w:val="00C46A0F"/>
    <w:rsid w:val="00C46A4D"/>
    <w:rsid w:val="00C4757B"/>
    <w:rsid w:val="00C4779C"/>
    <w:rsid w:val="00C47F94"/>
    <w:rsid w:val="00C507FB"/>
    <w:rsid w:val="00C50B36"/>
    <w:rsid w:val="00C50EA0"/>
    <w:rsid w:val="00C50F6C"/>
    <w:rsid w:val="00C51055"/>
    <w:rsid w:val="00C514ED"/>
    <w:rsid w:val="00C51BD2"/>
    <w:rsid w:val="00C51EA6"/>
    <w:rsid w:val="00C52B67"/>
    <w:rsid w:val="00C5305D"/>
    <w:rsid w:val="00C530AA"/>
    <w:rsid w:val="00C53141"/>
    <w:rsid w:val="00C53880"/>
    <w:rsid w:val="00C53F1E"/>
    <w:rsid w:val="00C54210"/>
    <w:rsid w:val="00C544F0"/>
    <w:rsid w:val="00C54CFF"/>
    <w:rsid w:val="00C553FF"/>
    <w:rsid w:val="00C56BBF"/>
    <w:rsid w:val="00C60219"/>
    <w:rsid w:val="00C6037C"/>
    <w:rsid w:val="00C6047F"/>
    <w:rsid w:val="00C611E8"/>
    <w:rsid w:val="00C616A5"/>
    <w:rsid w:val="00C62692"/>
    <w:rsid w:val="00C62A1A"/>
    <w:rsid w:val="00C63DE1"/>
    <w:rsid w:val="00C641D3"/>
    <w:rsid w:val="00C65745"/>
    <w:rsid w:val="00C65B11"/>
    <w:rsid w:val="00C65E66"/>
    <w:rsid w:val="00C66957"/>
    <w:rsid w:val="00C70B53"/>
    <w:rsid w:val="00C70F87"/>
    <w:rsid w:val="00C71D3F"/>
    <w:rsid w:val="00C72178"/>
    <w:rsid w:val="00C723DE"/>
    <w:rsid w:val="00C73037"/>
    <w:rsid w:val="00C731DD"/>
    <w:rsid w:val="00C73598"/>
    <w:rsid w:val="00C73EA2"/>
    <w:rsid w:val="00C74011"/>
    <w:rsid w:val="00C74A11"/>
    <w:rsid w:val="00C74B72"/>
    <w:rsid w:val="00C74E0A"/>
    <w:rsid w:val="00C74E35"/>
    <w:rsid w:val="00C765FD"/>
    <w:rsid w:val="00C76622"/>
    <w:rsid w:val="00C769AD"/>
    <w:rsid w:val="00C76A57"/>
    <w:rsid w:val="00C7725F"/>
    <w:rsid w:val="00C77389"/>
    <w:rsid w:val="00C773B1"/>
    <w:rsid w:val="00C773E8"/>
    <w:rsid w:val="00C77BCE"/>
    <w:rsid w:val="00C77F51"/>
    <w:rsid w:val="00C804C6"/>
    <w:rsid w:val="00C807E8"/>
    <w:rsid w:val="00C80C96"/>
    <w:rsid w:val="00C818FB"/>
    <w:rsid w:val="00C827F3"/>
    <w:rsid w:val="00C837A5"/>
    <w:rsid w:val="00C84942"/>
    <w:rsid w:val="00C84A34"/>
    <w:rsid w:val="00C85592"/>
    <w:rsid w:val="00C86EE9"/>
    <w:rsid w:val="00C871AA"/>
    <w:rsid w:val="00C878E0"/>
    <w:rsid w:val="00C87DBB"/>
    <w:rsid w:val="00C901CE"/>
    <w:rsid w:val="00C901DE"/>
    <w:rsid w:val="00C90CA1"/>
    <w:rsid w:val="00C9129B"/>
    <w:rsid w:val="00C91B71"/>
    <w:rsid w:val="00C91F53"/>
    <w:rsid w:val="00C9217A"/>
    <w:rsid w:val="00C92A97"/>
    <w:rsid w:val="00C92BDA"/>
    <w:rsid w:val="00C93292"/>
    <w:rsid w:val="00C942BB"/>
    <w:rsid w:val="00C953C4"/>
    <w:rsid w:val="00C9541F"/>
    <w:rsid w:val="00C954E1"/>
    <w:rsid w:val="00C95ECF"/>
    <w:rsid w:val="00C968CA"/>
    <w:rsid w:val="00C968F6"/>
    <w:rsid w:val="00C969F9"/>
    <w:rsid w:val="00C96F38"/>
    <w:rsid w:val="00C9750E"/>
    <w:rsid w:val="00CA03A6"/>
    <w:rsid w:val="00CA064D"/>
    <w:rsid w:val="00CA1C74"/>
    <w:rsid w:val="00CA21B8"/>
    <w:rsid w:val="00CA4A26"/>
    <w:rsid w:val="00CA57E8"/>
    <w:rsid w:val="00CA58B6"/>
    <w:rsid w:val="00CA5E2A"/>
    <w:rsid w:val="00CA60D4"/>
    <w:rsid w:val="00CA6BAC"/>
    <w:rsid w:val="00CA6D21"/>
    <w:rsid w:val="00CA6D49"/>
    <w:rsid w:val="00CA7F44"/>
    <w:rsid w:val="00CB1708"/>
    <w:rsid w:val="00CB19FA"/>
    <w:rsid w:val="00CB1ABC"/>
    <w:rsid w:val="00CB2EDB"/>
    <w:rsid w:val="00CB33E2"/>
    <w:rsid w:val="00CB3BEC"/>
    <w:rsid w:val="00CB3CBA"/>
    <w:rsid w:val="00CB4196"/>
    <w:rsid w:val="00CB5093"/>
    <w:rsid w:val="00CB57BA"/>
    <w:rsid w:val="00CB5842"/>
    <w:rsid w:val="00CB58A2"/>
    <w:rsid w:val="00CB5D5E"/>
    <w:rsid w:val="00CB5F23"/>
    <w:rsid w:val="00CB6345"/>
    <w:rsid w:val="00CB7A3C"/>
    <w:rsid w:val="00CC01EE"/>
    <w:rsid w:val="00CC03EE"/>
    <w:rsid w:val="00CC04E9"/>
    <w:rsid w:val="00CC0893"/>
    <w:rsid w:val="00CC0E71"/>
    <w:rsid w:val="00CC271A"/>
    <w:rsid w:val="00CC2DBD"/>
    <w:rsid w:val="00CC3170"/>
    <w:rsid w:val="00CC3602"/>
    <w:rsid w:val="00CC3B57"/>
    <w:rsid w:val="00CC3CA0"/>
    <w:rsid w:val="00CC460F"/>
    <w:rsid w:val="00CC4C58"/>
    <w:rsid w:val="00CC4D05"/>
    <w:rsid w:val="00CC4D6E"/>
    <w:rsid w:val="00CC55A9"/>
    <w:rsid w:val="00CC58FB"/>
    <w:rsid w:val="00CC5ABB"/>
    <w:rsid w:val="00CC72DB"/>
    <w:rsid w:val="00CC7B0B"/>
    <w:rsid w:val="00CD029A"/>
    <w:rsid w:val="00CD0CAD"/>
    <w:rsid w:val="00CD0D56"/>
    <w:rsid w:val="00CD1589"/>
    <w:rsid w:val="00CD2374"/>
    <w:rsid w:val="00CD2383"/>
    <w:rsid w:val="00CD25A4"/>
    <w:rsid w:val="00CD26B3"/>
    <w:rsid w:val="00CD29C4"/>
    <w:rsid w:val="00CD2A67"/>
    <w:rsid w:val="00CD31E2"/>
    <w:rsid w:val="00CD3887"/>
    <w:rsid w:val="00CD4224"/>
    <w:rsid w:val="00CD44CB"/>
    <w:rsid w:val="00CD4999"/>
    <w:rsid w:val="00CD4B94"/>
    <w:rsid w:val="00CD4C11"/>
    <w:rsid w:val="00CD61E5"/>
    <w:rsid w:val="00CD7AFC"/>
    <w:rsid w:val="00CE038E"/>
    <w:rsid w:val="00CE0451"/>
    <w:rsid w:val="00CE07E1"/>
    <w:rsid w:val="00CE08A0"/>
    <w:rsid w:val="00CE1198"/>
    <w:rsid w:val="00CE24CF"/>
    <w:rsid w:val="00CE2AC3"/>
    <w:rsid w:val="00CE3A53"/>
    <w:rsid w:val="00CE3DAC"/>
    <w:rsid w:val="00CE41CB"/>
    <w:rsid w:val="00CE448B"/>
    <w:rsid w:val="00CE466D"/>
    <w:rsid w:val="00CE5275"/>
    <w:rsid w:val="00CE6721"/>
    <w:rsid w:val="00CE6B5F"/>
    <w:rsid w:val="00CE7AC4"/>
    <w:rsid w:val="00CE7AE0"/>
    <w:rsid w:val="00CF14D2"/>
    <w:rsid w:val="00CF19E9"/>
    <w:rsid w:val="00CF2F99"/>
    <w:rsid w:val="00CF3604"/>
    <w:rsid w:val="00CF3680"/>
    <w:rsid w:val="00CF3929"/>
    <w:rsid w:val="00CF44F1"/>
    <w:rsid w:val="00CF45E3"/>
    <w:rsid w:val="00CF4742"/>
    <w:rsid w:val="00CF475D"/>
    <w:rsid w:val="00CF6782"/>
    <w:rsid w:val="00CF6911"/>
    <w:rsid w:val="00CF73F8"/>
    <w:rsid w:val="00CF7FAE"/>
    <w:rsid w:val="00D00C2F"/>
    <w:rsid w:val="00D011BD"/>
    <w:rsid w:val="00D01DE2"/>
    <w:rsid w:val="00D0254E"/>
    <w:rsid w:val="00D02612"/>
    <w:rsid w:val="00D02E5A"/>
    <w:rsid w:val="00D02EC3"/>
    <w:rsid w:val="00D04180"/>
    <w:rsid w:val="00D047C2"/>
    <w:rsid w:val="00D0501A"/>
    <w:rsid w:val="00D059CC"/>
    <w:rsid w:val="00D06273"/>
    <w:rsid w:val="00D06378"/>
    <w:rsid w:val="00D06DDB"/>
    <w:rsid w:val="00D06F9C"/>
    <w:rsid w:val="00D07C82"/>
    <w:rsid w:val="00D07EDB"/>
    <w:rsid w:val="00D107D4"/>
    <w:rsid w:val="00D10BCD"/>
    <w:rsid w:val="00D10C6F"/>
    <w:rsid w:val="00D10D3E"/>
    <w:rsid w:val="00D114F9"/>
    <w:rsid w:val="00D12E71"/>
    <w:rsid w:val="00D13711"/>
    <w:rsid w:val="00D13788"/>
    <w:rsid w:val="00D13B72"/>
    <w:rsid w:val="00D14B75"/>
    <w:rsid w:val="00D14EB1"/>
    <w:rsid w:val="00D16AA0"/>
    <w:rsid w:val="00D174A1"/>
    <w:rsid w:val="00D176E4"/>
    <w:rsid w:val="00D20805"/>
    <w:rsid w:val="00D20C5C"/>
    <w:rsid w:val="00D21C45"/>
    <w:rsid w:val="00D21D43"/>
    <w:rsid w:val="00D2248A"/>
    <w:rsid w:val="00D2271D"/>
    <w:rsid w:val="00D238A8"/>
    <w:rsid w:val="00D249EF"/>
    <w:rsid w:val="00D24DD8"/>
    <w:rsid w:val="00D24E7F"/>
    <w:rsid w:val="00D25B22"/>
    <w:rsid w:val="00D26BD7"/>
    <w:rsid w:val="00D26E5A"/>
    <w:rsid w:val="00D272F6"/>
    <w:rsid w:val="00D274FE"/>
    <w:rsid w:val="00D27EDE"/>
    <w:rsid w:val="00D3024E"/>
    <w:rsid w:val="00D3056D"/>
    <w:rsid w:val="00D30A0B"/>
    <w:rsid w:val="00D30BEC"/>
    <w:rsid w:val="00D312A7"/>
    <w:rsid w:val="00D31318"/>
    <w:rsid w:val="00D316D8"/>
    <w:rsid w:val="00D32D7C"/>
    <w:rsid w:val="00D3354F"/>
    <w:rsid w:val="00D3378B"/>
    <w:rsid w:val="00D33A5E"/>
    <w:rsid w:val="00D3482B"/>
    <w:rsid w:val="00D34985"/>
    <w:rsid w:val="00D353F4"/>
    <w:rsid w:val="00D354A5"/>
    <w:rsid w:val="00D35C73"/>
    <w:rsid w:val="00D36B1A"/>
    <w:rsid w:val="00D36B90"/>
    <w:rsid w:val="00D36F0B"/>
    <w:rsid w:val="00D373E7"/>
    <w:rsid w:val="00D4074A"/>
    <w:rsid w:val="00D41282"/>
    <w:rsid w:val="00D42140"/>
    <w:rsid w:val="00D426D1"/>
    <w:rsid w:val="00D43950"/>
    <w:rsid w:val="00D439AA"/>
    <w:rsid w:val="00D440DF"/>
    <w:rsid w:val="00D44AC3"/>
    <w:rsid w:val="00D45175"/>
    <w:rsid w:val="00D459E2"/>
    <w:rsid w:val="00D45EC5"/>
    <w:rsid w:val="00D476E8"/>
    <w:rsid w:val="00D5039D"/>
    <w:rsid w:val="00D50818"/>
    <w:rsid w:val="00D511BA"/>
    <w:rsid w:val="00D517C1"/>
    <w:rsid w:val="00D51C95"/>
    <w:rsid w:val="00D52BAE"/>
    <w:rsid w:val="00D52C69"/>
    <w:rsid w:val="00D55012"/>
    <w:rsid w:val="00D55967"/>
    <w:rsid w:val="00D55F51"/>
    <w:rsid w:val="00D564C8"/>
    <w:rsid w:val="00D56871"/>
    <w:rsid w:val="00D56DFF"/>
    <w:rsid w:val="00D5728D"/>
    <w:rsid w:val="00D57502"/>
    <w:rsid w:val="00D60260"/>
    <w:rsid w:val="00D61027"/>
    <w:rsid w:val="00D61137"/>
    <w:rsid w:val="00D61777"/>
    <w:rsid w:val="00D62538"/>
    <w:rsid w:val="00D626B5"/>
    <w:rsid w:val="00D63689"/>
    <w:rsid w:val="00D63B02"/>
    <w:rsid w:val="00D64291"/>
    <w:rsid w:val="00D644D5"/>
    <w:rsid w:val="00D64506"/>
    <w:rsid w:val="00D64981"/>
    <w:rsid w:val="00D64E51"/>
    <w:rsid w:val="00D6537C"/>
    <w:rsid w:val="00D6608C"/>
    <w:rsid w:val="00D66C32"/>
    <w:rsid w:val="00D67310"/>
    <w:rsid w:val="00D67400"/>
    <w:rsid w:val="00D70A74"/>
    <w:rsid w:val="00D70F08"/>
    <w:rsid w:val="00D7121E"/>
    <w:rsid w:val="00D7192E"/>
    <w:rsid w:val="00D71A3D"/>
    <w:rsid w:val="00D71C5D"/>
    <w:rsid w:val="00D720F5"/>
    <w:rsid w:val="00D726DD"/>
    <w:rsid w:val="00D7288A"/>
    <w:rsid w:val="00D74B01"/>
    <w:rsid w:val="00D759DD"/>
    <w:rsid w:val="00D765D3"/>
    <w:rsid w:val="00D767FD"/>
    <w:rsid w:val="00D77150"/>
    <w:rsid w:val="00D771DD"/>
    <w:rsid w:val="00D77497"/>
    <w:rsid w:val="00D80988"/>
    <w:rsid w:val="00D80A31"/>
    <w:rsid w:val="00D80E89"/>
    <w:rsid w:val="00D810F6"/>
    <w:rsid w:val="00D816C2"/>
    <w:rsid w:val="00D81CF6"/>
    <w:rsid w:val="00D827A6"/>
    <w:rsid w:val="00D828C7"/>
    <w:rsid w:val="00D83179"/>
    <w:rsid w:val="00D83782"/>
    <w:rsid w:val="00D83945"/>
    <w:rsid w:val="00D85349"/>
    <w:rsid w:val="00D8585F"/>
    <w:rsid w:val="00D85ADD"/>
    <w:rsid w:val="00D85DD5"/>
    <w:rsid w:val="00D8687F"/>
    <w:rsid w:val="00D868F0"/>
    <w:rsid w:val="00D86A80"/>
    <w:rsid w:val="00D86CE1"/>
    <w:rsid w:val="00D86DC0"/>
    <w:rsid w:val="00D86E8A"/>
    <w:rsid w:val="00D874DE"/>
    <w:rsid w:val="00D87A32"/>
    <w:rsid w:val="00D90137"/>
    <w:rsid w:val="00D90461"/>
    <w:rsid w:val="00D90AAB"/>
    <w:rsid w:val="00D91F2C"/>
    <w:rsid w:val="00D921C7"/>
    <w:rsid w:val="00D92442"/>
    <w:rsid w:val="00D93438"/>
    <w:rsid w:val="00D937E0"/>
    <w:rsid w:val="00D939BA"/>
    <w:rsid w:val="00D93B40"/>
    <w:rsid w:val="00D93F4A"/>
    <w:rsid w:val="00D945C3"/>
    <w:rsid w:val="00D95936"/>
    <w:rsid w:val="00D95A48"/>
    <w:rsid w:val="00D95CAE"/>
    <w:rsid w:val="00D963F8"/>
    <w:rsid w:val="00D97371"/>
    <w:rsid w:val="00D97961"/>
    <w:rsid w:val="00D97F7F"/>
    <w:rsid w:val="00DA0038"/>
    <w:rsid w:val="00DA18A3"/>
    <w:rsid w:val="00DA2B15"/>
    <w:rsid w:val="00DA2DA0"/>
    <w:rsid w:val="00DA3307"/>
    <w:rsid w:val="00DA3563"/>
    <w:rsid w:val="00DA358F"/>
    <w:rsid w:val="00DA41DC"/>
    <w:rsid w:val="00DA4215"/>
    <w:rsid w:val="00DA4627"/>
    <w:rsid w:val="00DA520D"/>
    <w:rsid w:val="00DA53BB"/>
    <w:rsid w:val="00DA587F"/>
    <w:rsid w:val="00DA658D"/>
    <w:rsid w:val="00DA7D53"/>
    <w:rsid w:val="00DB076A"/>
    <w:rsid w:val="00DB1171"/>
    <w:rsid w:val="00DB1408"/>
    <w:rsid w:val="00DB2684"/>
    <w:rsid w:val="00DB3C5F"/>
    <w:rsid w:val="00DB57D3"/>
    <w:rsid w:val="00DB6730"/>
    <w:rsid w:val="00DB6775"/>
    <w:rsid w:val="00DB693C"/>
    <w:rsid w:val="00DB6B04"/>
    <w:rsid w:val="00DB6C04"/>
    <w:rsid w:val="00DB72E0"/>
    <w:rsid w:val="00DB743D"/>
    <w:rsid w:val="00DC0389"/>
    <w:rsid w:val="00DC0D5A"/>
    <w:rsid w:val="00DC16BA"/>
    <w:rsid w:val="00DC2252"/>
    <w:rsid w:val="00DC269D"/>
    <w:rsid w:val="00DC3355"/>
    <w:rsid w:val="00DC36F7"/>
    <w:rsid w:val="00DC3E36"/>
    <w:rsid w:val="00DC53AF"/>
    <w:rsid w:val="00DC5411"/>
    <w:rsid w:val="00DC5CAE"/>
    <w:rsid w:val="00DC69D1"/>
    <w:rsid w:val="00DC6BE3"/>
    <w:rsid w:val="00DC7B4A"/>
    <w:rsid w:val="00DC7C8B"/>
    <w:rsid w:val="00DD034C"/>
    <w:rsid w:val="00DD0540"/>
    <w:rsid w:val="00DD1AFA"/>
    <w:rsid w:val="00DD27DB"/>
    <w:rsid w:val="00DD2E44"/>
    <w:rsid w:val="00DD314E"/>
    <w:rsid w:val="00DD4080"/>
    <w:rsid w:val="00DD4561"/>
    <w:rsid w:val="00DD529F"/>
    <w:rsid w:val="00DD546B"/>
    <w:rsid w:val="00DD7746"/>
    <w:rsid w:val="00DD78CF"/>
    <w:rsid w:val="00DD7C97"/>
    <w:rsid w:val="00DE043D"/>
    <w:rsid w:val="00DE06E0"/>
    <w:rsid w:val="00DE0905"/>
    <w:rsid w:val="00DE0D8A"/>
    <w:rsid w:val="00DE0EAE"/>
    <w:rsid w:val="00DE139F"/>
    <w:rsid w:val="00DE1442"/>
    <w:rsid w:val="00DE1608"/>
    <w:rsid w:val="00DE171F"/>
    <w:rsid w:val="00DE1FC8"/>
    <w:rsid w:val="00DE272F"/>
    <w:rsid w:val="00DE3988"/>
    <w:rsid w:val="00DE3A72"/>
    <w:rsid w:val="00DE4A4C"/>
    <w:rsid w:val="00DE4E93"/>
    <w:rsid w:val="00DE53FA"/>
    <w:rsid w:val="00DE55F4"/>
    <w:rsid w:val="00DE6413"/>
    <w:rsid w:val="00DE66A7"/>
    <w:rsid w:val="00DF0548"/>
    <w:rsid w:val="00DF0F4A"/>
    <w:rsid w:val="00DF1A88"/>
    <w:rsid w:val="00DF20B6"/>
    <w:rsid w:val="00DF3C60"/>
    <w:rsid w:val="00DF5DAB"/>
    <w:rsid w:val="00DF65B9"/>
    <w:rsid w:val="00DF7C49"/>
    <w:rsid w:val="00DF7CFF"/>
    <w:rsid w:val="00DF7FDC"/>
    <w:rsid w:val="00E00026"/>
    <w:rsid w:val="00E00288"/>
    <w:rsid w:val="00E01423"/>
    <w:rsid w:val="00E01836"/>
    <w:rsid w:val="00E01BCC"/>
    <w:rsid w:val="00E01D06"/>
    <w:rsid w:val="00E021C1"/>
    <w:rsid w:val="00E022F4"/>
    <w:rsid w:val="00E03729"/>
    <w:rsid w:val="00E03AC4"/>
    <w:rsid w:val="00E04478"/>
    <w:rsid w:val="00E04BC2"/>
    <w:rsid w:val="00E063AA"/>
    <w:rsid w:val="00E06A19"/>
    <w:rsid w:val="00E06CF4"/>
    <w:rsid w:val="00E07AE0"/>
    <w:rsid w:val="00E07B8D"/>
    <w:rsid w:val="00E07D5B"/>
    <w:rsid w:val="00E07DDA"/>
    <w:rsid w:val="00E10481"/>
    <w:rsid w:val="00E110B9"/>
    <w:rsid w:val="00E116AD"/>
    <w:rsid w:val="00E11B09"/>
    <w:rsid w:val="00E12A40"/>
    <w:rsid w:val="00E13DEB"/>
    <w:rsid w:val="00E14C77"/>
    <w:rsid w:val="00E1563C"/>
    <w:rsid w:val="00E15CD2"/>
    <w:rsid w:val="00E160D7"/>
    <w:rsid w:val="00E16F96"/>
    <w:rsid w:val="00E16FFF"/>
    <w:rsid w:val="00E20886"/>
    <w:rsid w:val="00E20D35"/>
    <w:rsid w:val="00E20FB8"/>
    <w:rsid w:val="00E211FB"/>
    <w:rsid w:val="00E22385"/>
    <w:rsid w:val="00E23C03"/>
    <w:rsid w:val="00E248FF"/>
    <w:rsid w:val="00E24F0A"/>
    <w:rsid w:val="00E251B6"/>
    <w:rsid w:val="00E25A3B"/>
    <w:rsid w:val="00E26E26"/>
    <w:rsid w:val="00E27440"/>
    <w:rsid w:val="00E274F3"/>
    <w:rsid w:val="00E277F8"/>
    <w:rsid w:val="00E30D44"/>
    <w:rsid w:val="00E31901"/>
    <w:rsid w:val="00E31D4C"/>
    <w:rsid w:val="00E32856"/>
    <w:rsid w:val="00E32B1F"/>
    <w:rsid w:val="00E345C8"/>
    <w:rsid w:val="00E34A40"/>
    <w:rsid w:val="00E34F1D"/>
    <w:rsid w:val="00E3518B"/>
    <w:rsid w:val="00E351EC"/>
    <w:rsid w:val="00E35498"/>
    <w:rsid w:val="00E356E3"/>
    <w:rsid w:val="00E35BAF"/>
    <w:rsid w:val="00E35FA1"/>
    <w:rsid w:val="00E36964"/>
    <w:rsid w:val="00E371C4"/>
    <w:rsid w:val="00E4040C"/>
    <w:rsid w:val="00E404F8"/>
    <w:rsid w:val="00E4109F"/>
    <w:rsid w:val="00E41868"/>
    <w:rsid w:val="00E42535"/>
    <w:rsid w:val="00E433AC"/>
    <w:rsid w:val="00E435D8"/>
    <w:rsid w:val="00E46118"/>
    <w:rsid w:val="00E46463"/>
    <w:rsid w:val="00E502AB"/>
    <w:rsid w:val="00E51A96"/>
    <w:rsid w:val="00E51B78"/>
    <w:rsid w:val="00E5250B"/>
    <w:rsid w:val="00E5340B"/>
    <w:rsid w:val="00E5481C"/>
    <w:rsid w:val="00E54BC8"/>
    <w:rsid w:val="00E5555A"/>
    <w:rsid w:val="00E55695"/>
    <w:rsid w:val="00E559CC"/>
    <w:rsid w:val="00E5610C"/>
    <w:rsid w:val="00E56FE5"/>
    <w:rsid w:val="00E61F34"/>
    <w:rsid w:val="00E628AB"/>
    <w:rsid w:val="00E63B5A"/>
    <w:rsid w:val="00E64036"/>
    <w:rsid w:val="00E64645"/>
    <w:rsid w:val="00E65526"/>
    <w:rsid w:val="00E66F5C"/>
    <w:rsid w:val="00E70117"/>
    <w:rsid w:val="00E7024B"/>
    <w:rsid w:val="00E706F3"/>
    <w:rsid w:val="00E718D9"/>
    <w:rsid w:val="00E71E6A"/>
    <w:rsid w:val="00E720CC"/>
    <w:rsid w:val="00E72FA6"/>
    <w:rsid w:val="00E73057"/>
    <w:rsid w:val="00E73283"/>
    <w:rsid w:val="00E73C65"/>
    <w:rsid w:val="00E73D60"/>
    <w:rsid w:val="00E74D1F"/>
    <w:rsid w:val="00E750A4"/>
    <w:rsid w:val="00E75A5B"/>
    <w:rsid w:val="00E76B8B"/>
    <w:rsid w:val="00E76C48"/>
    <w:rsid w:val="00E76EBD"/>
    <w:rsid w:val="00E771A3"/>
    <w:rsid w:val="00E812C8"/>
    <w:rsid w:val="00E81E38"/>
    <w:rsid w:val="00E82A09"/>
    <w:rsid w:val="00E836B7"/>
    <w:rsid w:val="00E83CFB"/>
    <w:rsid w:val="00E84F62"/>
    <w:rsid w:val="00E857F7"/>
    <w:rsid w:val="00E9009C"/>
    <w:rsid w:val="00E90385"/>
    <w:rsid w:val="00E909FB"/>
    <w:rsid w:val="00E90C66"/>
    <w:rsid w:val="00E913D2"/>
    <w:rsid w:val="00E91CC5"/>
    <w:rsid w:val="00E91FD5"/>
    <w:rsid w:val="00E9201F"/>
    <w:rsid w:val="00E923E7"/>
    <w:rsid w:val="00E928A6"/>
    <w:rsid w:val="00E92FDC"/>
    <w:rsid w:val="00E93232"/>
    <w:rsid w:val="00E93C0D"/>
    <w:rsid w:val="00E94AE9"/>
    <w:rsid w:val="00E95334"/>
    <w:rsid w:val="00E95555"/>
    <w:rsid w:val="00E9716E"/>
    <w:rsid w:val="00E97403"/>
    <w:rsid w:val="00E97564"/>
    <w:rsid w:val="00E9791C"/>
    <w:rsid w:val="00EA1851"/>
    <w:rsid w:val="00EA18A9"/>
    <w:rsid w:val="00EA2704"/>
    <w:rsid w:val="00EA2AA9"/>
    <w:rsid w:val="00EA3169"/>
    <w:rsid w:val="00EA3717"/>
    <w:rsid w:val="00EA423C"/>
    <w:rsid w:val="00EA58FA"/>
    <w:rsid w:val="00EA6B2A"/>
    <w:rsid w:val="00EA787E"/>
    <w:rsid w:val="00EB0195"/>
    <w:rsid w:val="00EB091B"/>
    <w:rsid w:val="00EB0C86"/>
    <w:rsid w:val="00EB0CAD"/>
    <w:rsid w:val="00EB0D3E"/>
    <w:rsid w:val="00EB1834"/>
    <w:rsid w:val="00EB1E5C"/>
    <w:rsid w:val="00EB2684"/>
    <w:rsid w:val="00EB29A7"/>
    <w:rsid w:val="00EB35D8"/>
    <w:rsid w:val="00EB3C3E"/>
    <w:rsid w:val="00EB3E3A"/>
    <w:rsid w:val="00EB4314"/>
    <w:rsid w:val="00EB4EF9"/>
    <w:rsid w:val="00EB534C"/>
    <w:rsid w:val="00EB59D8"/>
    <w:rsid w:val="00EB59EB"/>
    <w:rsid w:val="00EB6F81"/>
    <w:rsid w:val="00EB735B"/>
    <w:rsid w:val="00EB7641"/>
    <w:rsid w:val="00EC0A71"/>
    <w:rsid w:val="00EC234C"/>
    <w:rsid w:val="00EC2469"/>
    <w:rsid w:val="00EC2557"/>
    <w:rsid w:val="00EC2B60"/>
    <w:rsid w:val="00EC3F76"/>
    <w:rsid w:val="00EC440B"/>
    <w:rsid w:val="00EC4CD1"/>
    <w:rsid w:val="00EC4FF9"/>
    <w:rsid w:val="00EC52BA"/>
    <w:rsid w:val="00EC536A"/>
    <w:rsid w:val="00EC5E65"/>
    <w:rsid w:val="00EC664C"/>
    <w:rsid w:val="00EC69FC"/>
    <w:rsid w:val="00EC6BFD"/>
    <w:rsid w:val="00EC76BA"/>
    <w:rsid w:val="00EC7CE9"/>
    <w:rsid w:val="00ED113E"/>
    <w:rsid w:val="00ED1A86"/>
    <w:rsid w:val="00ED1ADA"/>
    <w:rsid w:val="00ED20EA"/>
    <w:rsid w:val="00ED268E"/>
    <w:rsid w:val="00ED2EFF"/>
    <w:rsid w:val="00ED319A"/>
    <w:rsid w:val="00ED3F48"/>
    <w:rsid w:val="00ED40CE"/>
    <w:rsid w:val="00ED451F"/>
    <w:rsid w:val="00ED5DC4"/>
    <w:rsid w:val="00ED6550"/>
    <w:rsid w:val="00ED6692"/>
    <w:rsid w:val="00ED7347"/>
    <w:rsid w:val="00ED7BE0"/>
    <w:rsid w:val="00ED7E2D"/>
    <w:rsid w:val="00EE05DB"/>
    <w:rsid w:val="00EE0641"/>
    <w:rsid w:val="00EE0924"/>
    <w:rsid w:val="00EE0DC6"/>
    <w:rsid w:val="00EE1085"/>
    <w:rsid w:val="00EE164A"/>
    <w:rsid w:val="00EE1CB2"/>
    <w:rsid w:val="00EE1F63"/>
    <w:rsid w:val="00EE2079"/>
    <w:rsid w:val="00EE2EE3"/>
    <w:rsid w:val="00EE31D4"/>
    <w:rsid w:val="00EE3541"/>
    <w:rsid w:val="00EE3BFB"/>
    <w:rsid w:val="00EE44BB"/>
    <w:rsid w:val="00EE4F2C"/>
    <w:rsid w:val="00EE54C9"/>
    <w:rsid w:val="00EE55AF"/>
    <w:rsid w:val="00EE6D70"/>
    <w:rsid w:val="00EE78A9"/>
    <w:rsid w:val="00EE78D7"/>
    <w:rsid w:val="00EF0748"/>
    <w:rsid w:val="00EF097B"/>
    <w:rsid w:val="00EF09C9"/>
    <w:rsid w:val="00EF0C0C"/>
    <w:rsid w:val="00EF0C4C"/>
    <w:rsid w:val="00EF1CAD"/>
    <w:rsid w:val="00EF2599"/>
    <w:rsid w:val="00EF25FD"/>
    <w:rsid w:val="00EF26FC"/>
    <w:rsid w:val="00EF27EA"/>
    <w:rsid w:val="00EF2A6F"/>
    <w:rsid w:val="00EF2A75"/>
    <w:rsid w:val="00EF2AA0"/>
    <w:rsid w:val="00EF357C"/>
    <w:rsid w:val="00EF3C92"/>
    <w:rsid w:val="00EF3F08"/>
    <w:rsid w:val="00EF49A8"/>
    <w:rsid w:val="00EF4BBD"/>
    <w:rsid w:val="00EF4DF2"/>
    <w:rsid w:val="00EF5764"/>
    <w:rsid w:val="00EF5B89"/>
    <w:rsid w:val="00EF64DC"/>
    <w:rsid w:val="00EF69FF"/>
    <w:rsid w:val="00EF6FB1"/>
    <w:rsid w:val="00EF7BB4"/>
    <w:rsid w:val="00EF7F1F"/>
    <w:rsid w:val="00F02632"/>
    <w:rsid w:val="00F02759"/>
    <w:rsid w:val="00F03B61"/>
    <w:rsid w:val="00F045EE"/>
    <w:rsid w:val="00F04872"/>
    <w:rsid w:val="00F04CAB"/>
    <w:rsid w:val="00F051CC"/>
    <w:rsid w:val="00F05939"/>
    <w:rsid w:val="00F062C1"/>
    <w:rsid w:val="00F06512"/>
    <w:rsid w:val="00F0688B"/>
    <w:rsid w:val="00F07152"/>
    <w:rsid w:val="00F076E3"/>
    <w:rsid w:val="00F07FE1"/>
    <w:rsid w:val="00F10358"/>
    <w:rsid w:val="00F106AA"/>
    <w:rsid w:val="00F1104A"/>
    <w:rsid w:val="00F12400"/>
    <w:rsid w:val="00F12A7C"/>
    <w:rsid w:val="00F12F4C"/>
    <w:rsid w:val="00F1316A"/>
    <w:rsid w:val="00F14694"/>
    <w:rsid w:val="00F14A13"/>
    <w:rsid w:val="00F14C90"/>
    <w:rsid w:val="00F15A61"/>
    <w:rsid w:val="00F164DF"/>
    <w:rsid w:val="00F165E8"/>
    <w:rsid w:val="00F16A1D"/>
    <w:rsid w:val="00F2019F"/>
    <w:rsid w:val="00F201B6"/>
    <w:rsid w:val="00F20526"/>
    <w:rsid w:val="00F21C54"/>
    <w:rsid w:val="00F22133"/>
    <w:rsid w:val="00F224B4"/>
    <w:rsid w:val="00F23121"/>
    <w:rsid w:val="00F247F3"/>
    <w:rsid w:val="00F24BC5"/>
    <w:rsid w:val="00F24F37"/>
    <w:rsid w:val="00F24F8D"/>
    <w:rsid w:val="00F25973"/>
    <w:rsid w:val="00F25F32"/>
    <w:rsid w:val="00F26E39"/>
    <w:rsid w:val="00F26F89"/>
    <w:rsid w:val="00F275EC"/>
    <w:rsid w:val="00F301A1"/>
    <w:rsid w:val="00F306B2"/>
    <w:rsid w:val="00F30960"/>
    <w:rsid w:val="00F316C9"/>
    <w:rsid w:val="00F329DE"/>
    <w:rsid w:val="00F32B72"/>
    <w:rsid w:val="00F33A6E"/>
    <w:rsid w:val="00F34520"/>
    <w:rsid w:val="00F34A9D"/>
    <w:rsid w:val="00F34F06"/>
    <w:rsid w:val="00F34F33"/>
    <w:rsid w:val="00F3514A"/>
    <w:rsid w:val="00F365D8"/>
    <w:rsid w:val="00F36A17"/>
    <w:rsid w:val="00F3767F"/>
    <w:rsid w:val="00F41C10"/>
    <w:rsid w:val="00F42E34"/>
    <w:rsid w:val="00F42FCA"/>
    <w:rsid w:val="00F433BC"/>
    <w:rsid w:val="00F43DE6"/>
    <w:rsid w:val="00F44285"/>
    <w:rsid w:val="00F46327"/>
    <w:rsid w:val="00F467A8"/>
    <w:rsid w:val="00F46905"/>
    <w:rsid w:val="00F46AAE"/>
    <w:rsid w:val="00F475F1"/>
    <w:rsid w:val="00F47745"/>
    <w:rsid w:val="00F47858"/>
    <w:rsid w:val="00F47D57"/>
    <w:rsid w:val="00F5044D"/>
    <w:rsid w:val="00F50557"/>
    <w:rsid w:val="00F5106E"/>
    <w:rsid w:val="00F51310"/>
    <w:rsid w:val="00F51600"/>
    <w:rsid w:val="00F520A2"/>
    <w:rsid w:val="00F52223"/>
    <w:rsid w:val="00F52C39"/>
    <w:rsid w:val="00F5386D"/>
    <w:rsid w:val="00F54130"/>
    <w:rsid w:val="00F55377"/>
    <w:rsid w:val="00F554C7"/>
    <w:rsid w:val="00F55BEF"/>
    <w:rsid w:val="00F55EB3"/>
    <w:rsid w:val="00F56589"/>
    <w:rsid w:val="00F569BF"/>
    <w:rsid w:val="00F60121"/>
    <w:rsid w:val="00F61016"/>
    <w:rsid w:val="00F61217"/>
    <w:rsid w:val="00F61664"/>
    <w:rsid w:val="00F619D5"/>
    <w:rsid w:val="00F61C3F"/>
    <w:rsid w:val="00F61CA8"/>
    <w:rsid w:val="00F623A8"/>
    <w:rsid w:val="00F62CC7"/>
    <w:rsid w:val="00F6361A"/>
    <w:rsid w:val="00F63A08"/>
    <w:rsid w:val="00F63FB3"/>
    <w:rsid w:val="00F64112"/>
    <w:rsid w:val="00F64BEE"/>
    <w:rsid w:val="00F657B4"/>
    <w:rsid w:val="00F657EF"/>
    <w:rsid w:val="00F6590F"/>
    <w:rsid w:val="00F65B55"/>
    <w:rsid w:val="00F6656D"/>
    <w:rsid w:val="00F667E7"/>
    <w:rsid w:val="00F66CE7"/>
    <w:rsid w:val="00F66FCF"/>
    <w:rsid w:val="00F6739E"/>
    <w:rsid w:val="00F67504"/>
    <w:rsid w:val="00F67F51"/>
    <w:rsid w:val="00F67FED"/>
    <w:rsid w:val="00F70AC7"/>
    <w:rsid w:val="00F712AA"/>
    <w:rsid w:val="00F71A3C"/>
    <w:rsid w:val="00F71C2C"/>
    <w:rsid w:val="00F72336"/>
    <w:rsid w:val="00F72833"/>
    <w:rsid w:val="00F72B11"/>
    <w:rsid w:val="00F72C52"/>
    <w:rsid w:val="00F72DFA"/>
    <w:rsid w:val="00F74DC4"/>
    <w:rsid w:val="00F7575A"/>
    <w:rsid w:val="00F757D4"/>
    <w:rsid w:val="00F77F0C"/>
    <w:rsid w:val="00F80923"/>
    <w:rsid w:val="00F81A79"/>
    <w:rsid w:val="00F81AC1"/>
    <w:rsid w:val="00F826C2"/>
    <w:rsid w:val="00F82BB9"/>
    <w:rsid w:val="00F83C05"/>
    <w:rsid w:val="00F849C8"/>
    <w:rsid w:val="00F854E3"/>
    <w:rsid w:val="00F85781"/>
    <w:rsid w:val="00F85A1D"/>
    <w:rsid w:val="00F86829"/>
    <w:rsid w:val="00F87677"/>
    <w:rsid w:val="00F90680"/>
    <w:rsid w:val="00F91671"/>
    <w:rsid w:val="00F929A3"/>
    <w:rsid w:val="00F9335C"/>
    <w:rsid w:val="00F94121"/>
    <w:rsid w:val="00F945A4"/>
    <w:rsid w:val="00F94616"/>
    <w:rsid w:val="00F95092"/>
    <w:rsid w:val="00F95EB9"/>
    <w:rsid w:val="00F95ED7"/>
    <w:rsid w:val="00F96CF4"/>
    <w:rsid w:val="00F9702C"/>
    <w:rsid w:val="00FA0079"/>
    <w:rsid w:val="00FA0156"/>
    <w:rsid w:val="00FA027E"/>
    <w:rsid w:val="00FA0738"/>
    <w:rsid w:val="00FA1051"/>
    <w:rsid w:val="00FA1764"/>
    <w:rsid w:val="00FA2321"/>
    <w:rsid w:val="00FA2827"/>
    <w:rsid w:val="00FA36C3"/>
    <w:rsid w:val="00FA3958"/>
    <w:rsid w:val="00FA3A68"/>
    <w:rsid w:val="00FA4002"/>
    <w:rsid w:val="00FA4940"/>
    <w:rsid w:val="00FA5C6E"/>
    <w:rsid w:val="00FA602F"/>
    <w:rsid w:val="00FA6849"/>
    <w:rsid w:val="00FA7723"/>
    <w:rsid w:val="00FB0481"/>
    <w:rsid w:val="00FB1108"/>
    <w:rsid w:val="00FB1513"/>
    <w:rsid w:val="00FB1C96"/>
    <w:rsid w:val="00FB277F"/>
    <w:rsid w:val="00FB2941"/>
    <w:rsid w:val="00FB3204"/>
    <w:rsid w:val="00FB5884"/>
    <w:rsid w:val="00FB5CAE"/>
    <w:rsid w:val="00FB610D"/>
    <w:rsid w:val="00FB728D"/>
    <w:rsid w:val="00FC1794"/>
    <w:rsid w:val="00FC37A5"/>
    <w:rsid w:val="00FC3E02"/>
    <w:rsid w:val="00FC3E36"/>
    <w:rsid w:val="00FC42CD"/>
    <w:rsid w:val="00FC4B79"/>
    <w:rsid w:val="00FC5150"/>
    <w:rsid w:val="00FC56CC"/>
    <w:rsid w:val="00FC5A36"/>
    <w:rsid w:val="00FC691C"/>
    <w:rsid w:val="00FC7B37"/>
    <w:rsid w:val="00FC7DB8"/>
    <w:rsid w:val="00FD06AC"/>
    <w:rsid w:val="00FD146E"/>
    <w:rsid w:val="00FD1539"/>
    <w:rsid w:val="00FD17DB"/>
    <w:rsid w:val="00FD1B87"/>
    <w:rsid w:val="00FD1D83"/>
    <w:rsid w:val="00FD339C"/>
    <w:rsid w:val="00FD399F"/>
    <w:rsid w:val="00FD43FD"/>
    <w:rsid w:val="00FD460F"/>
    <w:rsid w:val="00FD49C0"/>
    <w:rsid w:val="00FD54BA"/>
    <w:rsid w:val="00FD5C03"/>
    <w:rsid w:val="00FD66B7"/>
    <w:rsid w:val="00FD6FCE"/>
    <w:rsid w:val="00FD7418"/>
    <w:rsid w:val="00FD7AC3"/>
    <w:rsid w:val="00FE02AD"/>
    <w:rsid w:val="00FE0B7F"/>
    <w:rsid w:val="00FE0E70"/>
    <w:rsid w:val="00FE10AB"/>
    <w:rsid w:val="00FE162C"/>
    <w:rsid w:val="00FE16D6"/>
    <w:rsid w:val="00FE171F"/>
    <w:rsid w:val="00FE1B95"/>
    <w:rsid w:val="00FE1D0D"/>
    <w:rsid w:val="00FE1E9A"/>
    <w:rsid w:val="00FE2443"/>
    <w:rsid w:val="00FE2CC4"/>
    <w:rsid w:val="00FE3354"/>
    <w:rsid w:val="00FE4BF4"/>
    <w:rsid w:val="00FE5BF0"/>
    <w:rsid w:val="00FE60B1"/>
    <w:rsid w:val="00FF11F7"/>
    <w:rsid w:val="00FF15C8"/>
    <w:rsid w:val="00FF18D9"/>
    <w:rsid w:val="00FF21E4"/>
    <w:rsid w:val="00FF2331"/>
    <w:rsid w:val="00FF44CA"/>
    <w:rsid w:val="00FF4587"/>
    <w:rsid w:val="00FF4CCF"/>
    <w:rsid w:val="00FF4E6C"/>
    <w:rsid w:val="00FF5005"/>
    <w:rsid w:val="00FF629B"/>
    <w:rsid w:val="00FF6965"/>
    <w:rsid w:val="00FF6FF9"/>
    <w:rsid w:val="00FF7C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9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E83"/>
    <w:pPr>
      <w:tabs>
        <w:tab w:val="center" w:pos="4536"/>
        <w:tab w:val="right" w:pos="9072"/>
      </w:tabs>
      <w:spacing w:after="0" w:line="240" w:lineRule="auto"/>
    </w:pPr>
  </w:style>
  <w:style w:type="character" w:customStyle="1" w:styleId="En-tteCar">
    <w:name w:val="En-tête Car"/>
    <w:basedOn w:val="Policepardfaut"/>
    <w:link w:val="En-tte"/>
    <w:uiPriority w:val="99"/>
    <w:rsid w:val="008A6E83"/>
  </w:style>
  <w:style w:type="paragraph" w:styleId="Pieddepage">
    <w:name w:val="footer"/>
    <w:basedOn w:val="Normal"/>
    <w:link w:val="PieddepageCar"/>
    <w:uiPriority w:val="99"/>
    <w:unhideWhenUsed/>
    <w:rsid w:val="008A6E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E83"/>
  </w:style>
  <w:style w:type="paragraph" w:styleId="Textedebulles">
    <w:name w:val="Balloon Text"/>
    <w:basedOn w:val="Normal"/>
    <w:link w:val="TextedebullesCar"/>
    <w:uiPriority w:val="99"/>
    <w:semiHidden/>
    <w:unhideWhenUsed/>
    <w:rsid w:val="008A6E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6E83"/>
    <w:rPr>
      <w:rFonts w:ascii="Tahoma" w:hAnsi="Tahoma" w:cs="Tahoma"/>
      <w:sz w:val="16"/>
      <w:szCs w:val="16"/>
    </w:rPr>
  </w:style>
  <w:style w:type="table" w:styleId="Grilledutableau">
    <w:name w:val="Table Grid"/>
    <w:basedOn w:val="TableauNormal"/>
    <w:uiPriority w:val="1"/>
    <w:rsid w:val="008A6E8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02248"/>
    <w:pPr>
      <w:ind w:left="720"/>
      <w:contextualSpacing/>
    </w:pPr>
  </w:style>
  <w:style w:type="paragraph" w:customStyle="1" w:styleId="Default">
    <w:name w:val="Default"/>
    <w:rsid w:val="007022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Italic">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75B62"/>
    <w:rsid w:val="0000236A"/>
    <w:rsid w:val="00012D26"/>
    <w:rsid w:val="00053A30"/>
    <w:rsid w:val="00675B62"/>
    <w:rsid w:val="007F13C5"/>
    <w:rsid w:val="00864B46"/>
    <w:rsid w:val="00E6751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5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AD792E0054D4110878889BFD0F7B78D">
    <w:name w:val="0AD792E0054D4110878889BFD0F7B78D"/>
    <w:rsid w:val="00675B62"/>
  </w:style>
  <w:style w:type="paragraph" w:customStyle="1" w:styleId="7863E5EF5DB64EBD9F6070A88B99CCC6">
    <w:name w:val="7863E5EF5DB64EBD9F6070A88B99CCC6"/>
    <w:rsid w:val="00675B62"/>
  </w:style>
  <w:style w:type="paragraph" w:customStyle="1" w:styleId="5164DFAE99F44E539AA8E727655324F1">
    <w:name w:val="5164DFAE99F44E539AA8E727655324F1"/>
    <w:rsid w:val="00675B62"/>
  </w:style>
  <w:style w:type="paragraph" w:customStyle="1" w:styleId="94879CC765AF4107ABEB973F4A778C7C">
    <w:name w:val="94879CC765AF4107ABEB973F4A778C7C"/>
    <w:rsid w:val="00675B62"/>
  </w:style>
  <w:style w:type="paragraph" w:customStyle="1" w:styleId="D13D3ED48AAF4787B1144D34B2B5BD6A">
    <w:name w:val="D13D3ED48AAF4787B1144D34B2B5BD6A"/>
    <w:rsid w:val="00675B62"/>
  </w:style>
  <w:style w:type="paragraph" w:customStyle="1" w:styleId="B846003BA1024AB59C8531724232B3EA">
    <w:name w:val="B846003BA1024AB59C8531724232B3EA"/>
    <w:rsid w:val="00675B62"/>
  </w:style>
  <w:style w:type="paragraph" w:customStyle="1" w:styleId="F5D693B323E644ECADFDC2E5BCE81A65">
    <w:name w:val="F5D693B323E644ECADFDC2E5BCE81A65"/>
    <w:rsid w:val="00675B62"/>
  </w:style>
  <w:style w:type="paragraph" w:customStyle="1" w:styleId="5C3C6E78171D4256B0EF9454265C7AF5">
    <w:name w:val="5C3C6E78171D4256B0EF9454265C7AF5"/>
    <w:rsid w:val="00675B62"/>
  </w:style>
  <w:style w:type="paragraph" w:customStyle="1" w:styleId="C132DF9429194734B335EF4005ED9393">
    <w:name w:val="C132DF9429194734B335EF4005ED9393"/>
    <w:rsid w:val="00675B62"/>
  </w:style>
  <w:style w:type="paragraph" w:customStyle="1" w:styleId="A61AE1EF147F493A8D8044710C4CA60D">
    <w:name w:val="A61AE1EF147F493A8D8044710C4CA60D"/>
    <w:rsid w:val="00053A3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26226</TotalTime>
  <Pages>29</Pages>
  <Words>8095</Words>
  <Characters>44528</Characters>
  <Application>Microsoft Office Word</Application>
  <DocSecurity>0</DocSecurity>
  <Lines>371</Lines>
  <Paragraphs>105</Paragraphs>
  <ScaleCrop>false</ScaleCrop>
  <HeadingPairs>
    <vt:vector size="2" baseType="variant">
      <vt:variant>
        <vt:lpstr>Titre</vt:lpstr>
      </vt:variant>
      <vt:variant>
        <vt:i4>1</vt:i4>
      </vt:variant>
    </vt:vector>
  </HeadingPairs>
  <TitlesOfParts>
    <vt:vector size="1" baseType="lpstr">
      <vt:lpstr>Polycopié de communication et signalisation  cellulaire</vt:lpstr>
    </vt:vector>
  </TitlesOfParts>
  <Company>Dr.GHOUT A.</Company>
  <LinksUpToDate>false</LinksUpToDate>
  <CharactersWithSpaces>52518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Polycopié de communication et signalisation  cellulaire</dc:title>
  <dc:creator>gina</dc:creator>
  <cp:lastModifiedBy>MicroTech</cp:lastModifiedBy>
  <cp:revision>72</cp:revision>
  <cp:lastPrinted>2023-05-03T13:05:00Z</cp:lastPrinted>
  <dcterms:created xsi:type="dcterms:W3CDTF">2023-02-15T19:27:00Z</dcterms:created>
  <dcterms:modified xsi:type="dcterms:W3CDTF">2024-11-14T21:47:00Z</dcterms:modified>
</cp:coreProperties>
</file>