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0"/>
        <w:gridCol w:w="37"/>
        <w:gridCol w:w="541"/>
        <w:gridCol w:w="106"/>
        <w:gridCol w:w="489"/>
        <w:gridCol w:w="2009"/>
        <w:gridCol w:w="40"/>
        <w:gridCol w:w="461"/>
        <w:gridCol w:w="160"/>
        <w:gridCol w:w="138"/>
        <w:gridCol w:w="1424"/>
        <w:gridCol w:w="501"/>
        <w:gridCol w:w="51"/>
        <w:gridCol w:w="806"/>
        <w:gridCol w:w="224"/>
        <w:gridCol w:w="1485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5E22CE" w:rsidRPr="00FF3D20" w:rsidRDefault="005E22CE" w:rsidP="005F1E9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34721" w:rsidRPr="00FF3D20" w:rsidRDefault="00842C80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تجارة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34721" w:rsidRPr="00FF3D20" w:rsidRDefault="00842C80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مالية وتجارة دولية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34721" w:rsidRPr="00FF3D20" w:rsidRDefault="00842C80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ثالثة الليسانس</w:t>
            </w:r>
          </w:p>
        </w:tc>
      </w:tr>
      <w:tr w:rsidR="00CB2779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B2779" w:rsidRPr="00C34721" w:rsidRDefault="00842C80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الخامس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B2779" w:rsidRPr="00FF3D20" w:rsidRDefault="00842C80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2023/2024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E82A76" w:rsidRDefault="000C604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الجغرافيا الاقتصادية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842C8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842C8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9D771D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9D771D" w:rsidRPr="0050480E" w:rsidRDefault="0079189F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1سا ونصف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9D771D" w:rsidRPr="0050480E" w:rsidRDefault="00842C80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1سا ونصف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عدد الساعات في الأسبوع )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79189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1سا ونصف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79189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842C8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طويل حدة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842C8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محاضر أ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842C8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07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79189F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hyperlink r:id="rId7" w:history="1">
              <w:r w:rsidRPr="00E50624">
                <w:rPr>
                  <w:rStyle w:val="Lienhypertexte"/>
                </w:rPr>
                <w:t>h.touil@centre-univ-mila.dz</w:t>
              </w:r>
            </w:hyperlink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79189F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0671251642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79189F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الاثنين:14:00-15:30 في القاعة: 28 الشطر الثالث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A5569E">
        <w:trPr>
          <w:trHeight w:val="148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561E4" w:rsidRDefault="00D561E4" w:rsidP="00D561E4">
            <w:pPr>
              <w:pStyle w:val="Paragraphedeliste"/>
              <w:numPr>
                <w:ilvl w:val="0"/>
                <w:numId w:val="11"/>
              </w:numPr>
              <w:bidi/>
              <w:spacing w:after="0"/>
              <w:rPr>
                <w:rFonts w:ascii="Sakkal Majalla" w:hAnsi="Sakkal Majalla" w:cs="Sakkal Majalla" w:hint="cs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أكتساب معارف حول أهم الاقاليم الزراعية،الصناعيةـ والتجارية</w:t>
            </w:r>
          </w:p>
          <w:p w:rsidR="00D84EAE" w:rsidRPr="00D561E4" w:rsidRDefault="00D561E4" w:rsidP="00D561E4">
            <w:pPr>
              <w:pStyle w:val="Paragraphedeliste"/>
              <w:numPr>
                <w:ilvl w:val="0"/>
                <w:numId w:val="11"/>
              </w:num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أهمية التكامل الاقتصادية في توطين الانشطة الاقتصادية </w:t>
            </w:r>
          </w:p>
        </w:tc>
      </w:tr>
      <w:tr w:rsidR="00D84EAE" w:rsidRPr="0050480E" w:rsidTr="00A5569E">
        <w:trPr>
          <w:trHeight w:val="20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84EAE" w:rsidRPr="00FF1847" w:rsidRDefault="00DA4E1F" w:rsidP="000C6041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تمكين الطالب وإلمامه بالجانب النظري لل</w:t>
            </w:r>
            <w:r w:rsidR="000C6041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جغرافيا الاقتصادية والعوامل المؤثرة في توطين الانشطة الاقتصادية </w:t>
            </w:r>
          </w:p>
        </w:tc>
      </w:tr>
      <w:tr w:rsidR="00D84EAE" w:rsidRPr="0050480E" w:rsidTr="00A5569E">
        <w:trPr>
          <w:trHeight w:val="14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84EAE" w:rsidRPr="003030EF" w:rsidRDefault="00D561E4" w:rsidP="00D561E4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030EF">
              <w:rPr>
                <w:rFonts w:ascii="Sakkal Majalla" w:hAnsi="Sakkal Majalla" w:cs="Sakkal Majalla" w:hint="cs"/>
                <w:sz w:val="30"/>
                <w:szCs w:val="30"/>
                <w:rtl/>
              </w:rPr>
              <w:t>- العوامل المؤثرة في توطين الأنشطة الاقتصادية ( زراعية، صناعية، تعدين، تجارة، نقل ومواصلات)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885B4D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مدخل للجغرافيا الاقتصادية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885B4D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نظريات الجغرافيا الاقتصادية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885B4D" w:rsidP="00D84EA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الموارد الطبيعية والبشرية وتنميتها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885B4D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التكامل الاقتصادي الجهوي</w:t>
            </w:r>
          </w:p>
        </w:tc>
      </w:tr>
      <w:tr w:rsidR="00D84EAE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D84EAE" w:rsidRPr="0058217A" w:rsidRDefault="00885B4D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الجغرافيا الاقتصادية الجديدة</w:t>
            </w: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885B4D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جغرافية الانشطة: النشاط الزراعي،الصناعي،الطاقةـ النقل والمواصلات</w:t>
            </w: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491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424" w:type="dxa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F966D9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358" w:type="dxa"/>
            <w:gridSpan w:val="3"/>
            <w:vMerge w:val="restart"/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F966D9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F966D9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F966D9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Default="009F7D79" w:rsidP="009F7D7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تدرس المادة في شكل محاضرات وأعمال موجهة/تطبيقية و طبيعة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7054"/>
              <w:gridCol w:w="1984"/>
            </w:tblGrid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C34721" w:rsidRPr="00FF3D20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</w:p>
        </w:tc>
      </w:tr>
      <w:tr w:rsidR="00C34721" w:rsidRPr="0050480E" w:rsidTr="00A5569E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</w:t>
            </w:r>
            <w:r w:rsidR="00BD09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به :</w:t>
            </w:r>
          </w:p>
        </w:tc>
      </w:tr>
      <w:tr w:rsidR="00C34721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491" w:type="dxa"/>
            <w:gridSpan w:val="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C754E5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BD095F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/>
              </w:rPr>
              <w:t>أسس الجغرافيا البشرية والاقتصادية</w:t>
            </w:r>
          </w:p>
        </w:tc>
        <w:tc>
          <w:tcPr>
            <w:tcW w:w="34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BD095F" w:rsidP="005D560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إبراهيم أحمد سعيد</w:t>
            </w:r>
          </w:p>
        </w:tc>
        <w:tc>
          <w:tcPr>
            <w:tcW w:w="44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BD095F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مديرية الكتب والمطبوعات الجامعية، سوريا، 1997</w:t>
            </w:r>
          </w:p>
        </w:tc>
      </w:tr>
      <w:tr w:rsidR="00C754E5" w:rsidRPr="0050480E" w:rsidTr="00FF1847">
        <w:trPr>
          <w:trHeight w:val="237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BD095F" w:rsidRDefault="00BD095F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الجغرافيا الاقتصادية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BD095F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فتحي محمد أبو العيانة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BD095F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دار المعرفة الجامعية، الاسكندرية 2005</w:t>
            </w:r>
          </w:p>
        </w:tc>
      </w:tr>
      <w:tr w:rsidR="00C754E5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BD095F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الجغرافيا الاقتصاديةمنظور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lastRenderedPageBreak/>
              <w:t>معاصر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D561E4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lastRenderedPageBreak/>
              <w:t>محمد محمود إبراهيم الديب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D561E4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مكتبة الانجلو المصرية القاهرة، 2006.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مراجع الدعم الإضافية (إن وجدت):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F1E9A" w:rsidRPr="005F1E9A" w:rsidRDefault="005F1E9A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5F1E9A" w:rsidRP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C34721" w:rsidRPr="007B4CA9" w:rsidRDefault="00C34721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C34721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34721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 w:rsidR="0023144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485" w:type="dxa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0C604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المحور الاول: المحاضرة1: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ماهية الجغرافيا الاقتصادية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0C6041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المحور الاول: المحاضرة2: </w:t>
            </w:r>
            <w:r w:rsidR="004061A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مناهج الجغرافيا الاقتصادية</w:t>
            </w:r>
            <w:r w:rsidR="00BD095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وعلاقتها بالعلوم الاخرى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33269C" w:rsidRPr="004513B5" w:rsidRDefault="0033269C" w:rsidP="000C604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المحور الثاني: المحاضرة1: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نظريات الجغرافيا الزراعية </w:t>
            </w:r>
            <w:r w:rsidR="004061A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–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نظرية التوطن الزراعي-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0C604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المحور الثاني: المحاضرة1: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نظريات الجغرافيا الزراعية </w:t>
            </w:r>
            <w:r w:rsidR="004061A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–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نظرية التوطن الصناعي-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4061A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المحور الثا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ني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: المحاضرة 1: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نظريات الجغرافيا الزراعية </w:t>
            </w:r>
            <w:r w:rsidR="004061AB"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–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نظرية المواقع المركزية-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4061A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المحور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الثالث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: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المحاضرة1: الموارد الطبيعية وتنميتها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45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0C604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المحور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الثالث: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المحاضرة2: الموارد البشرية وتنميتها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0C604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المحور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الرابع:</w:t>
            </w:r>
            <w:r w:rsidR="00BD095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المحاضرة 1: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</w:t>
            </w:r>
            <w:r w:rsidR="00BD095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ماهية التكامل الاقتصادي الجهوي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4061A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المحور ال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رابع</w:t>
            </w:r>
            <w:r w:rsidR="004029F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:</w:t>
            </w:r>
            <w:r w:rsidR="00BD095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المحاضرة 2: مراحل التكامل الاقتصادي الجهوي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0C604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المحور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الخامس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:</w:t>
            </w:r>
            <w:r w:rsidR="004029F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</w:t>
            </w:r>
            <w:r w:rsidR="00BD095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المحاضرة 1: الجغرافيا الاقتصادية الجديدة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029FF" w:rsidRDefault="0033269C" w:rsidP="00BD095F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 w:rsidRPr="004029F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المحور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الخامس</w:t>
            </w:r>
            <w:r w:rsidR="004029F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: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</w:t>
            </w:r>
            <w:r w:rsidR="00BD095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المحاضرة 2:  نظرية بول كروغمان للجغرافيا الاقتصادية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1843C1">
        <w:trPr>
          <w:trHeight w:val="514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C754E5" w:rsidRPr="0058217A" w:rsidRDefault="00C754E5" w:rsidP="004029FF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33269C" w:rsidP="004061A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المحور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السادس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: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المحاضرة 1: جغرافية النشاط الزراعي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4029FF" w:rsidP="004061A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المحورال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سادس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: المحاضرة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: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جغرافية النشاط الصناعي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4029FF" w:rsidP="004061AB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المحور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السادس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المحاضرة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3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: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جغرافية الطاقة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C754E5" w:rsidRPr="004513B5" w:rsidRDefault="004029FF" w:rsidP="004061AB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المحور </w:t>
            </w:r>
            <w:r w:rsidR="004061A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السادس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 المحاضرة</w:t>
            </w:r>
            <w:r w:rsidR="004061AB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4061A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جغرافية النقل والمواصلات</w:t>
            </w:r>
          </w:p>
        </w:tc>
        <w:tc>
          <w:tcPr>
            <w:tcW w:w="1485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A13AB" w:rsidRPr="0050480E" w:rsidTr="00FF1847">
        <w:trPr>
          <w:trHeight w:val="352"/>
          <w:jc w:val="center"/>
        </w:trPr>
        <w:tc>
          <w:tcPr>
            <w:tcW w:w="2508" w:type="dxa"/>
            <w:gridSpan w:val="3"/>
            <w:vMerge w:val="restart"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1485" w:type="dxa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FF1847">
        <w:trPr>
          <w:trHeight w:val="371"/>
          <w:jc w:val="center"/>
        </w:trPr>
        <w:tc>
          <w:tcPr>
            <w:tcW w:w="2508" w:type="dxa"/>
            <w:gridSpan w:val="3"/>
            <w:vMerge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485" w:type="dxa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5A13AB" w:rsidRPr="00A5569E" w:rsidRDefault="005A13AB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C754E5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DA5155" w:rsidRPr="004517BB" w:rsidRDefault="00DA5155" w:rsidP="004029FF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 w:rsidR="004029FF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بحوث. </w:t>
            </w:r>
          </w:p>
          <w:p w:rsidR="005F1E9A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:rsidR="00DA5155" w:rsidRPr="005F1E9A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:rsidR="00DA5155" w:rsidRPr="004517BB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تقديم بطاقة قراءة لمحور 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 xml:space="preserve">الحضور والتفاعل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A5569E" w:rsidRPr="00A5569E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754E5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A5569E" w:rsidRDefault="00C754E5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مصادقات الهيئات الإدارية والبيداغوجية</w:t>
            </w:r>
          </w:p>
        </w:tc>
      </w:tr>
      <w:tr w:rsidR="00C754E5" w:rsidRPr="0050480E" w:rsidTr="00A5569E">
        <w:trPr>
          <w:trHeight w:val="705"/>
          <w:jc w:val="center"/>
        </w:trPr>
        <w:tc>
          <w:tcPr>
            <w:tcW w:w="3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754E5" w:rsidRPr="0050480E" w:rsidTr="00A5569E">
        <w:trPr>
          <w:trHeight w:val="1817"/>
          <w:jc w:val="center"/>
        </w:trPr>
        <w:tc>
          <w:tcPr>
            <w:tcW w:w="3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754E5" w:rsidRPr="0050480E" w:rsidTr="00A5569E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5C7BB6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427" w:rsidRDefault="00640427" w:rsidP="00343D69">
      <w:pPr>
        <w:spacing w:after="0" w:line="240" w:lineRule="auto"/>
      </w:pPr>
      <w:r>
        <w:separator/>
      </w:r>
    </w:p>
  </w:endnote>
  <w:endnote w:type="continuationSeparator" w:id="1">
    <w:p w:rsidR="00640427" w:rsidRDefault="00640427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A23568" w:rsidRPr="00A23568">
      <w:fldChar w:fldCharType="begin"/>
    </w:r>
    <w:r w:rsidR="00B75E23">
      <w:instrText xml:space="preserve"> PAGE   \* MERGEFORMAT </w:instrText>
    </w:r>
    <w:r w:rsidR="00A23568" w:rsidRPr="00A23568">
      <w:fldChar w:fldCharType="separate"/>
    </w:r>
    <w:r w:rsidR="003030EF" w:rsidRPr="003030EF">
      <w:rPr>
        <w:rFonts w:asciiTheme="majorHAnsi" w:hAnsiTheme="majorHAnsi"/>
        <w:noProof/>
      </w:rPr>
      <w:t>4</w:t>
    </w:r>
    <w:r w:rsidR="00A23568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427" w:rsidRDefault="00640427" w:rsidP="00343D69">
      <w:pPr>
        <w:spacing w:after="0" w:line="240" w:lineRule="auto"/>
      </w:pPr>
      <w:r>
        <w:separator/>
      </w:r>
    </w:p>
  </w:footnote>
  <w:footnote w:type="continuationSeparator" w:id="1">
    <w:p w:rsidR="00640427" w:rsidRDefault="00640427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348D1"/>
    <w:multiLevelType w:val="hybridMultilevel"/>
    <w:tmpl w:val="6114B5AA"/>
    <w:lvl w:ilvl="0" w:tplc="072C9840">
      <w:start w:val="60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F3D96"/>
    <w:multiLevelType w:val="hybridMultilevel"/>
    <w:tmpl w:val="5F00FBB0"/>
    <w:lvl w:ilvl="0" w:tplc="7CA09248">
      <w:start w:val="8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6F7F97"/>
    <w:multiLevelType w:val="hybridMultilevel"/>
    <w:tmpl w:val="B6D00298"/>
    <w:lvl w:ilvl="0" w:tplc="F8A09CD2">
      <w:start w:val="8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2BB9"/>
    <w:rsid w:val="00021A1E"/>
    <w:rsid w:val="00026CB3"/>
    <w:rsid w:val="00042834"/>
    <w:rsid w:val="0005403E"/>
    <w:rsid w:val="00080104"/>
    <w:rsid w:val="000A2CC2"/>
    <w:rsid w:val="000C6041"/>
    <w:rsid w:val="000D7CD0"/>
    <w:rsid w:val="000F2B30"/>
    <w:rsid w:val="00146791"/>
    <w:rsid w:val="001843C1"/>
    <w:rsid w:val="001C12EC"/>
    <w:rsid w:val="002231DE"/>
    <w:rsid w:val="00231449"/>
    <w:rsid w:val="00247AA8"/>
    <w:rsid w:val="0028233F"/>
    <w:rsid w:val="002D32A2"/>
    <w:rsid w:val="002D7413"/>
    <w:rsid w:val="003030EF"/>
    <w:rsid w:val="00310431"/>
    <w:rsid w:val="0033269C"/>
    <w:rsid w:val="00343D69"/>
    <w:rsid w:val="003636DE"/>
    <w:rsid w:val="00366219"/>
    <w:rsid w:val="00376FE9"/>
    <w:rsid w:val="004029FF"/>
    <w:rsid w:val="004061AB"/>
    <w:rsid w:val="00505621"/>
    <w:rsid w:val="00533F74"/>
    <w:rsid w:val="00544363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40427"/>
    <w:rsid w:val="006728C4"/>
    <w:rsid w:val="006857D1"/>
    <w:rsid w:val="006A5D08"/>
    <w:rsid w:val="00724099"/>
    <w:rsid w:val="0079189F"/>
    <w:rsid w:val="007B4CA9"/>
    <w:rsid w:val="007E03C8"/>
    <w:rsid w:val="00842C80"/>
    <w:rsid w:val="00885B4D"/>
    <w:rsid w:val="008D0B93"/>
    <w:rsid w:val="008E08A8"/>
    <w:rsid w:val="008E7CD5"/>
    <w:rsid w:val="009258DC"/>
    <w:rsid w:val="0094783E"/>
    <w:rsid w:val="00981212"/>
    <w:rsid w:val="009D771D"/>
    <w:rsid w:val="009F7D79"/>
    <w:rsid w:val="00A17998"/>
    <w:rsid w:val="00A23568"/>
    <w:rsid w:val="00A5569E"/>
    <w:rsid w:val="00A661FA"/>
    <w:rsid w:val="00A91ADB"/>
    <w:rsid w:val="00AE6434"/>
    <w:rsid w:val="00B432F3"/>
    <w:rsid w:val="00B52784"/>
    <w:rsid w:val="00B75E23"/>
    <w:rsid w:val="00BB1046"/>
    <w:rsid w:val="00BD095F"/>
    <w:rsid w:val="00C25017"/>
    <w:rsid w:val="00C34721"/>
    <w:rsid w:val="00C5263C"/>
    <w:rsid w:val="00C54D69"/>
    <w:rsid w:val="00C730A7"/>
    <w:rsid w:val="00C754E5"/>
    <w:rsid w:val="00C95252"/>
    <w:rsid w:val="00CB2779"/>
    <w:rsid w:val="00D561E4"/>
    <w:rsid w:val="00D57B68"/>
    <w:rsid w:val="00D84EAE"/>
    <w:rsid w:val="00DA4E1F"/>
    <w:rsid w:val="00DA5155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70AA2"/>
    <w:rsid w:val="00F966D9"/>
    <w:rsid w:val="00FA4384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5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customStyle="1" w:styleId="un">
    <w:name w:val="u_n"/>
    <w:basedOn w:val="Policepardfaut"/>
    <w:rsid w:val="0079189F"/>
  </w:style>
  <w:style w:type="character" w:styleId="Lienhypertexte">
    <w:name w:val="Hyperlink"/>
    <w:basedOn w:val="Policepardfaut"/>
    <w:uiPriority w:val="99"/>
    <w:unhideWhenUsed/>
    <w:rsid w:val="007918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.touil@centre-univ-mila.d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computer</cp:lastModifiedBy>
  <cp:revision>5</cp:revision>
  <cp:lastPrinted>2023-02-27T21:31:00Z</cp:lastPrinted>
  <dcterms:created xsi:type="dcterms:W3CDTF">2023-12-07T07:21:00Z</dcterms:created>
  <dcterms:modified xsi:type="dcterms:W3CDTF">2023-12-07T08:04:00Z</dcterms:modified>
</cp:coreProperties>
</file>