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39" w:rsidRDefault="006D2A39" w:rsidP="006D2A39">
      <w:pPr>
        <w:tabs>
          <w:tab w:val="left" w:pos="5295"/>
        </w:tabs>
        <w:jc w:val="center"/>
        <w:rPr>
          <w:rFonts w:ascii="Simplified Arabic" w:hAnsi="Simplified Arabic" w:cs="Simplified Arabic"/>
          <w:b/>
          <w:bCs/>
          <w:color w:val="FF0000"/>
          <w:sz w:val="36"/>
          <w:szCs w:val="36"/>
          <w:u w:val="single"/>
          <w:rtl/>
          <w:lang w:bidi="ar-DZ"/>
        </w:rPr>
      </w:pPr>
      <w:r>
        <w:rPr>
          <w:rFonts w:ascii="Simplified Arabic" w:hAnsi="Simplified Arabic" w:cs="Simplified Arabic" w:hint="cs"/>
          <w:b/>
          <w:bCs/>
          <w:color w:val="FF0000"/>
          <w:sz w:val="36"/>
          <w:szCs w:val="36"/>
          <w:u w:val="single"/>
          <w:rtl/>
          <w:lang w:bidi="ar-DZ"/>
        </w:rPr>
        <w:t xml:space="preserve">المحور </w:t>
      </w:r>
      <w:proofErr w:type="gramStart"/>
      <w:r>
        <w:rPr>
          <w:rFonts w:ascii="Simplified Arabic" w:hAnsi="Simplified Arabic" w:cs="Simplified Arabic" w:hint="cs"/>
          <w:b/>
          <w:bCs/>
          <w:color w:val="FF0000"/>
          <w:sz w:val="36"/>
          <w:szCs w:val="36"/>
          <w:u w:val="single"/>
          <w:rtl/>
          <w:lang w:bidi="ar-DZ"/>
        </w:rPr>
        <w:t>الأول :</w:t>
      </w:r>
      <w:proofErr w:type="gramEnd"/>
      <w:r>
        <w:rPr>
          <w:rFonts w:ascii="Simplified Arabic" w:hAnsi="Simplified Arabic" w:cs="Simplified Arabic" w:hint="cs"/>
          <w:b/>
          <w:bCs/>
          <w:color w:val="FF0000"/>
          <w:sz w:val="36"/>
          <w:szCs w:val="36"/>
          <w:u w:val="single"/>
          <w:rtl/>
          <w:lang w:bidi="ar-DZ"/>
        </w:rPr>
        <w:t xml:space="preserve"> عموميات حول التحليل المالي </w:t>
      </w:r>
    </w:p>
    <w:p w:rsidR="006D2A39" w:rsidRPr="009D2334" w:rsidRDefault="006D2A39" w:rsidP="006D2A39">
      <w:pPr>
        <w:tabs>
          <w:tab w:val="left" w:pos="5295"/>
        </w:tabs>
        <w:bidi/>
        <w:jc w:val="both"/>
        <w:rPr>
          <w:rFonts w:ascii="Simplified Arabic" w:hAnsi="Simplified Arabic" w:cs="Simplified Arabic"/>
          <w:b/>
          <w:bCs/>
          <w:color w:val="FF0000"/>
          <w:sz w:val="36"/>
          <w:szCs w:val="36"/>
          <w:u w:val="single"/>
          <w:rtl/>
          <w:lang w:bidi="ar-DZ"/>
        </w:rPr>
      </w:pPr>
      <w:r w:rsidRPr="0025087C">
        <w:rPr>
          <w:rFonts w:ascii="Simplified Arabic" w:hAnsi="Simplified Arabic" w:cs="Simplified Arabic" w:hint="cs"/>
          <w:sz w:val="28"/>
          <w:szCs w:val="28"/>
          <w:rtl/>
          <w:lang w:bidi="ar-DZ"/>
        </w:rPr>
        <w:t>يعتبر</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التحليل</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المالي</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عملية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التشخيص</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المالي</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للمؤسسة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خلال</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دورة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إنتاجية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معينة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أو</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خلال</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عدة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دورات</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و</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يهتم</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به</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عدة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جهات</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تسعى</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لمعرفة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الوضعية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المالية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للمؤسسة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و</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الوقوف</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على</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المركز</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المالي</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من</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خلال</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تحديد</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نقاط</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القوة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و</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الضعف</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الداخلية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من</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أجل</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بناء</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الاستراتيجيات</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المالية</w:t>
      </w:r>
      <w:r w:rsidRPr="0025087C">
        <w:rPr>
          <w:rFonts w:ascii="Simplified Arabic" w:hAnsi="Simplified Arabic" w:cs="Simplified Arabic"/>
          <w:sz w:val="28"/>
          <w:szCs w:val="28"/>
          <w:rtl/>
          <w:lang w:bidi="ar-DZ"/>
        </w:rPr>
        <w:t xml:space="preserve"> </w:t>
      </w:r>
      <w:r w:rsidRPr="0025087C">
        <w:rPr>
          <w:rFonts w:ascii="Simplified Arabic" w:hAnsi="Simplified Arabic" w:cs="Simplified Arabic" w:hint="cs"/>
          <w:sz w:val="28"/>
          <w:szCs w:val="28"/>
          <w:rtl/>
          <w:lang w:bidi="ar-DZ"/>
        </w:rPr>
        <w:t>للمؤسسة</w:t>
      </w:r>
    </w:p>
    <w:p w:rsidR="006D2A39" w:rsidRPr="009D2334" w:rsidRDefault="006D2A39" w:rsidP="006D2A39">
      <w:pPr>
        <w:jc w:val="right"/>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highlight w:val="green"/>
          <w:u w:val="single"/>
          <w:rtl/>
          <w:lang w:bidi="ar-DZ"/>
        </w:rPr>
        <w:t>1</w:t>
      </w:r>
      <w:r>
        <w:rPr>
          <w:rFonts w:ascii="Simplified Arabic" w:hAnsi="Simplified Arabic" w:cs="Simplified Arabic" w:hint="cs"/>
          <w:b/>
          <w:bCs/>
          <w:sz w:val="28"/>
          <w:szCs w:val="28"/>
          <w:rtl/>
          <w:lang w:bidi="ar-DZ"/>
        </w:rPr>
        <w:t>.</w:t>
      </w:r>
      <w:proofErr w:type="gramStart"/>
      <w:r w:rsidRPr="009D2334">
        <w:rPr>
          <w:rFonts w:ascii="Simplified Arabic" w:hAnsi="Simplified Arabic" w:cs="Simplified Arabic" w:hint="cs"/>
          <w:b/>
          <w:bCs/>
          <w:color w:val="FF0000"/>
          <w:sz w:val="28"/>
          <w:szCs w:val="28"/>
          <w:highlight w:val="green"/>
          <w:u w:val="single"/>
          <w:rtl/>
          <w:lang w:bidi="ar-DZ"/>
        </w:rPr>
        <w:t>مفهوم</w:t>
      </w:r>
      <w:proofErr w:type="gramEnd"/>
      <w:r w:rsidRPr="009D2334">
        <w:rPr>
          <w:rFonts w:ascii="Simplified Arabic" w:hAnsi="Simplified Arabic" w:cs="Simplified Arabic" w:hint="cs"/>
          <w:b/>
          <w:bCs/>
          <w:color w:val="FF0000"/>
          <w:sz w:val="28"/>
          <w:szCs w:val="28"/>
          <w:highlight w:val="green"/>
          <w:u w:val="single"/>
          <w:rtl/>
          <w:lang w:bidi="ar-DZ"/>
        </w:rPr>
        <w:t xml:space="preserve"> التحليل المالي:</w:t>
      </w:r>
    </w:p>
    <w:p w:rsidR="006D2A39" w:rsidRDefault="006D2A39" w:rsidP="006D2A3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وردت عدة تعاريف للتحليل المالي ، يمكن أن نذكر أهمها فيما يلي:</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التحليل</w:t>
      </w:r>
      <w:proofErr w:type="gramEnd"/>
      <w:r>
        <w:rPr>
          <w:rFonts w:ascii="Simplified Arabic" w:hAnsi="Simplified Arabic" w:cs="Simplified Arabic" w:hint="cs"/>
          <w:sz w:val="28"/>
          <w:szCs w:val="28"/>
          <w:rtl/>
          <w:lang w:bidi="ar-DZ"/>
        </w:rPr>
        <w:t xml:space="preserve"> المالي عبارة عن معالجة منظمة للبيانات المتاحة بهدف الحصول على معلومات تستعمل في عملية اتخاذ القرار وتقييم أداء المؤسسات في الماضي والحاضر، وتوقع ما ستكون عليه مستقبلا؛</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يعرف التحليل المالي على أنه عبارة عن عملية حسابية يتم من خلالها تحويل الارقام الواردة في البيانات والجداول المالية والمحاسبية إما السابقة أو الحالية لمؤسسة ما إلى أرقام ونسب مئوية، وإيجاد ارتباطات ما بين تلك الأرقام والنسب، ومن تم استخراج مجموعة من المؤشرات التي تساعد المؤسسة على اتخاذ القرارات والتدابير الملائمة، وبالتالي تطوير عملياتها </w:t>
      </w:r>
      <w:r w:rsidRPr="00971AAA">
        <w:rPr>
          <w:rFonts w:ascii="Simplified Arabic" w:hAnsi="Simplified Arabic" w:cs="Simplified Arabic" w:hint="cs"/>
          <w:sz w:val="28"/>
          <w:szCs w:val="28"/>
          <w:rtl/>
          <w:lang w:bidi="ar-DZ"/>
        </w:rPr>
        <w:t>بما يلبي</w:t>
      </w:r>
      <w:r>
        <w:rPr>
          <w:rFonts w:ascii="Simplified Arabic" w:hAnsi="Simplified Arabic" w:cs="Simplified Arabic" w:hint="cs"/>
          <w:sz w:val="28"/>
          <w:szCs w:val="28"/>
          <w:rtl/>
          <w:lang w:bidi="ar-DZ"/>
        </w:rPr>
        <w:t xml:space="preserve"> وتحقيق الأهداف التي تسعى لتحقيقيها. </w:t>
      </w:r>
    </w:p>
    <w:p w:rsidR="006D2A39" w:rsidRPr="00810AC5"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كذلك</w:t>
      </w:r>
      <w:proofErr w:type="gramEnd"/>
      <w:r>
        <w:rPr>
          <w:rFonts w:ascii="Simplified Arabic" w:hAnsi="Simplified Arabic" w:cs="Simplified Arabic" w:hint="cs"/>
          <w:sz w:val="28"/>
          <w:szCs w:val="28"/>
          <w:rtl/>
          <w:lang w:bidi="ar-DZ"/>
        </w:rPr>
        <w:t xml:space="preserve"> يمكن تعريف التحليل المالي على أنه القيام بتشخيص الوضعية المالية للمؤسسة الاقتصادية من جوانب مختلفة وبتاريخ معين عادة ما يكون تاريخ إقفال القوائم المالية، بغية الوقوف على نقاط القوة للحفاظ عليها وتدعيمها مستقبلا وكذا نقاط الضعف وتحديدها وتجنبيها مستقبلا.</w:t>
      </w:r>
    </w:p>
    <w:p w:rsidR="006D2A39" w:rsidRPr="009D2334" w:rsidRDefault="006D2A39" w:rsidP="006D2A39">
      <w:pPr>
        <w:bidi/>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highlight w:val="green"/>
          <w:u w:val="single"/>
          <w:rtl/>
          <w:lang w:bidi="ar-DZ"/>
        </w:rPr>
        <w:t>2.</w:t>
      </w:r>
      <w:proofErr w:type="gramStart"/>
      <w:r w:rsidRPr="009D2334">
        <w:rPr>
          <w:rFonts w:ascii="Simplified Arabic" w:hAnsi="Simplified Arabic" w:cs="Simplified Arabic" w:hint="cs"/>
          <w:b/>
          <w:bCs/>
          <w:color w:val="FF0000"/>
          <w:sz w:val="28"/>
          <w:szCs w:val="28"/>
          <w:highlight w:val="green"/>
          <w:u w:val="single"/>
          <w:rtl/>
          <w:lang w:bidi="ar-DZ"/>
        </w:rPr>
        <w:t>أهمية</w:t>
      </w:r>
      <w:proofErr w:type="gramEnd"/>
      <w:r w:rsidRPr="009D2334">
        <w:rPr>
          <w:rFonts w:ascii="Simplified Arabic" w:hAnsi="Simplified Arabic" w:cs="Simplified Arabic" w:hint="cs"/>
          <w:b/>
          <w:bCs/>
          <w:color w:val="FF0000"/>
          <w:sz w:val="28"/>
          <w:szCs w:val="28"/>
          <w:highlight w:val="green"/>
          <w:u w:val="single"/>
          <w:rtl/>
          <w:lang w:bidi="ar-DZ"/>
        </w:rPr>
        <w:t xml:space="preserve"> التحليل المالي:</w:t>
      </w:r>
      <w:r w:rsidRPr="009D2334">
        <w:rPr>
          <w:rFonts w:ascii="Simplified Arabic" w:hAnsi="Simplified Arabic" w:cs="Simplified Arabic" w:hint="cs"/>
          <w:b/>
          <w:bCs/>
          <w:color w:val="FF0000"/>
          <w:sz w:val="28"/>
          <w:szCs w:val="28"/>
          <w:u w:val="single"/>
          <w:rtl/>
          <w:lang w:bidi="ar-DZ"/>
        </w:rPr>
        <w:t xml:space="preserve"> </w:t>
      </w:r>
    </w:p>
    <w:p w:rsidR="006D2A39" w:rsidRPr="000E048B"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استخدام التحليل المالي بالمؤسسة يمثل أهمية كبيرة للمؤسسة </w:t>
      </w:r>
      <w:proofErr w:type="gramStart"/>
      <w:r>
        <w:rPr>
          <w:rFonts w:ascii="Simplified Arabic" w:hAnsi="Simplified Arabic" w:cs="Simplified Arabic" w:hint="cs"/>
          <w:sz w:val="28"/>
          <w:szCs w:val="28"/>
          <w:rtl/>
          <w:lang w:bidi="ar-DZ"/>
        </w:rPr>
        <w:t>ذاتها</w:t>
      </w:r>
      <w:proofErr w:type="gramEnd"/>
      <w:r>
        <w:rPr>
          <w:rFonts w:ascii="Simplified Arabic" w:hAnsi="Simplified Arabic" w:cs="Simplified Arabic" w:hint="cs"/>
          <w:sz w:val="28"/>
          <w:szCs w:val="28"/>
          <w:rtl/>
          <w:lang w:bidi="ar-DZ"/>
        </w:rPr>
        <w:t xml:space="preserve"> ولبيئة العمل فيها، وتتلخص هذه الأهمية في النقاط التالية: </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تقييم</w:t>
      </w:r>
      <w:proofErr w:type="gramEnd"/>
      <w:r>
        <w:rPr>
          <w:rFonts w:ascii="Simplified Arabic" w:hAnsi="Simplified Arabic" w:cs="Simplified Arabic" w:hint="cs"/>
          <w:sz w:val="28"/>
          <w:szCs w:val="28"/>
          <w:rtl/>
          <w:lang w:bidi="ar-DZ"/>
        </w:rPr>
        <w:t xml:space="preserve"> الوضعية المالية والنقدية للمؤسسة؛</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اكتشاف</w:t>
      </w:r>
      <w:proofErr w:type="gramEnd"/>
      <w:r>
        <w:rPr>
          <w:rFonts w:ascii="Simplified Arabic" w:hAnsi="Simplified Arabic" w:cs="Simplified Arabic" w:hint="cs"/>
          <w:sz w:val="28"/>
          <w:szCs w:val="28"/>
          <w:rtl/>
          <w:lang w:bidi="ar-DZ"/>
        </w:rPr>
        <w:t xml:space="preserve"> فرص جديدة للاستثمار؛</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-المساعدة على الرقابة وتقييم الأداء لاتخاذ الإجراءات التصحيحية الملائمة؛</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المساعدة على التخطيط المالي الجيد؛</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يعتبر أداة للتحليل الاستراتيجي يسمح بالتعرف على نقاط الضعف والقوة في أداء المؤسسة ؛</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التنبؤ باحتمالات تعرض المؤسسة للفشل المالي، وما يجب اتخاده من اجراءات لتفاديه؛</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تقييم</w:t>
      </w:r>
      <w:proofErr w:type="gramEnd"/>
      <w:r>
        <w:rPr>
          <w:rFonts w:ascii="Simplified Arabic" w:hAnsi="Simplified Arabic" w:cs="Simplified Arabic" w:hint="cs"/>
          <w:sz w:val="28"/>
          <w:szCs w:val="28"/>
          <w:rtl/>
          <w:lang w:bidi="ar-DZ"/>
        </w:rPr>
        <w:t xml:space="preserve"> أداء المؤسسة في جانب الاستغلال وما تم اتخاذه من قرارات استثمار وتمويل، وبالتالي فهو يسمح بمعرفة حسن استخدام الموارد المتاحة بكفاءة؛</w: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تحديد</w:t>
      </w:r>
      <w:proofErr w:type="gramEnd"/>
      <w:r>
        <w:rPr>
          <w:rFonts w:ascii="Simplified Arabic" w:hAnsi="Simplified Arabic" w:cs="Simplified Arabic" w:hint="cs"/>
          <w:sz w:val="28"/>
          <w:szCs w:val="28"/>
          <w:rtl/>
          <w:lang w:bidi="ar-DZ"/>
        </w:rPr>
        <w:t xml:space="preserve"> العوامل ذات التأثير على السعر السوقي لأسهم المؤسسة باعتباره مؤشرا لقيمة المؤسسة وتعظيم ثروة الملاك، والهدف المحوري الذي تسهر الإدارة المالية على تحقيقه.</w:t>
      </w:r>
    </w:p>
    <w:p w:rsidR="006D2A39" w:rsidRPr="009D2334" w:rsidRDefault="006D2A39" w:rsidP="006D2A39">
      <w:pPr>
        <w:bidi/>
        <w:spacing w:line="240" w:lineRule="auto"/>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highlight w:val="green"/>
          <w:u w:val="single"/>
          <w:rtl/>
          <w:lang w:bidi="ar-DZ"/>
        </w:rPr>
        <w:t>3.</w:t>
      </w:r>
      <w:proofErr w:type="gramStart"/>
      <w:r w:rsidRPr="009D2334">
        <w:rPr>
          <w:rFonts w:ascii="Simplified Arabic" w:hAnsi="Simplified Arabic" w:cs="Simplified Arabic" w:hint="cs"/>
          <w:b/>
          <w:bCs/>
          <w:color w:val="FF0000"/>
          <w:sz w:val="28"/>
          <w:szCs w:val="28"/>
          <w:highlight w:val="green"/>
          <w:u w:val="single"/>
          <w:rtl/>
          <w:lang w:bidi="ar-DZ"/>
        </w:rPr>
        <w:t>أهداف</w:t>
      </w:r>
      <w:proofErr w:type="gramEnd"/>
      <w:r w:rsidRPr="009D2334">
        <w:rPr>
          <w:rFonts w:ascii="Simplified Arabic" w:hAnsi="Simplified Arabic" w:cs="Simplified Arabic" w:hint="cs"/>
          <w:b/>
          <w:bCs/>
          <w:color w:val="FF0000"/>
          <w:sz w:val="28"/>
          <w:szCs w:val="28"/>
          <w:highlight w:val="green"/>
          <w:u w:val="single"/>
          <w:rtl/>
          <w:lang w:bidi="ar-DZ"/>
        </w:rPr>
        <w:t xml:space="preserve"> التحليل المالي:</w:t>
      </w:r>
      <w:r w:rsidRPr="009D2334">
        <w:rPr>
          <w:rFonts w:ascii="Simplified Arabic" w:hAnsi="Simplified Arabic" w:cs="Simplified Arabic" w:hint="cs"/>
          <w:b/>
          <w:bCs/>
          <w:color w:val="FF0000"/>
          <w:sz w:val="28"/>
          <w:szCs w:val="28"/>
          <w:u w:val="single"/>
          <w:rtl/>
          <w:lang w:bidi="ar-DZ"/>
        </w:rPr>
        <w:t xml:space="preserve"> </w:t>
      </w:r>
    </w:p>
    <w:p w:rsidR="006D2A39" w:rsidRDefault="006D2A39" w:rsidP="006D2A39">
      <w:pPr>
        <w:bidi/>
        <w:spacing w:line="24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يعتبر</w:t>
      </w:r>
      <w:proofErr w:type="gramEnd"/>
      <w:r>
        <w:rPr>
          <w:rFonts w:ascii="Simplified Arabic" w:hAnsi="Simplified Arabic" w:cs="Simplified Arabic" w:hint="cs"/>
          <w:sz w:val="28"/>
          <w:szCs w:val="28"/>
          <w:rtl/>
          <w:lang w:bidi="ar-DZ"/>
        </w:rPr>
        <w:t xml:space="preserve"> التحليل المالي من أهم الأسس التي يعتمد عليها في بناء واتخاذ القرارات، والحكم على مدى كفاءة الإدارة وقدرتها على تحقيق الاستثمار الأفضل للموارد. وعليه </w:t>
      </w:r>
      <w:proofErr w:type="gramStart"/>
      <w:r>
        <w:rPr>
          <w:rFonts w:ascii="Simplified Arabic" w:hAnsi="Simplified Arabic" w:cs="Simplified Arabic" w:hint="cs"/>
          <w:sz w:val="28"/>
          <w:szCs w:val="28"/>
          <w:rtl/>
          <w:lang w:bidi="ar-DZ"/>
        </w:rPr>
        <w:t>فإن</w:t>
      </w:r>
      <w:proofErr w:type="gramEnd"/>
      <w:r>
        <w:rPr>
          <w:rFonts w:ascii="Simplified Arabic" w:hAnsi="Simplified Arabic" w:cs="Simplified Arabic" w:hint="cs"/>
          <w:sz w:val="28"/>
          <w:szCs w:val="28"/>
          <w:rtl/>
          <w:lang w:bidi="ar-DZ"/>
        </w:rPr>
        <w:t xml:space="preserve"> التحليل المالي للمؤسسة يهدف إلى تحقيق مجموعة من الأهداف نلخصها في الشكل التالي: </w:t>
      </w:r>
    </w:p>
    <w:p w:rsidR="006D2A39" w:rsidRPr="004D1A38" w:rsidRDefault="006D2A39" w:rsidP="006D2A39">
      <w:pPr>
        <w:tabs>
          <w:tab w:val="left" w:pos="3222"/>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59264" behindDoc="0" locked="0" layoutInCell="1" allowOverlap="1" wp14:anchorId="2FCEAE73" wp14:editId="27073DFB">
                <wp:simplePos x="0" y="0"/>
                <wp:positionH relativeFrom="column">
                  <wp:posOffset>1338580</wp:posOffset>
                </wp:positionH>
                <wp:positionV relativeFrom="paragraph">
                  <wp:posOffset>378460</wp:posOffset>
                </wp:positionV>
                <wp:extent cx="2800350" cy="628650"/>
                <wp:effectExtent l="57150" t="38100" r="76200" b="95250"/>
                <wp:wrapNone/>
                <wp:docPr id="13" name="Rectangle 13"/>
                <wp:cNvGraphicFramePr/>
                <a:graphic xmlns:a="http://schemas.openxmlformats.org/drawingml/2006/main">
                  <a:graphicData uri="http://schemas.microsoft.com/office/word/2010/wordprocessingShape">
                    <wps:wsp>
                      <wps:cNvSpPr/>
                      <wps:spPr>
                        <a:xfrm>
                          <a:off x="0" y="0"/>
                          <a:ext cx="2800350" cy="62865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6D2A39" w:rsidRPr="00966ACB" w:rsidRDefault="006D2A39" w:rsidP="006D2A39">
                            <w:pPr>
                              <w:jc w:val="center"/>
                              <w:rPr>
                                <w:rFonts w:ascii="Simplified Arabic" w:hAnsi="Simplified Arabic" w:cs="Simplified Arabic"/>
                                <w:b/>
                                <w:bCs/>
                                <w:color w:val="000000" w:themeColor="text1"/>
                                <w:sz w:val="24"/>
                                <w:szCs w:val="24"/>
                                <w:lang w:bidi="ar-DZ"/>
                              </w:rPr>
                            </w:pPr>
                            <w:r w:rsidRPr="00966ACB">
                              <w:rPr>
                                <w:rFonts w:ascii="Simplified Arabic" w:hAnsi="Simplified Arabic" w:cs="Simplified Arabic"/>
                                <w:b/>
                                <w:bCs/>
                                <w:color w:val="000000" w:themeColor="text1"/>
                                <w:sz w:val="24"/>
                                <w:szCs w:val="24"/>
                                <w:rtl/>
                                <w:lang w:bidi="ar-DZ"/>
                              </w:rPr>
                              <w:t xml:space="preserve">تقييم الاستراتيجية المعتمدة في إدارة الجماعة المحلية ومدى تلاؤمه مع الأهداف المضبوطة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105.4pt;margin-top:29.8pt;width:22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" fillcolor="#ffa2a1" strokecolor="#be4b48">
                <v:fill color2="#ffe5e5" rotate="t" angle="180" colors="0 #ffa2a1;22938f #ffbebd;1 #ffe5e5" focus="100%" type="gradient"/>
                <v:shadow on="t" color="black" opacity="24903f" origin=",.5" offset="0,.55556mm"/>
                <v:textbox>
                  <w:txbxContent>
                    <w:p w:rsidR="006D2A39" w:rsidRPr="00966ACB" w:rsidRDefault="006D2A39" w:rsidP="006D2A39">
                      <w:pPr>
                        <w:jc w:val="center"/>
                        <w:rPr>
                          <w:rFonts w:ascii="Simplified Arabic" w:hAnsi="Simplified Arabic" w:cs="Simplified Arabic"/>
                          <w:b/>
                          <w:bCs/>
                          <w:color w:val="000000" w:themeColor="text1"/>
                          <w:sz w:val="24"/>
                          <w:szCs w:val="24"/>
                          <w:lang w:bidi="ar-DZ"/>
                        </w:rPr>
                      </w:pPr>
                      <w:r w:rsidRPr="00966ACB">
                        <w:rPr>
                          <w:rFonts w:ascii="Simplified Arabic" w:hAnsi="Simplified Arabic" w:cs="Simplified Arabic"/>
                          <w:b/>
                          <w:bCs/>
                          <w:color w:val="000000" w:themeColor="text1"/>
                          <w:sz w:val="24"/>
                          <w:szCs w:val="24"/>
                          <w:rtl/>
                          <w:lang w:bidi="ar-DZ"/>
                        </w:rPr>
                        <w:t xml:space="preserve">تقييم الاستراتيجية المعتمدة في إدارة الجماعة المحلية ومدى تلاؤمه مع الأهداف المضبوطة  </w:t>
                      </w:r>
                    </w:p>
                  </w:txbxContent>
                </v:textbox>
              </v:rect>
            </w:pict>
          </mc:Fallback>
        </mc:AlternateContent>
      </w:r>
      <w:r>
        <w:rPr>
          <w:rFonts w:ascii="Simplified Arabic" w:hAnsi="Simplified Arabic" w:cs="Simplified Arabic"/>
          <w:sz w:val="28"/>
          <w:szCs w:val="28"/>
          <w:rtl/>
          <w:lang w:bidi="ar-DZ"/>
        </w:rPr>
        <w:tab/>
      </w:r>
      <w:r w:rsidRPr="004D1A38">
        <w:rPr>
          <w:rFonts w:ascii="Simplified Arabic" w:hAnsi="Simplified Arabic" w:cs="Simplified Arabic" w:hint="cs"/>
          <w:b/>
          <w:bCs/>
          <w:sz w:val="28"/>
          <w:szCs w:val="28"/>
          <w:rtl/>
          <w:lang w:bidi="ar-DZ"/>
        </w:rPr>
        <w:t xml:space="preserve">الشكل رقم (01): </w:t>
      </w:r>
      <w:proofErr w:type="gramStart"/>
      <w:r w:rsidRPr="004D1A38">
        <w:rPr>
          <w:rFonts w:ascii="Simplified Arabic" w:hAnsi="Simplified Arabic" w:cs="Simplified Arabic" w:hint="cs"/>
          <w:b/>
          <w:bCs/>
          <w:sz w:val="28"/>
          <w:szCs w:val="28"/>
          <w:rtl/>
          <w:lang w:bidi="ar-DZ"/>
        </w:rPr>
        <w:t>أهداف</w:t>
      </w:r>
      <w:proofErr w:type="gramEnd"/>
      <w:r w:rsidRPr="004D1A38">
        <w:rPr>
          <w:rFonts w:ascii="Simplified Arabic" w:hAnsi="Simplified Arabic" w:cs="Simplified Arabic" w:hint="cs"/>
          <w:b/>
          <w:bCs/>
          <w:sz w:val="28"/>
          <w:szCs w:val="28"/>
          <w:rtl/>
          <w:lang w:bidi="ar-DZ"/>
        </w:rPr>
        <w:t xml:space="preserve"> التحليل المالي </w:t>
      </w:r>
    </w:p>
    <w:p w:rsidR="006D2A39" w:rsidRDefault="006D2A39" w:rsidP="006D2A39">
      <w:pPr>
        <w:bidi/>
        <w:spacing w:line="240" w:lineRule="auto"/>
        <w:jc w:val="both"/>
        <w:rPr>
          <w:rFonts w:ascii="Simplified Arabic" w:hAnsi="Simplified Arabic" w:cs="Simplified Arabic"/>
          <w:sz w:val="28"/>
          <w:szCs w:val="28"/>
          <w:rtl/>
          <w:lang w:bidi="ar-DZ"/>
        </w:rPr>
      </w:pP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1312" behindDoc="0" locked="0" layoutInCell="1" allowOverlap="1" wp14:anchorId="4892F253" wp14:editId="4867381D">
                <wp:simplePos x="0" y="0"/>
                <wp:positionH relativeFrom="column">
                  <wp:posOffset>4186555</wp:posOffset>
                </wp:positionH>
                <wp:positionV relativeFrom="paragraph">
                  <wp:posOffset>290830</wp:posOffset>
                </wp:positionV>
                <wp:extent cx="2257425" cy="314325"/>
                <wp:effectExtent l="57150" t="38100" r="85725" b="123825"/>
                <wp:wrapNone/>
                <wp:docPr id="15" name="Rectangle 15"/>
                <wp:cNvGraphicFramePr/>
                <a:graphic xmlns:a="http://schemas.openxmlformats.org/drawingml/2006/main">
                  <a:graphicData uri="http://schemas.microsoft.com/office/word/2010/wordprocessingShape">
                    <wps:wsp>
                      <wps:cNvSpPr/>
                      <wps:spPr>
                        <a:xfrm>
                          <a:off x="0" y="0"/>
                          <a:ext cx="2257425" cy="314325"/>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D2A39" w:rsidRPr="00966ACB" w:rsidRDefault="006D2A39" w:rsidP="006D2A39">
                            <w:pPr>
                              <w:jc w:val="center"/>
                              <w:rPr>
                                <w:rFonts w:ascii="Simplified Arabic" w:hAnsi="Simplified Arabic" w:cs="Simplified Arabic"/>
                                <w:b/>
                                <w:bCs/>
                                <w:color w:val="000000" w:themeColor="text1"/>
                                <w:sz w:val="24"/>
                                <w:szCs w:val="24"/>
                                <w:lang w:bidi="ar-DZ"/>
                              </w:rPr>
                            </w:pPr>
                            <w:r w:rsidRPr="00966ACB">
                              <w:rPr>
                                <w:rFonts w:hint="cs"/>
                                <w:b/>
                                <w:bCs/>
                                <w:color w:val="000000" w:themeColor="text1"/>
                                <w:sz w:val="24"/>
                                <w:szCs w:val="24"/>
                                <w:rtl/>
                                <w:lang w:bidi="ar-DZ"/>
                              </w:rPr>
                              <w:t>تقييم القدرة على تعبئة الموارد المتاحة</w:t>
                            </w:r>
                            <w:r w:rsidRPr="00966ACB">
                              <w:rPr>
                                <w:rFonts w:ascii="Simplified Arabic" w:hAnsi="Simplified Arabic" w:cs="Simplified Arabic" w:hint="cs"/>
                                <w:b/>
                                <w:bCs/>
                                <w:color w:val="000000" w:themeColor="text1"/>
                                <w:sz w:val="28"/>
                                <w:szCs w:val="28"/>
                                <w:rtl/>
                                <w:lang w:bidi="ar-DZ"/>
                              </w:rPr>
                              <w:t xml:space="preserve"> </w:t>
                            </w:r>
                          </w:p>
                          <w:p w:rsidR="006D2A39" w:rsidRDefault="006D2A39" w:rsidP="006D2A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left:0;text-align:left;margin-left:329.65pt;margin-top:22.9pt;width:177.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" fillcolor="#9b2d2a" stroked="f">
                <v:fill color2="#ce3b37" rotate="t" angle="180" colors="0 #9b2d2a;52429f #cb3d3a;1 #ce3b37" focus="100%" type="gradient">
                  <o:fill v:ext="view" type="gradientUnscaled"/>
                </v:fill>
                <v:shadow on="t" color="black" opacity="22937f" origin=",.5" offset="0,.63889mm"/>
                <v:textbox>
                  <w:txbxContent>
                    <w:p w:rsidR="006D2A39" w:rsidRPr="00966ACB" w:rsidRDefault="006D2A39" w:rsidP="006D2A39">
                      <w:pPr>
                        <w:jc w:val="center"/>
                        <w:rPr>
                          <w:rFonts w:ascii="Simplified Arabic" w:hAnsi="Simplified Arabic" w:cs="Simplified Arabic"/>
                          <w:b/>
                          <w:bCs/>
                          <w:color w:val="000000" w:themeColor="text1"/>
                          <w:sz w:val="24"/>
                          <w:szCs w:val="24"/>
                          <w:lang w:bidi="ar-DZ"/>
                        </w:rPr>
                      </w:pPr>
                      <w:r w:rsidRPr="00966ACB">
                        <w:rPr>
                          <w:rFonts w:hint="cs"/>
                          <w:b/>
                          <w:bCs/>
                          <w:color w:val="000000" w:themeColor="text1"/>
                          <w:sz w:val="24"/>
                          <w:szCs w:val="24"/>
                          <w:rtl/>
                          <w:lang w:bidi="ar-DZ"/>
                        </w:rPr>
                        <w:t>تقييم القدرة على تعبئة الموارد المتاحة</w:t>
                      </w:r>
                      <w:r w:rsidRPr="00966ACB">
                        <w:rPr>
                          <w:rFonts w:ascii="Simplified Arabic" w:hAnsi="Simplified Arabic" w:cs="Simplified Arabic" w:hint="cs"/>
                          <w:b/>
                          <w:bCs/>
                          <w:color w:val="000000" w:themeColor="text1"/>
                          <w:sz w:val="28"/>
                          <w:szCs w:val="28"/>
                          <w:rtl/>
                          <w:lang w:bidi="ar-DZ"/>
                        </w:rPr>
                        <w:t xml:space="preserve"> </w:t>
                      </w:r>
                    </w:p>
                    <w:p w:rsidR="006D2A39" w:rsidRDefault="006D2A39" w:rsidP="006D2A39"/>
                  </w:txbxContent>
                </v:textbox>
              </v:rect>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2576" behindDoc="0" locked="0" layoutInCell="1" allowOverlap="1" wp14:anchorId="3AE081D5" wp14:editId="51E1A54A">
                <wp:simplePos x="0" y="0"/>
                <wp:positionH relativeFrom="column">
                  <wp:posOffset>3576955</wp:posOffset>
                </wp:positionH>
                <wp:positionV relativeFrom="paragraph">
                  <wp:posOffset>414655</wp:posOffset>
                </wp:positionV>
                <wp:extent cx="561975" cy="342900"/>
                <wp:effectExtent l="57150" t="38100" r="47625" b="95250"/>
                <wp:wrapNone/>
                <wp:docPr id="26" name="Connecteur droit avec flèche 26"/>
                <wp:cNvGraphicFramePr/>
                <a:graphic xmlns:a="http://schemas.openxmlformats.org/drawingml/2006/main">
                  <a:graphicData uri="http://schemas.microsoft.com/office/word/2010/wordprocessingShape">
                    <wps:wsp>
                      <wps:cNvCnPr/>
                      <wps:spPr>
                        <a:xfrm flipV="1">
                          <a:off x="0" y="0"/>
                          <a:ext cx="561975" cy="3429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6" o:spid="_x0000_s1026" type="#_x0000_t32" style="position:absolute;margin-left:281.65pt;margin-top:32.65pt;width:44.25pt;height:27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8480" behindDoc="0" locked="0" layoutInCell="1" allowOverlap="1" wp14:anchorId="588EEAB6" wp14:editId="7DCF385B">
                <wp:simplePos x="0" y="0"/>
                <wp:positionH relativeFrom="column">
                  <wp:posOffset>2976880</wp:posOffset>
                </wp:positionH>
                <wp:positionV relativeFrom="paragraph">
                  <wp:posOffset>157481</wp:posOffset>
                </wp:positionV>
                <wp:extent cx="0" cy="438149"/>
                <wp:effectExtent l="152400" t="38100" r="76200" b="76835"/>
                <wp:wrapNone/>
                <wp:docPr id="22" name="Connecteur droit avec flèche 22"/>
                <wp:cNvGraphicFramePr/>
                <a:graphic xmlns:a="http://schemas.openxmlformats.org/drawingml/2006/main">
                  <a:graphicData uri="http://schemas.microsoft.com/office/word/2010/wordprocessingShape">
                    <wps:wsp>
                      <wps:cNvCnPr/>
                      <wps:spPr>
                        <a:xfrm flipV="1">
                          <a:off x="0" y="0"/>
                          <a:ext cx="0" cy="438149"/>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22" o:spid="_x0000_s1026" type="#_x0000_t32" style="position:absolute;margin-left:234.4pt;margin-top:12.4pt;width:0;height:3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5408" behindDoc="0" locked="0" layoutInCell="1" allowOverlap="1" wp14:anchorId="11B1FF03" wp14:editId="7490C49E">
                <wp:simplePos x="0" y="0"/>
                <wp:positionH relativeFrom="column">
                  <wp:posOffset>-747395</wp:posOffset>
                </wp:positionH>
                <wp:positionV relativeFrom="paragraph">
                  <wp:posOffset>290830</wp:posOffset>
                </wp:positionV>
                <wp:extent cx="2438400" cy="314325"/>
                <wp:effectExtent l="57150" t="38100" r="76200" b="123825"/>
                <wp:wrapNone/>
                <wp:docPr id="19" name="Rectangle 19"/>
                <wp:cNvGraphicFramePr/>
                <a:graphic xmlns:a="http://schemas.openxmlformats.org/drawingml/2006/main">
                  <a:graphicData uri="http://schemas.microsoft.com/office/word/2010/wordprocessingShape">
                    <wps:wsp>
                      <wps:cNvSpPr/>
                      <wps:spPr>
                        <a:xfrm>
                          <a:off x="0" y="0"/>
                          <a:ext cx="2438400" cy="314325"/>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D2A39" w:rsidRPr="00454B17" w:rsidRDefault="006D2A39" w:rsidP="006D2A39">
                            <w:pPr>
                              <w:jc w:val="center"/>
                              <w:rPr>
                                <w:rFonts w:ascii="Simplified Arabic" w:hAnsi="Simplified Arabic" w:cs="Simplified Arabic"/>
                                <w:b/>
                                <w:bCs/>
                                <w:lang w:bidi="ar-DZ"/>
                              </w:rPr>
                            </w:pPr>
                            <w:r w:rsidRPr="00454B17">
                              <w:rPr>
                                <w:rFonts w:ascii="Simplified Arabic" w:hAnsi="Simplified Arabic" w:cs="Simplified Arabic"/>
                                <w:b/>
                                <w:bCs/>
                                <w:color w:val="000000" w:themeColor="text1"/>
                                <w:sz w:val="24"/>
                                <w:szCs w:val="24"/>
                                <w:rtl/>
                                <w:lang w:bidi="ar-DZ"/>
                              </w:rPr>
                              <w:t>وضع الاستراتيجيات الجديدة والتخطيط للمستقبل</w:t>
                            </w:r>
                            <w:r w:rsidRPr="00454B17">
                              <w:rPr>
                                <w:rFonts w:ascii="Simplified Arabic" w:hAnsi="Simplified Arabic" w:cs="Simplified Arabic"/>
                                <w:b/>
                                <w:b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8" style="position:absolute;left:0;text-align:left;margin-left:-58.85pt;margin-top:22.9pt;width:192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" fillcolor="#9b2d2a" stroked="f">
                <v:fill color2="#ce3b37" rotate="t" angle="180" colors="0 #9b2d2a;52429f #cb3d3a;1 #ce3b37" focus="100%" type="gradient">
                  <o:fill v:ext="view" type="gradientUnscaled"/>
                </v:fill>
                <v:shadow on="t" color="black" opacity="22937f" origin=",.5" offset="0,.63889mm"/>
                <v:textbox>
                  <w:txbxContent>
                    <w:p w:rsidR="006D2A39" w:rsidRPr="00454B17" w:rsidRDefault="006D2A39" w:rsidP="006D2A39">
                      <w:pPr>
                        <w:jc w:val="center"/>
                        <w:rPr>
                          <w:rFonts w:ascii="Simplified Arabic" w:hAnsi="Simplified Arabic" w:cs="Simplified Arabic"/>
                          <w:b/>
                          <w:bCs/>
                          <w:lang w:bidi="ar-DZ"/>
                        </w:rPr>
                      </w:pPr>
                      <w:r w:rsidRPr="00454B17">
                        <w:rPr>
                          <w:rFonts w:ascii="Simplified Arabic" w:hAnsi="Simplified Arabic" w:cs="Simplified Arabic"/>
                          <w:b/>
                          <w:bCs/>
                          <w:color w:val="000000" w:themeColor="text1"/>
                          <w:sz w:val="24"/>
                          <w:szCs w:val="24"/>
                          <w:rtl/>
                          <w:lang w:bidi="ar-DZ"/>
                        </w:rPr>
                        <w:t>وضع الاستراتيجيات الجديدة والتخطيط للمستقبل</w:t>
                      </w:r>
                      <w:r w:rsidRPr="00454B17">
                        <w:rPr>
                          <w:rFonts w:ascii="Simplified Arabic" w:hAnsi="Simplified Arabic" w:cs="Simplified Arabic"/>
                          <w:b/>
                          <w:bCs/>
                          <w:rtl/>
                          <w:lang w:bidi="ar-DZ"/>
                        </w:rPr>
                        <w:t xml:space="preserve"> </w:t>
                      </w:r>
                    </w:p>
                  </w:txbxContent>
                </v:textbox>
              </v:rect>
            </w:pict>
          </mc:Fallback>
        </mc:AlternateConten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9504" behindDoc="0" locked="0" layoutInCell="1" allowOverlap="1" wp14:anchorId="68CD8E97" wp14:editId="30E4364F">
                <wp:simplePos x="0" y="0"/>
                <wp:positionH relativeFrom="column">
                  <wp:posOffset>1700530</wp:posOffset>
                </wp:positionH>
                <wp:positionV relativeFrom="paragraph">
                  <wp:posOffset>40640</wp:posOffset>
                </wp:positionV>
                <wp:extent cx="666750" cy="295275"/>
                <wp:effectExtent l="19050" t="57150" r="57150" b="85725"/>
                <wp:wrapNone/>
                <wp:docPr id="23" name="Connecteur droit avec flèche 23"/>
                <wp:cNvGraphicFramePr/>
                <a:graphic xmlns:a="http://schemas.openxmlformats.org/drawingml/2006/main">
                  <a:graphicData uri="http://schemas.microsoft.com/office/word/2010/wordprocessingShape">
                    <wps:wsp>
                      <wps:cNvCnPr/>
                      <wps:spPr>
                        <a:xfrm flipH="1" flipV="1">
                          <a:off x="0" y="0"/>
                          <a:ext cx="666750" cy="2952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23" o:spid="_x0000_s1026" type="#_x0000_t32" style="position:absolute;margin-left:133.9pt;margin-top:3.2pt;width:52.5pt;height:23.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0288" behindDoc="0" locked="0" layoutInCell="1" allowOverlap="1" wp14:anchorId="3E044D6A" wp14:editId="461AB7BF">
                <wp:simplePos x="0" y="0"/>
                <wp:positionH relativeFrom="column">
                  <wp:posOffset>2262505</wp:posOffset>
                </wp:positionH>
                <wp:positionV relativeFrom="paragraph">
                  <wp:posOffset>173990</wp:posOffset>
                </wp:positionV>
                <wp:extent cx="1419225" cy="914400"/>
                <wp:effectExtent l="76200" t="38100" r="104775" b="114300"/>
                <wp:wrapNone/>
                <wp:docPr id="14" name="Ellipse 14"/>
                <wp:cNvGraphicFramePr/>
                <a:graphic xmlns:a="http://schemas.openxmlformats.org/drawingml/2006/main">
                  <a:graphicData uri="http://schemas.microsoft.com/office/word/2010/wordprocessingShape">
                    <wps:wsp>
                      <wps:cNvSpPr/>
                      <wps:spPr>
                        <a:xfrm>
                          <a:off x="0" y="0"/>
                          <a:ext cx="1419225" cy="914400"/>
                        </a:xfrm>
                        <a:prstGeom prst="ellipse">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D2A39" w:rsidRPr="00966ACB" w:rsidRDefault="006D2A39" w:rsidP="006D2A39">
                            <w:pPr>
                              <w:jc w:val="center"/>
                              <w:rPr>
                                <w:rFonts w:ascii="Simplified Arabic" w:hAnsi="Simplified Arabic" w:cs="Simplified Arabic"/>
                                <w:b/>
                                <w:bCs/>
                                <w:sz w:val="24"/>
                                <w:szCs w:val="24"/>
                                <w:lang w:bidi="ar-DZ"/>
                              </w:rPr>
                            </w:pPr>
                            <w:proofErr w:type="gramStart"/>
                            <w:r w:rsidRPr="00966ACB">
                              <w:rPr>
                                <w:rFonts w:ascii="Simplified Arabic" w:hAnsi="Simplified Arabic" w:cs="Simplified Arabic"/>
                                <w:b/>
                                <w:bCs/>
                                <w:color w:val="000000" w:themeColor="text1"/>
                                <w:sz w:val="24"/>
                                <w:szCs w:val="24"/>
                                <w:rtl/>
                                <w:lang w:bidi="ar-DZ"/>
                              </w:rPr>
                              <w:t>أهداف</w:t>
                            </w:r>
                            <w:proofErr w:type="gramEnd"/>
                            <w:r w:rsidRPr="00966ACB">
                              <w:rPr>
                                <w:rFonts w:ascii="Simplified Arabic" w:hAnsi="Simplified Arabic" w:cs="Simplified Arabic"/>
                                <w:b/>
                                <w:bCs/>
                                <w:color w:val="000000" w:themeColor="text1"/>
                                <w:sz w:val="24"/>
                                <w:szCs w:val="24"/>
                                <w:rtl/>
                                <w:lang w:bidi="ar-DZ"/>
                              </w:rPr>
                              <w:t xml:space="preserve"> التحليل المالي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4" o:spid="_x0000_s1029" style="position:absolute;left:0;text-align:left;margin-left:178.15pt;margin-top:13.7pt;width:111.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" fillcolor="#9b2d2a" stroked="f">
                <v:fill color2="#ce3b37" rotate="t" angle="180" colors="0 #9b2d2a;52429f #cb3d3a;1 #ce3b37" focus="100%" type="gradient">
                  <o:fill v:ext="view" type="gradientUnscaled"/>
                </v:fill>
                <v:shadow on="t" color="black" opacity="22937f" origin=",.5" offset="0,.63889mm"/>
                <v:textbox>
                  <w:txbxContent>
                    <w:p w:rsidR="006D2A39" w:rsidRPr="00966ACB" w:rsidRDefault="006D2A39" w:rsidP="006D2A39">
                      <w:pPr>
                        <w:jc w:val="center"/>
                        <w:rPr>
                          <w:rFonts w:ascii="Simplified Arabic" w:hAnsi="Simplified Arabic" w:cs="Simplified Arabic"/>
                          <w:b/>
                          <w:bCs/>
                          <w:sz w:val="24"/>
                          <w:szCs w:val="24"/>
                          <w:lang w:bidi="ar-DZ"/>
                        </w:rPr>
                      </w:pPr>
                      <w:proofErr w:type="gramStart"/>
                      <w:r w:rsidRPr="00966ACB">
                        <w:rPr>
                          <w:rFonts w:ascii="Simplified Arabic" w:hAnsi="Simplified Arabic" w:cs="Simplified Arabic"/>
                          <w:b/>
                          <w:bCs/>
                          <w:color w:val="000000" w:themeColor="text1"/>
                          <w:sz w:val="24"/>
                          <w:szCs w:val="24"/>
                          <w:rtl/>
                          <w:lang w:bidi="ar-DZ"/>
                        </w:rPr>
                        <w:t>أهداف</w:t>
                      </w:r>
                      <w:proofErr w:type="gramEnd"/>
                      <w:r w:rsidRPr="00966ACB">
                        <w:rPr>
                          <w:rFonts w:ascii="Simplified Arabic" w:hAnsi="Simplified Arabic" w:cs="Simplified Arabic"/>
                          <w:b/>
                          <w:bCs/>
                          <w:color w:val="000000" w:themeColor="text1"/>
                          <w:sz w:val="24"/>
                          <w:szCs w:val="24"/>
                          <w:rtl/>
                          <w:lang w:bidi="ar-DZ"/>
                        </w:rPr>
                        <w:t xml:space="preserve"> التحليل المالي</w:t>
                      </w:r>
                    </w:p>
                  </w:txbxContent>
                </v:textbox>
              </v:oval>
            </w:pict>
          </mc:Fallback>
        </mc:AlternateConten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3600" behindDoc="0" locked="0" layoutInCell="1" allowOverlap="1" wp14:anchorId="3D9C12E1" wp14:editId="278D223F">
                <wp:simplePos x="0" y="0"/>
                <wp:positionH relativeFrom="column">
                  <wp:posOffset>3681730</wp:posOffset>
                </wp:positionH>
                <wp:positionV relativeFrom="paragraph">
                  <wp:posOffset>227965</wp:posOffset>
                </wp:positionV>
                <wp:extent cx="457200" cy="0"/>
                <wp:effectExtent l="0" t="133350" r="0" b="171450"/>
                <wp:wrapNone/>
                <wp:docPr id="27" name="Connecteur droit avec flèche 2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27" o:spid="_x0000_s1026" type="#_x0000_t32" style="position:absolute;margin-left:289.9pt;margin-top:17.95pt;width:3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0528" behindDoc="0" locked="0" layoutInCell="1" allowOverlap="1" wp14:anchorId="6C67A2ED" wp14:editId="5EE24858">
                <wp:simplePos x="0" y="0"/>
                <wp:positionH relativeFrom="column">
                  <wp:posOffset>1700530</wp:posOffset>
                </wp:positionH>
                <wp:positionV relativeFrom="paragraph">
                  <wp:posOffset>227965</wp:posOffset>
                </wp:positionV>
                <wp:extent cx="561975" cy="9525"/>
                <wp:effectExtent l="0" t="133350" r="0" b="161925"/>
                <wp:wrapNone/>
                <wp:docPr id="24" name="Connecteur droit avec flèche 24"/>
                <wp:cNvGraphicFramePr/>
                <a:graphic xmlns:a="http://schemas.openxmlformats.org/drawingml/2006/main">
                  <a:graphicData uri="http://schemas.microsoft.com/office/word/2010/wordprocessingShape">
                    <wps:wsp>
                      <wps:cNvCnPr/>
                      <wps:spPr>
                        <a:xfrm flipH="1" flipV="1">
                          <a:off x="0" y="0"/>
                          <a:ext cx="561975" cy="95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24" o:spid="_x0000_s1026" type="#_x0000_t32" style="position:absolute;margin-left:133.9pt;margin-top:17.95pt;width:44.25pt;height:.7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2336" behindDoc="0" locked="0" layoutInCell="1" allowOverlap="1" wp14:anchorId="29FE47B0" wp14:editId="1B10FE1C">
                <wp:simplePos x="0" y="0"/>
                <wp:positionH relativeFrom="column">
                  <wp:posOffset>4138930</wp:posOffset>
                </wp:positionH>
                <wp:positionV relativeFrom="paragraph">
                  <wp:posOffset>75565</wp:posOffset>
                </wp:positionV>
                <wp:extent cx="2381250" cy="590550"/>
                <wp:effectExtent l="57150" t="38100" r="76200" b="114300"/>
                <wp:wrapNone/>
                <wp:docPr id="16" name="Rectangle 16"/>
                <wp:cNvGraphicFramePr/>
                <a:graphic xmlns:a="http://schemas.openxmlformats.org/drawingml/2006/main">
                  <a:graphicData uri="http://schemas.microsoft.com/office/word/2010/wordprocessingShape">
                    <wps:wsp>
                      <wps:cNvSpPr/>
                      <wps:spPr>
                        <a:xfrm>
                          <a:off x="0" y="0"/>
                          <a:ext cx="2381250" cy="59055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D2A39" w:rsidRPr="00454B17" w:rsidRDefault="006D2A39" w:rsidP="006D2A39">
                            <w:pPr>
                              <w:jc w:val="center"/>
                              <w:rPr>
                                <w:rFonts w:ascii="Simplified Arabic" w:hAnsi="Simplified Arabic" w:cs="Simplified Arabic"/>
                                <w:b/>
                                <w:bCs/>
                                <w:lang w:bidi="ar-DZ"/>
                              </w:rPr>
                            </w:pPr>
                            <w:r w:rsidRPr="00454B17">
                              <w:rPr>
                                <w:rFonts w:ascii="Simplified Arabic" w:hAnsi="Simplified Arabic" w:cs="Simplified Arabic"/>
                                <w:b/>
                                <w:bCs/>
                                <w:color w:val="000000" w:themeColor="text1"/>
                                <w:sz w:val="24"/>
                                <w:szCs w:val="24"/>
                                <w:rtl/>
                                <w:lang w:bidi="ar-DZ"/>
                              </w:rPr>
                              <w:t xml:space="preserve">تقييم القدرة على الادخار </w:t>
                            </w:r>
                            <w:proofErr w:type="gramStart"/>
                            <w:r w:rsidRPr="00454B17">
                              <w:rPr>
                                <w:rFonts w:ascii="Simplified Arabic" w:hAnsi="Simplified Arabic" w:cs="Simplified Arabic"/>
                                <w:b/>
                                <w:bCs/>
                                <w:color w:val="000000" w:themeColor="text1"/>
                                <w:sz w:val="24"/>
                                <w:szCs w:val="24"/>
                                <w:rtl/>
                                <w:lang w:bidi="ar-DZ"/>
                              </w:rPr>
                              <w:t>وبالتالي</w:t>
                            </w:r>
                            <w:proofErr w:type="gramEnd"/>
                            <w:r w:rsidRPr="00454B17">
                              <w:rPr>
                                <w:rFonts w:ascii="Simplified Arabic" w:hAnsi="Simplified Arabic" w:cs="Simplified Arabic"/>
                                <w:b/>
                                <w:bCs/>
                                <w:color w:val="000000" w:themeColor="text1"/>
                                <w:sz w:val="24"/>
                                <w:szCs w:val="24"/>
                                <w:rtl/>
                                <w:lang w:bidi="ar-DZ"/>
                              </w:rPr>
                              <w:t xml:space="preserve"> على الاستثمار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325.9pt;margin-top:5.95pt;width:18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" fillcolor="#2787a0" stroked="f">
                <v:fill color2="#34b3d6" rotate="t" angle="180" colors="0 #2787a0;52429f #36b1d2;1 #34b3d6" focus="100%" type="gradient">
                  <o:fill v:ext="view" type="gradientUnscaled"/>
                </v:fill>
                <v:shadow on="t" color="black" opacity="22937f" origin=",.5" offset="0,.63889mm"/>
                <v:textbox>
                  <w:txbxContent>
                    <w:p w:rsidR="006D2A39" w:rsidRPr="00454B17" w:rsidRDefault="006D2A39" w:rsidP="006D2A39">
                      <w:pPr>
                        <w:jc w:val="center"/>
                        <w:rPr>
                          <w:rFonts w:ascii="Simplified Arabic" w:hAnsi="Simplified Arabic" w:cs="Simplified Arabic"/>
                          <w:b/>
                          <w:bCs/>
                          <w:lang w:bidi="ar-DZ"/>
                        </w:rPr>
                      </w:pPr>
                      <w:r w:rsidRPr="00454B17">
                        <w:rPr>
                          <w:rFonts w:ascii="Simplified Arabic" w:hAnsi="Simplified Arabic" w:cs="Simplified Arabic"/>
                          <w:b/>
                          <w:bCs/>
                          <w:color w:val="000000" w:themeColor="text1"/>
                          <w:sz w:val="24"/>
                          <w:szCs w:val="24"/>
                          <w:rtl/>
                          <w:lang w:bidi="ar-DZ"/>
                        </w:rPr>
                        <w:t xml:space="preserve">تقييم القدرة على الادخار </w:t>
                      </w:r>
                      <w:proofErr w:type="gramStart"/>
                      <w:r w:rsidRPr="00454B17">
                        <w:rPr>
                          <w:rFonts w:ascii="Simplified Arabic" w:hAnsi="Simplified Arabic" w:cs="Simplified Arabic"/>
                          <w:b/>
                          <w:bCs/>
                          <w:color w:val="000000" w:themeColor="text1"/>
                          <w:sz w:val="24"/>
                          <w:szCs w:val="24"/>
                          <w:rtl/>
                          <w:lang w:bidi="ar-DZ"/>
                        </w:rPr>
                        <w:t>وبالتالي</w:t>
                      </w:r>
                      <w:proofErr w:type="gramEnd"/>
                      <w:r w:rsidRPr="00454B17">
                        <w:rPr>
                          <w:rFonts w:ascii="Simplified Arabic" w:hAnsi="Simplified Arabic" w:cs="Simplified Arabic"/>
                          <w:b/>
                          <w:bCs/>
                          <w:color w:val="000000" w:themeColor="text1"/>
                          <w:sz w:val="24"/>
                          <w:szCs w:val="24"/>
                          <w:rtl/>
                          <w:lang w:bidi="ar-DZ"/>
                        </w:rPr>
                        <w:t xml:space="preserve"> على الاستثمار </w:t>
                      </w:r>
                    </w:p>
                  </w:txbxContent>
                </v:textbox>
              </v:rect>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6432" behindDoc="0" locked="0" layoutInCell="1" allowOverlap="1" wp14:anchorId="75F14379" wp14:editId="43B667DA">
                <wp:simplePos x="0" y="0"/>
                <wp:positionH relativeFrom="column">
                  <wp:posOffset>-747395</wp:posOffset>
                </wp:positionH>
                <wp:positionV relativeFrom="paragraph">
                  <wp:posOffset>8890</wp:posOffset>
                </wp:positionV>
                <wp:extent cx="2447925" cy="600075"/>
                <wp:effectExtent l="57150" t="38100" r="104775" b="123825"/>
                <wp:wrapNone/>
                <wp:docPr id="20" name="Rectangle 20"/>
                <wp:cNvGraphicFramePr/>
                <a:graphic xmlns:a="http://schemas.openxmlformats.org/drawingml/2006/main">
                  <a:graphicData uri="http://schemas.microsoft.com/office/word/2010/wordprocessingShape">
                    <wps:wsp>
                      <wps:cNvSpPr/>
                      <wps:spPr>
                        <a:xfrm>
                          <a:off x="0" y="0"/>
                          <a:ext cx="2447925" cy="60007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D2A39" w:rsidRPr="00454B17" w:rsidRDefault="006D2A39" w:rsidP="006D2A39">
                            <w:pPr>
                              <w:jc w:val="center"/>
                              <w:rPr>
                                <w:rFonts w:ascii="Simplified Arabic" w:hAnsi="Simplified Arabic" w:cs="Simplified Arabic"/>
                                <w:b/>
                                <w:bCs/>
                                <w:lang w:bidi="ar-DZ"/>
                              </w:rPr>
                            </w:pPr>
                            <w:r>
                              <w:rPr>
                                <w:rFonts w:ascii="Simplified Arabic" w:hAnsi="Simplified Arabic" w:cs="Simplified Arabic"/>
                                <w:b/>
                                <w:bCs/>
                                <w:color w:val="000000" w:themeColor="text1"/>
                                <w:sz w:val="24"/>
                                <w:szCs w:val="24"/>
                                <w:rtl/>
                                <w:lang w:bidi="ar-DZ"/>
                              </w:rPr>
                              <w:t xml:space="preserve">تقييم كفاءة التصرف في الأعوان </w:t>
                            </w:r>
                            <w:proofErr w:type="gramStart"/>
                            <w:r>
                              <w:rPr>
                                <w:rFonts w:ascii="Simplified Arabic" w:hAnsi="Simplified Arabic" w:cs="Simplified Arabic"/>
                                <w:b/>
                                <w:bCs/>
                                <w:color w:val="000000" w:themeColor="text1"/>
                                <w:sz w:val="24"/>
                                <w:szCs w:val="24"/>
                                <w:rtl/>
                                <w:lang w:bidi="ar-DZ"/>
                              </w:rPr>
                              <w:t>و</w:t>
                            </w:r>
                            <w:r w:rsidRPr="00454B17">
                              <w:rPr>
                                <w:rFonts w:ascii="Simplified Arabic" w:hAnsi="Simplified Arabic" w:cs="Simplified Arabic"/>
                                <w:b/>
                                <w:bCs/>
                                <w:color w:val="000000" w:themeColor="text1"/>
                                <w:sz w:val="24"/>
                                <w:szCs w:val="24"/>
                                <w:rtl/>
                                <w:lang w:bidi="ar-DZ"/>
                              </w:rPr>
                              <w:t>التجهيزات</w:t>
                            </w:r>
                            <w:proofErr w:type="gramEnd"/>
                            <w:r w:rsidRPr="00454B17">
                              <w:rPr>
                                <w:rFonts w:ascii="Simplified Arabic" w:hAnsi="Simplified Arabic" w:cs="Simplified Arabic"/>
                                <w:b/>
                                <w:bCs/>
                                <w:color w:val="000000" w:themeColor="text1"/>
                                <w:sz w:val="24"/>
                                <w:szCs w:val="24"/>
                                <w:rtl/>
                                <w:lang w:bidi="ar-DZ"/>
                              </w:rPr>
                              <w:t xml:space="preserve"> و المعدات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1" style="position:absolute;left:0;text-align:left;margin-left:-58.85pt;margin-top:.7pt;width:192.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" fillcolor="#2787a0" stroked="f">
                <v:fill color2="#34b3d6" rotate="t" angle="180" colors="0 #2787a0;52429f #36b1d2;1 #34b3d6" focus="100%" type="gradient">
                  <o:fill v:ext="view" type="gradientUnscaled"/>
                </v:fill>
                <v:shadow on="t" color="black" opacity="22937f" origin=",.5" offset="0,.63889mm"/>
                <v:textbox>
                  <w:txbxContent>
                    <w:p w:rsidR="006D2A39" w:rsidRPr="00454B17" w:rsidRDefault="006D2A39" w:rsidP="006D2A39">
                      <w:pPr>
                        <w:jc w:val="center"/>
                        <w:rPr>
                          <w:rFonts w:ascii="Simplified Arabic" w:hAnsi="Simplified Arabic" w:cs="Simplified Arabic"/>
                          <w:b/>
                          <w:bCs/>
                          <w:lang w:bidi="ar-DZ"/>
                        </w:rPr>
                      </w:pPr>
                      <w:r>
                        <w:rPr>
                          <w:rFonts w:ascii="Simplified Arabic" w:hAnsi="Simplified Arabic" w:cs="Simplified Arabic"/>
                          <w:b/>
                          <w:bCs/>
                          <w:color w:val="000000" w:themeColor="text1"/>
                          <w:sz w:val="24"/>
                          <w:szCs w:val="24"/>
                          <w:rtl/>
                          <w:lang w:bidi="ar-DZ"/>
                        </w:rPr>
                        <w:t xml:space="preserve">تقييم كفاءة التصرف في الأعوان </w:t>
                      </w:r>
                      <w:proofErr w:type="gramStart"/>
                      <w:r>
                        <w:rPr>
                          <w:rFonts w:ascii="Simplified Arabic" w:hAnsi="Simplified Arabic" w:cs="Simplified Arabic"/>
                          <w:b/>
                          <w:bCs/>
                          <w:color w:val="000000" w:themeColor="text1"/>
                          <w:sz w:val="24"/>
                          <w:szCs w:val="24"/>
                          <w:rtl/>
                          <w:lang w:bidi="ar-DZ"/>
                        </w:rPr>
                        <w:t>و</w:t>
                      </w:r>
                      <w:r w:rsidRPr="00454B17">
                        <w:rPr>
                          <w:rFonts w:ascii="Simplified Arabic" w:hAnsi="Simplified Arabic" w:cs="Simplified Arabic"/>
                          <w:b/>
                          <w:bCs/>
                          <w:color w:val="000000" w:themeColor="text1"/>
                          <w:sz w:val="24"/>
                          <w:szCs w:val="24"/>
                          <w:rtl/>
                          <w:lang w:bidi="ar-DZ"/>
                        </w:rPr>
                        <w:t>التجهيزات</w:t>
                      </w:r>
                      <w:proofErr w:type="gramEnd"/>
                      <w:r w:rsidRPr="00454B17">
                        <w:rPr>
                          <w:rFonts w:ascii="Simplified Arabic" w:hAnsi="Simplified Arabic" w:cs="Simplified Arabic"/>
                          <w:b/>
                          <w:bCs/>
                          <w:color w:val="000000" w:themeColor="text1"/>
                          <w:sz w:val="24"/>
                          <w:szCs w:val="24"/>
                          <w:rtl/>
                          <w:lang w:bidi="ar-DZ"/>
                        </w:rPr>
                        <w:t xml:space="preserve"> و المعدات</w:t>
                      </w:r>
                    </w:p>
                  </w:txbxContent>
                </v:textbox>
              </v:rect>
            </w:pict>
          </mc:Fallback>
        </mc:AlternateContent>
      </w: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3360" behindDoc="0" locked="0" layoutInCell="1" allowOverlap="1" wp14:anchorId="19A9C993" wp14:editId="21A6BBAF">
                <wp:simplePos x="0" y="0"/>
                <wp:positionH relativeFrom="column">
                  <wp:posOffset>4205605</wp:posOffset>
                </wp:positionH>
                <wp:positionV relativeFrom="paragraph">
                  <wp:posOffset>367666</wp:posOffset>
                </wp:positionV>
                <wp:extent cx="2314575" cy="571500"/>
                <wp:effectExtent l="57150" t="38100" r="85725" b="95250"/>
                <wp:wrapNone/>
                <wp:docPr id="17" name="Rectangle 17"/>
                <wp:cNvGraphicFramePr/>
                <a:graphic xmlns:a="http://schemas.openxmlformats.org/drawingml/2006/main">
                  <a:graphicData uri="http://schemas.microsoft.com/office/word/2010/wordprocessingShape">
                    <wps:wsp>
                      <wps:cNvSpPr/>
                      <wps:spPr>
                        <a:xfrm>
                          <a:off x="0" y="0"/>
                          <a:ext cx="2314575" cy="5715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6D2A39" w:rsidRDefault="006D2A39" w:rsidP="006D2A39">
                            <w:pPr>
                              <w:jc w:val="center"/>
                              <w:rPr>
                                <w:lang w:bidi="ar-DZ"/>
                              </w:rPr>
                            </w:pPr>
                            <w:r w:rsidRPr="00553A71">
                              <w:rPr>
                                <w:rFonts w:ascii="Simplified Arabic" w:hAnsi="Simplified Arabic" w:cs="Simplified Arabic" w:hint="cs"/>
                                <w:b/>
                                <w:bCs/>
                                <w:color w:val="000000" w:themeColor="text1"/>
                                <w:sz w:val="24"/>
                                <w:szCs w:val="24"/>
                                <w:rtl/>
                                <w:lang w:bidi="ar-DZ"/>
                              </w:rPr>
                              <w:t>معرفة معدل نجاح المؤسسة في تحقيق الأهداف والارباح الخاصة بها</w:t>
                            </w: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331.15pt;margin-top:28.95pt;width:182.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" fillcolor="#ffbe86" strokecolor="#f69240">
                <v:fill color2="#ffebdb" rotate="t" angle="180" colors="0 #ffbe86;22938f #ffd0aa;1 #ffebdb" focus="100%" type="gradient"/>
                <v:shadow on="t" color="black" opacity="24903f" origin=",.5" offset="0,.55556mm"/>
                <v:textbox>
                  <w:txbxContent>
                    <w:p w:rsidR="006D2A39" w:rsidRDefault="006D2A39" w:rsidP="006D2A39">
                      <w:pPr>
                        <w:jc w:val="center"/>
                        <w:rPr>
                          <w:lang w:bidi="ar-DZ"/>
                        </w:rPr>
                      </w:pPr>
                      <w:r w:rsidRPr="00553A71">
                        <w:rPr>
                          <w:rFonts w:ascii="Simplified Arabic" w:hAnsi="Simplified Arabic" w:cs="Simplified Arabic" w:hint="cs"/>
                          <w:b/>
                          <w:bCs/>
                          <w:color w:val="000000" w:themeColor="text1"/>
                          <w:sz w:val="24"/>
                          <w:szCs w:val="24"/>
                          <w:rtl/>
                          <w:lang w:bidi="ar-DZ"/>
                        </w:rPr>
                        <w:t>معرفة معدل نجاح المؤسسة في تحقيق الأهداف والارباح الخاصة بها</w:t>
                      </w:r>
                      <w:r>
                        <w:rPr>
                          <w:rFonts w:hint="cs"/>
                          <w:rtl/>
                          <w:lang w:bidi="ar-DZ"/>
                        </w:rPr>
                        <w:t xml:space="preserve"> </w:t>
                      </w:r>
                    </w:p>
                  </w:txbxContent>
                </v:textbox>
              </v:rect>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5648" behindDoc="0" locked="0" layoutInCell="1" allowOverlap="1" wp14:anchorId="147AF3A8" wp14:editId="4BE227A8">
                <wp:simplePos x="0" y="0"/>
                <wp:positionH relativeFrom="column">
                  <wp:posOffset>3500755</wp:posOffset>
                </wp:positionH>
                <wp:positionV relativeFrom="paragraph">
                  <wp:posOffset>120650</wp:posOffset>
                </wp:positionV>
                <wp:extent cx="704850" cy="523875"/>
                <wp:effectExtent l="57150" t="38100" r="76200" b="85725"/>
                <wp:wrapNone/>
                <wp:docPr id="29" name="Connecteur droit avec flèche 29"/>
                <wp:cNvGraphicFramePr/>
                <a:graphic xmlns:a="http://schemas.openxmlformats.org/drawingml/2006/main">
                  <a:graphicData uri="http://schemas.microsoft.com/office/word/2010/wordprocessingShape">
                    <wps:wsp>
                      <wps:cNvCnPr/>
                      <wps:spPr>
                        <a:xfrm>
                          <a:off x="0" y="0"/>
                          <a:ext cx="704850" cy="5238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29" o:spid="_x0000_s1026" type="#_x0000_t32" style="position:absolute;margin-left:275.65pt;margin-top:9.5pt;width:55.5pt;height:4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4624" behindDoc="0" locked="0" layoutInCell="1" allowOverlap="1" wp14:anchorId="3E1837A4" wp14:editId="421B5FBA">
                <wp:simplePos x="0" y="0"/>
                <wp:positionH relativeFrom="column">
                  <wp:posOffset>2976880</wp:posOffset>
                </wp:positionH>
                <wp:positionV relativeFrom="paragraph">
                  <wp:posOffset>311150</wp:posOffset>
                </wp:positionV>
                <wp:extent cx="0" cy="733425"/>
                <wp:effectExtent l="152400" t="19050" r="152400" b="85725"/>
                <wp:wrapNone/>
                <wp:docPr id="28" name="Connecteur droit avec flèche 28"/>
                <wp:cNvGraphicFramePr/>
                <a:graphic xmlns:a="http://schemas.openxmlformats.org/drawingml/2006/main">
                  <a:graphicData uri="http://schemas.microsoft.com/office/word/2010/wordprocessingShape">
                    <wps:wsp>
                      <wps:cNvCnPr/>
                      <wps:spPr>
                        <a:xfrm>
                          <a:off x="0" y="0"/>
                          <a:ext cx="0" cy="7334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28" o:spid="_x0000_s1026" type="#_x0000_t32" style="position:absolute;margin-left:234.4pt;margin-top:24.5pt;width:0;height:5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1552" behindDoc="0" locked="0" layoutInCell="1" allowOverlap="1" wp14:anchorId="2F34318C" wp14:editId="005D8C93">
                <wp:simplePos x="0" y="0"/>
                <wp:positionH relativeFrom="column">
                  <wp:posOffset>1700530</wp:posOffset>
                </wp:positionH>
                <wp:positionV relativeFrom="paragraph">
                  <wp:posOffset>187325</wp:posOffset>
                </wp:positionV>
                <wp:extent cx="809625" cy="371475"/>
                <wp:effectExtent l="57150" t="38100" r="47625" b="104775"/>
                <wp:wrapNone/>
                <wp:docPr id="25" name="Connecteur droit avec flèche 25"/>
                <wp:cNvGraphicFramePr/>
                <a:graphic xmlns:a="http://schemas.openxmlformats.org/drawingml/2006/main">
                  <a:graphicData uri="http://schemas.microsoft.com/office/word/2010/wordprocessingShape">
                    <wps:wsp>
                      <wps:cNvCnPr/>
                      <wps:spPr>
                        <a:xfrm flipH="1">
                          <a:off x="0" y="0"/>
                          <a:ext cx="809625" cy="3714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Connecteur droit avec flèche 25" o:spid="_x0000_s1026" type="#_x0000_t32" style="position:absolute;margin-left:133.9pt;margin-top:14.75pt;width:63.75pt;height:29.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" strokecolor="windowText" strokeweight="3pt">
                <v:stroke endarrow="open"/>
                <v:shadow on="t" color="black" opacity="22937f" origin=",.5" offset="0,.63889mm"/>
              </v:shape>
            </w:pict>
          </mc:Fallback>
        </mc:AlternateContent>
      </w: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7456" behindDoc="0" locked="0" layoutInCell="1" allowOverlap="1" wp14:anchorId="1FE6862C" wp14:editId="69B60440">
                <wp:simplePos x="0" y="0"/>
                <wp:positionH relativeFrom="column">
                  <wp:posOffset>-747395</wp:posOffset>
                </wp:positionH>
                <wp:positionV relativeFrom="paragraph">
                  <wp:posOffset>311150</wp:posOffset>
                </wp:positionV>
                <wp:extent cx="2438400" cy="628650"/>
                <wp:effectExtent l="57150" t="38100" r="76200" b="95250"/>
                <wp:wrapNone/>
                <wp:docPr id="21" name="Rectangle 21"/>
                <wp:cNvGraphicFramePr/>
                <a:graphic xmlns:a="http://schemas.openxmlformats.org/drawingml/2006/main">
                  <a:graphicData uri="http://schemas.microsoft.com/office/word/2010/wordprocessingShape">
                    <wps:wsp>
                      <wps:cNvSpPr/>
                      <wps:spPr>
                        <a:xfrm>
                          <a:off x="0" y="0"/>
                          <a:ext cx="2438400" cy="6286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6D2A39" w:rsidRPr="00454B17" w:rsidRDefault="006D2A39" w:rsidP="006D2A39">
                            <w:pPr>
                              <w:jc w:val="center"/>
                              <w:rPr>
                                <w:rFonts w:ascii="Simplified Arabic" w:hAnsi="Simplified Arabic" w:cs="Simplified Arabic"/>
                                <w:b/>
                                <w:bCs/>
                                <w:sz w:val="24"/>
                                <w:szCs w:val="24"/>
                                <w:lang w:bidi="ar-DZ"/>
                              </w:rPr>
                            </w:pPr>
                            <w:proofErr w:type="gramStart"/>
                            <w:r w:rsidRPr="00454B17">
                              <w:rPr>
                                <w:rFonts w:ascii="Simplified Arabic" w:hAnsi="Simplified Arabic" w:cs="Simplified Arabic"/>
                                <w:b/>
                                <w:bCs/>
                                <w:color w:val="000000" w:themeColor="text1"/>
                                <w:sz w:val="24"/>
                                <w:szCs w:val="24"/>
                                <w:rtl/>
                                <w:lang w:bidi="ar-DZ"/>
                              </w:rPr>
                              <w:t>تقييم</w:t>
                            </w:r>
                            <w:proofErr w:type="gramEnd"/>
                            <w:r w:rsidRPr="00454B17">
                              <w:rPr>
                                <w:rFonts w:ascii="Simplified Arabic" w:hAnsi="Simplified Arabic" w:cs="Simplified Arabic"/>
                                <w:b/>
                                <w:bCs/>
                                <w:color w:val="000000" w:themeColor="text1"/>
                                <w:sz w:val="24"/>
                                <w:szCs w:val="24"/>
                                <w:rtl/>
                                <w:lang w:bidi="ar-DZ"/>
                              </w:rPr>
                              <w:t xml:space="preserve"> جودة الخدمات ومدى تلاؤمها مع تطلعات المواطنين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3" style="position:absolute;left:0;text-align:left;margin-left:-58.85pt;margin-top:24.5pt;width:192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" fillcolor="#ffbe86" strokecolor="#f69240">
                <v:fill color2="#ffebdb" rotate="t" angle="180" colors="0 #ffbe86;22938f #ffd0aa;1 #ffebdb" focus="100%" type="gradient"/>
                <v:shadow on="t" color="black" opacity="24903f" origin=",.5" offset="0,.55556mm"/>
                <v:textbox>
                  <w:txbxContent>
                    <w:p w:rsidR="006D2A39" w:rsidRPr="00454B17" w:rsidRDefault="006D2A39" w:rsidP="006D2A39">
                      <w:pPr>
                        <w:jc w:val="center"/>
                        <w:rPr>
                          <w:rFonts w:ascii="Simplified Arabic" w:hAnsi="Simplified Arabic" w:cs="Simplified Arabic"/>
                          <w:b/>
                          <w:bCs/>
                          <w:sz w:val="24"/>
                          <w:szCs w:val="24"/>
                          <w:lang w:bidi="ar-DZ"/>
                        </w:rPr>
                      </w:pPr>
                      <w:proofErr w:type="gramStart"/>
                      <w:r w:rsidRPr="00454B17">
                        <w:rPr>
                          <w:rFonts w:ascii="Simplified Arabic" w:hAnsi="Simplified Arabic" w:cs="Simplified Arabic"/>
                          <w:b/>
                          <w:bCs/>
                          <w:color w:val="000000" w:themeColor="text1"/>
                          <w:sz w:val="24"/>
                          <w:szCs w:val="24"/>
                          <w:rtl/>
                          <w:lang w:bidi="ar-DZ"/>
                        </w:rPr>
                        <w:t>تقييم</w:t>
                      </w:r>
                      <w:proofErr w:type="gramEnd"/>
                      <w:r w:rsidRPr="00454B17">
                        <w:rPr>
                          <w:rFonts w:ascii="Simplified Arabic" w:hAnsi="Simplified Arabic" w:cs="Simplified Arabic"/>
                          <w:b/>
                          <w:bCs/>
                          <w:color w:val="000000" w:themeColor="text1"/>
                          <w:sz w:val="24"/>
                          <w:szCs w:val="24"/>
                          <w:rtl/>
                          <w:lang w:bidi="ar-DZ"/>
                        </w:rPr>
                        <w:t xml:space="preserve"> جودة الخدمات ومدى تلاؤمها مع تطلعات المواطنين </w:t>
                      </w:r>
                    </w:p>
                  </w:txbxContent>
                </v:textbox>
              </v:rect>
            </w:pict>
          </mc:Fallback>
        </mc:AlternateContent>
      </w:r>
    </w:p>
    <w:p w:rsidR="006D2A39" w:rsidRDefault="006D2A39" w:rsidP="006D2A39">
      <w:pPr>
        <w:bidi/>
        <w:spacing w:line="240" w:lineRule="auto"/>
        <w:jc w:val="both"/>
        <w:rPr>
          <w:rFonts w:ascii="Simplified Arabic" w:hAnsi="Simplified Arabic" w:cs="Simplified Arabic"/>
          <w:sz w:val="28"/>
          <w:szCs w:val="28"/>
          <w:rtl/>
          <w:lang w:bidi="ar-DZ"/>
        </w:rPr>
      </w:pPr>
    </w:p>
    <w:p w:rsidR="006D2A39" w:rsidRDefault="006D2A39" w:rsidP="006D2A3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4384" behindDoc="0" locked="0" layoutInCell="1" allowOverlap="1" wp14:anchorId="1461B8A0" wp14:editId="03F4890D">
                <wp:simplePos x="0" y="0"/>
                <wp:positionH relativeFrom="column">
                  <wp:posOffset>1404620</wp:posOffset>
                </wp:positionH>
                <wp:positionV relativeFrom="paragraph">
                  <wp:posOffset>200025</wp:posOffset>
                </wp:positionV>
                <wp:extent cx="2733675" cy="733425"/>
                <wp:effectExtent l="57150" t="38100" r="85725" b="104775"/>
                <wp:wrapNone/>
                <wp:docPr id="18" name="Rectangle 18"/>
                <wp:cNvGraphicFramePr/>
                <a:graphic xmlns:a="http://schemas.openxmlformats.org/drawingml/2006/main">
                  <a:graphicData uri="http://schemas.microsoft.com/office/word/2010/wordprocessingShape">
                    <wps:wsp>
                      <wps:cNvSpPr/>
                      <wps:spPr>
                        <a:xfrm>
                          <a:off x="0" y="0"/>
                          <a:ext cx="2733675" cy="73342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6D2A39" w:rsidRDefault="006D2A39" w:rsidP="006D2A39">
                            <w:pPr>
                              <w:jc w:val="center"/>
                              <w:rPr>
                                <w:lang w:bidi="ar-DZ"/>
                              </w:rPr>
                            </w:pPr>
                            <w:proofErr w:type="gramStart"/>
                            <w:r w:rsidRPr="003F18F8">
                              <w:rPr>
                                <w:rFonts w:ascii="Simplified Arabic" w:hAnsi="Simplified Arabic" w:cs="Simplified Arabic" w:hint="cs"/>
                                <w:b/>
                                <w:bCs/>
                                <w:color w:val="000000" w:themeColor="text1"/>
                                <w:sz w:val="24"/>
                                <w:szCs w:val="24"/>
                                <w:rtl/>
                                <w:lang w:bidi="ar-DZ"/>
                              </w:rPr>
                              <w:t>المقارنة</w:t>
                            </w:r>
                            <w:proofErr w:type="gramEnd"/>
                            <w:r w:rsidRPr="003F18F8">
                              <w:rPr>
                                <w:rFonts w:ascii="Simplified Arabic" w:hAnsi="Simplified Arabic" w:cs="Simplified Arabic" w:hint="cs"/>
                                <w:b/>
                                <w:bCs/>
                                <w:color w:val="000000" w:themeColor="text1"/>
                                <w:sz w:val="24"/>
                                <w:szCs w:val="24"/>
                                <w:rtl/>
                                <w:lang w:bidi="ar-DZ"/>
                              </w:rPr>
                              <w:t xml:space="preserve"> بين الوضع المالي الخاص بالمؤسسة مع وضع المؤسسات التي تعمل</w:t>
                            </w:r>
                            <w:r>
                              <w:rPr>
                                <w:rFonts w:ascii="Simplified Arabic" w:hAnsi="Simplified Arabic" w:cs="Simplified Arabic" w:hint="cs"/>
                                <w:b/>
                                <w:bCs/>
                                <w:color w:val="000000" w:themeColor="text1"/>
                                <w:sz w:val="24"/>
                                <w:szCs w:val="24"/>
                                <w:rtl/>
                                <w:lang w:bidi="ar-DZ"/>
                              </w:rPr>
                              <w:t xml:space="preserve"> بالقطاع نفسه</w:t>
                            </w:r>
                            <w:r w:rsidRPr="003F18F8">
                              <w:rPr>
                                <w:rFonts w:ascii="Simplified Arabic" w:hAnsi="Simplified Arabic" w:cs="Simplified Arabic" w:hint="cs"/>
                                <w:b/>
                                <w:bCs/>
                                <w:color w:val="000000" w:themeColor="text1"/>
                                <w:sz w:val="24"/>
                                <w:szCs w:val="24"/>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4" style="position:absolute;left:0;text-align:left;margin-left:110.6pt;margin-top:15.75pt;width:215.2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" fillcolor="#ffa2a1" strokecolor="#be4b48">
                <v:fill color2="#ffe5e5" rotate="t" angle="180" colors="0 #ffa2a1;22938f #ffbebd;1 #ffe5e5" focus="100%" type="gradient"/>
                <v:shadow on="t" color="black" opacity="24903f" origin=",.5" offset="0,.55556mm"/>
                <v:textbox>
                  <w:txbxContent>
                    <w:p w:rsidR="006D2A39" w:rsidRDefault="006D2A39" w:rsidP="006D2A39">
                      <w:pPr>
                        <w:jc w:val="center"/>
                        <w:rPr>
                          <w:lang w:bidi="ar-DZ"/>
                        </w:rPr>
                      </w:pPr>
                      <w:proofErr w:type="gramStart"/>
                      <w:r w:rsidRPr="003F18F8">
                        <w:rPr>
                          <w:rFonts w:ascii="Simplified Arabic" w:hAnsi="Simplified Arabic" w:cs="Simplified Arabic" w:hint="cs"/>
                          <w:b/>
                          <w:bCs/>
                          <w:color w:val="000000" w:themeColor="text1"/>
                          <w:sz w:val="24"/>
                          <w:szCs w:val="24"/>
                          <w:rtl/>
                          <w:lang w:bidi="ar-DZ"/>
                        </w:rPr>
                        <w:t>المقارنة</w:t>
                      </w:r>
                      <w:proofErr w:type="gramEnd"/>
                      <w:r w:rsidRPr="003F18F8">
                        <w:rPr>
                          <w:rFonts w:ascii="Simplified Arabic" w:hAnsi="Simplified Arabic" w:cs="Simplified Arabic" w:hint="cs"/>
                          <w:b/>
                          <w:bCs/>
                          <w:color w:val="000000" w:themeColor="text1"/>
                          <w:sz w:val="24"/>
                          <w:szCs w:val="24"/>
                          <w:rtl/>
                          <w:lang w:bidi="ar-DZ"/>
                        </w:rPr>
                        <w:t xml:space="preserve"> بين الوضع المالي الخاص بالمؤسسة مع وضع المؤسسات التي تعمل</w:t>
                      </w:r>
                      <w:r>
                        <w:rPr>
                          <w:rFonts w:ascii="Simplified Arabic" w:hAnsi="Simplified Arabic" w:cs="Simplified Arabic" w:hint="cs"/>
                          <w:b/>
                          <w:bCs/>
                          <w:color w:val="000000" w:themeColor="text1"/>
                          <w:sz w:val="24"/>
                          <w:szCs w:val="24"/>
                          <w:rtl/>
                          <w:lang w:bidi="ar-DZ"/>
                        </w:rPr>
                        <w:t xml:space="preserve"> بالقطاع نفسه</w:t>
                      </w:r>
                      <w:r w:rsidRPr="003F18F8">
                        <w:rPr>
                          <w:rFonts w:ascii="Simplified Arabic" w:hAnsi="Simplified Arabic" w:cs="Simplified Arabic" w:hint="cs"/>
                          <w:b/>
                          <w:bCs/>
                          <w:color w:val="000000" w:themeColor="text1"/>
                          <w:sz w:val="24"/>
                          <w:szCs w:val="24"/>
                          <w:rtl/>
                          <w:lang w:bidi="ar-DZ"/>
                        </w:rPr>
                        <w:t xml:space="preserve"> </w:t>
                      </w:r>
                    </w:p>
                  </w:txbxContent>
                </v:textbox>
              </v:rect>
            </w:pict>
          </mc:Fallback>
        </mc:AlternateContent>
      </w:r>
    </w:p>
    <w:p w:rsidR="006D2A39" w:rsidRDefault="006D2A39" w:rsidP="006D2A39">
      <w:pPr>
        <w:bidi/>
        <w:spacing w:line="240" w:lineRule="auto"/>
        <w:jc w:val="both"/>
        <w:rPr>
          <w:rFonts w:ascii="Simplified Arabic" w:hAnsi="Simplified Arabic" w:cs="Simplified Arabic"/>
          <w:sz w:val="28"/>
          <w:szCs w:val="28"/>
          <w:rtl/>
          <w:lang w:bidi="ar-DZ"/>
        </w:rPr>
      </w:pPr>
    </w:p>
    <w:p w:rsidR="006D2A39" w:rsidRDefault="006D2A39" w:rsidP="006D2A39">
      <w:pPr>
        <w:bidi/>
        <w:spacing w:line="240" w:lineRule="auto"/>
        <w:jc w:val="both"/>
        <w:rPr>
          <w:rFonts w:ascii="Simplified Arabic" w:hAnsi="Simplified Arabic" w:cs="Simplified Arabic" w:hint="cs"/>
          <w:sz w:val="28"/>
          <w:szCs w:val="28"/>
          <w:rtl/>
          <w:lang w:bidi="ar-DZ"/>
        </w:rPr>
      </w:pPr>
    </w:p>
    <w:p w:rsidR="006D2A39" w:rsidRDefault="006D2A39" w:rsidP="006D2A39">
      <w:pPr>
        <w:bidi/>
        <w:spacing w:line="240" w:lineRule="auto"/>
        <w:jc w:val="both"/>
        <w:rPr>
          <w:rFonts w:ascii="Simplified Arabic" w:hAnsi="Simplified Arabic" w:cs="Simplified Arabic"/>
          <w:sz w:val="28"/>
          <w:szCs w:val="28"/>
          <w:rtl/>
          <w:lang w:bidi="ar-DZ"/>
        </w:rPr>
      </w:pPr>
    </w:p>
    <w:p w:rsidR="006D2A39" w:rsidRPr="009D2334" w:rsidRDefault="006D2A39" w:rsidP="006D2A39">
      <w:pPr>
        <w:bidi/>
        <w:spacing w:line="240" w:lineRule="auto"/>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highlight w:val="green"/>
          <w:u w:val="single"/>
          <w:rtl/>
          <w:lang w:bidi="ar-DZ"/>
        </w:rPr>
        <w:t>4</w:t>
      </w:r>
      <w:r w:rsidRPr="009D2334">
        <w:rPr>
          <w:rFonts w:ascii="Simplified Arabic" w:hAnsi="Simplified Arabic" w:cs="Simplified Arabic" w:hint="cs"/>
          <w:color w:val="FF0000"/>
          <w:sz w:val="28"/>
          <w:szCs w:val="28"/>
          <w:highlight w:val="green"/>
          <w:u w:val="single"/>
          <w:rtl/>
          <w:lang w:bidi="ar-DZ"/>
        </w:rPr>
        <w:t>:</w:t>
      </w:r>
      <w:r w:rsidRPr="009D2334">
        <w:rPr>
          <w:rFonts w:ascii="Simplified Arabic" w:hAnsi="Simplified Arabic" w:cs="Simplified Arabic" w:hint="cs"/>
          <w:b/>
          <w:bCs/>
          <w:color w:val="FF0000"/>
          <w:sz w:val="28"/>
          <w:szCs w:val="28"/>
          <w:highlight w:val="green"/>
          <w:u w:val="single"/>
          <w:rtl/>
          <w:lang w:bidi="ar-DZ"/>
        </w:rPr>
        <w:t xml:space="preserve"> </w:t>
      </w:r>
      <w:proofErr w:type="gramStart"/>
      <w:r w:rsidRPr="009D2334">
        <w:rPr>
          <w:rFonts w:ascii="Simplified Arabic" w:hAnsi="Simplified Arabic" w:cs="Simplified Arabic" w:hint="cs"/>
          <w:b/>
          <w:bCs/>
          <w:color w:val="FF0000"/>
          <w:sz w:val="28"/>
          <w:szCs w:val="28"/>
          <w:highlight w:val="green"/>
          <w:u w:val="single"/>
          <w:rtl/>
          <w:lang w:bidi="ar-DZ"/>
        </w:rPr>
        <w:t>أنواع</w:t>
      </w:r>
      <w:proofErr w:type="gramEnd"/>
      <w:r w:rsidRPr="009D2334">
        <w:rPr>
          <w:rFonts w:ascii="Simplified Arabic" w:hAnsi="Simplified Arabic" w:cs="Simplified Arabic" w:hint="cs"/>
          <w:b/>
          <w:bCs/>
          <w:color w:val="FF0000"/>
          <w:sz w:val="28"/>
          <w:szCs w:val="28"/>
          <w:highlight w:val="green"/>
          <w:u w:val="single"/>
          <w:rtl/>
          <w:lang w:bidi="ar-DZ"/>
        </w:rPr>
        <w:t xml:space="preserve"> التحليل المالي:</w:t>
      </w:r>
      <w:r w:rsidRPr="009D2334">
        <w:rPr>
          <w:rFonts w:ascii="Simplified Arabic" w:hAnsi="Simplified Arabic" w:cs="Simplified Arabic" w:hint="cs"/>
          <w:b/>
          <w:bCs/>
          <w:color w:val="FF0000"/>
          <w:sz w:val="28"/>
          <w:szCs w:val="28"/>
          <w:u w:val="single"/>
          <w:rtl/>
          <w:lang w:bidi="ar-DZ"/>
        </w:rPr>
        <w:t xml:space="preserve"> </w:t>
      </w:r>
    </w:p>
    <w:p w:rsidR="006D2A39" w:rsidRPr="008034A9" w:rsidRDefault="006D2A39" w:rsidP="006D2A39">
      <w:pPr>
        <w:bidi/>
        <w:rPr>
          <w:rFonts w:ascii="Simplified Arabic" w:hAnsi="Simplified Arabic" w:cs="Simplified Arabic"/>
          <w:sz w:val="28"/>
          <w:szCs w:val="28"/>
          <w:rtl/>
          <w:lang w:bidi="ar-DZ"/>
        </w:rPr>
      </w:pPr>
      <w:proofErr w:type="gramStart"/>
      <w:r w:rsidRPr="008034A9">
        <w:rPr>
          <w:rFonts w:ascii="Simplified Arabic" w:hAnsi="Simplified Arabic" w:cs="Simplified Arabic" w:hint="cs"/>
          <w:sz w:val="28"/>
          <w:szCs w:val="28"/>
          <w:rtl/>
          <w:lang w:bidi="ar-DZ"/>
        </w:rPr>
        <w:t>يمكن</w:t>
      </w:r>
      <w:proofErr w:type="gramEnd"/>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التمييز</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بين</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أنواع</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متعددة</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من</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التحليل</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المالي</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وفقاً</w:t>
      </w:r>
      <w:r>
        <w:rPr>
          <w:rFonts w:ascii="Simplified Arabic" w:hAnsi="Simplified Arabic" w:cs="Simplified Arabic" w:hint="cs"/>
          <w:sz w:val="28"/>
          <w:szCs w:val="28"/>
          <w:rtl/>
          <w:lang w:bidi="ar-DZ"/>
        </w:rPr>
        <w:t xml:space="preserve"> للزاوية</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التي</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ينظر</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إليه</w:t>
      </w:r>
      <w:r w:rsidRPr="008034A9">
        <w:rPr>
          <w:rFonts w:ascii="Simplified Arabic" w:hAnsi="Simplified Arabic" w:cs="Simplified Arabic"/>
          <w:sz w:val="28"/>
          <w:szCs w:val="28"/>
          <w:lang w:bidi="ar-DZ"/>
        </w:rPr>
        <w:t xml:space="preserve"> </w:t>
      </w:r>
      <w:r w:rsidRPr="008034A9">
        <w:rPr>
          <w:rFonts w:ascii="Simplified Arabic" w:hAnsi="Simplified Arabic" w:cs="Simplified Arabic" w:hint="cs"/>
          <w:sz w:val="28"/>
          <w:szCs w:val="28"/>
          <w:rtl/>
          <w:lang w:bidi="ar-DZ"/>
        </w:rPr>
        <w:t>منها</w:t>
      </w:r>
      <w:r w:rsidRPr="008034A9">
        <w:rPr>
          <w:rFonts w:ascii="Simplified Arabic" w:hAnsi="Simplified Arabic" w:cs="Simplified Arabic"/>
          <w:sz w:val="28"/>
          <w:szCs w:val="28"/>
          <w:lang w:bidi="ar-DZ"/>
        </w:rPr>
        <w:t>:</w:t>
      </w:r>
    </w:p>
    <w:p w:rsidR="006D2A39" w:rsidRPr="009D2334" w:rsidRDefault="006D2A39" w:rsidP="006D2A39">
      <w:pPr>
        <w:jc w:val="right"/>
        <w:rPr>
          <w:rFonts w:ascii="Simplified Arabic" w:hAnsi="Simplified Arabic" w:cs="Simplified Arabic"/>
          <w:b/>
          <w:bCs/>
          <w:sz w:val="28"/>
          <w:szCs w:val="28"/>
          <w:u w:val="single"/>
          <w:rtl/>
          <w:lang w:bidi="ar-DZ"/>
        </w:rPr>
      </w:pPr>
      <w:r w:rsidRPr="009D2334">
        <w:rPr>
          <w:rFonts w:ascii="Simplified Arabic" w:hAnsi="Simplified Arabic" w:cs="Simplified Arabic" w:hint="cs"/>
          <w:b/>
          <w:bCs/>
          <w:color w:val="FF0000"/>
          <w:sz w:val="28"/>
          <w:szCs w:val="28"/>
          <w:u w:val="single"/>
          <w:rtl/>
          <w:lang w:bidi="ar-DZ"/>
        </w:rPr>
        <w:t>1.4: الجهة القائمة بالتحليل</w:t>
      </w:r>
      <w:r w:rsidRPr="009D2334">
        <w:rPr>
          <w:rFonts w:ascii="Simplified Arabic" w:hAnsi="Simplified Arabic" w:cs="Simplified Arabic" w:hint="cs"/>
          <w:b/>
          <w:bCs/>
          <w:sz w:val="28"/>
          <w:szCs w:val="28"/>
          <w:u w:val="single"/>
          <w:rtl/>
          <w:lang w:bidi="ar-DZ"/>
        </w:rPr>
        <w:t>:</w:t>
      </w:r>
    </w:p>
    <w:p w:rsidR="006D2A39" w:rsidRDefault="006D2A39" w:rsidP="006D2A39">
      <w:pPr>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استنادا</w:t>
      </w:r>
      <w:proofErr w:type="gramEnd"/>
      <w:r>
        <w:rPr>
          <w:rFonts w:ascii="Simplified Arabic" w:hAnsi="Simplified Arabic" w:cs="Simplified Arabic" w:hint="cs"/>
          <w:sz w:val="28"/>
          <w:szCs w:val="28"/>
          <w:rtl/>
          <w:lang w:bidi="ar-DZ"/>
        </w:rPr>
        <w:t xml:space="preserve"> إلى الجهة القائمة بالتحليل، يمكن تقسيم التحليل المالي إلى: </w:t>
      </w:r>
    </w:p>
    <w:p w:rsidR="006D2A39" w:rsidRPr="009D2334" w:rsidRDefault="006D2A39" w:rsidP="006D2A39">
      <w:pPr>
        <w:jc w:val="right"/>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1.1.4. </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الداخلي:</w:t>
      </w:r>
    </w:p>
    <w:p w:rsidR="006D2A39"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يتم</w:t>
      </w:r>
      <w:proofErr w:type="gramEnd"/>
      <w:r>
        <w:rPr>
          <w:rFonts w:ascii="Simplified Arabic" w:hAnsi="Simplified Arabic" w:cs="Simplified Arabic" w:hint="cs"/>
          <w:sz w:val="28"/>
          <w:szCs w:val="28"/>
          <w:rtl/>
          <w:lang w:bidi="ar-DZ"/>
        </w:rPr>
        <w:t xml:space="preserve"> من قبل مجموعة من الأشخاص يعملون داخل المؤسسة، حيث يهدف هذا التحليل بشكل أساسي إلى خدمة إدارة المؤسسة في مستوياتها الإدارية المختلقة؛</w:t>
      </w:r>
    </w:p>
    <w:p w:rsidR="006D2A39" w:rsidRPr="009D2334" w:rsidRDefault="006D2A39" w:rsidP="006D2A39">
      <w:pPr>
        <w:bidi/>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2.1.4</w:t>
      </w:r>
      <w:r w:rsidRPr="009D2334">
        <w:rPr>
          <w:rFonts w:ascii="Simplified Arabic" w:hAnsi="Simplified Arabic" w:cs="Simplified Arabic" w:hint="cs"/>
          <w:color w:val="FF0000"/>
          <w:sz w:val="28"/>
          <w:szCs w:val="28"/>
          <w:u w:val="single"/>
          <w:rtl/>
          <w:lang w:bidi="ar-DZ"/>
        </w:rPr>
        <w:t>.</w:t>
      </w:r>
      <w:r w:rsidRPr="009D2334">
        <w:rPr>
          <w:rFonts w:ascii="Simplified Arabic" w:hAnsi="Simplified Arabic" w:cs="Simplified Arabic" w:hint="cs"/>
          <w:b/>
          <w:bCs/>
          <w:color w:val="FF0000"/>
          <w:sz w:val="28"/>
          <w:szCs w:val="28"/>
          <w:u w:val="single"/>
          <w:rtl/>
          <w:lang w:bidi="ar-DZ"/>
        </w:rPr>
        <w:t xml:space="preserve"> </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الخارجي: </w:t>
      </w:r>
    </w:p>
    <w:p w:rsidR="006D2A39"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عكس</w:t>
      </w:r>
      <w:proofErr w:type="gramEnd"/>
      <w:r>
        <w:rPr>
          <w:rFonts w:ascii="Simplified Arabic" w:hAnsi="Simplified Arabic" w:cs="Simplified Arabic" w:hint="cs"/>
          <w:sz w:val="28"/>
          <w:szCs w:val="28"/>
          <w:rtl/>
          <w:lang w:bidi="ar-DZ"/>
        </w:rPr>
        <w:t xml:space="preserve"> التحليل السابق، إذ تسند مهمة التحليل إلى مجموعة من الأطراف من خارج المؤسسة، ويهدف هذا التحليل بدرجة أولى إلى خدمة هذه الأطراف وتحقيق أهدافها، ومن أمثلة هذه الأطراف: المؤسسات المالية، البنوك، الموردون....الخ.</w:t>
      </w:r>
    </w:p>
    <w:p w:rsidR="006D2A39" w:rsidRPr="009D2334" w:rsidRDefault="006D2A39" w:rsidP="006D2A39">
      <w:pPr>
        <w:jc w:val="right"/>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2.4: </w:t>
      </w:r>
      <w:proofErr w:type="gramStart"/>
      <w:r w:rsidRPr="009D2334">
        <w:rPr>
          <w:rFonts w:ascii="Simplified Arabic" w:hAnsi="Simplified Arabic" w:cs="Simplified Arabic" w:hint="cs"/>
          <w:b/>
          <w:bCs/>
          <w:color w:val="FF0000"/>
          <w:sz w:val="28"/>
          <w:szCs w:val="28"/>
          <w:u w:val="single"/>
          <w:rtl/>
          <w:lang w:bidi="ar-DZ"/>
        </w:rPr>
        <w:t>الفترة</w:t>
      </w:r>
      <w:proofErr w:type="gramEnd"/>
      <w:r w:rsidRPr="009D2334">
        <w:rPr>
          <w:rFonts w:ascii="Simplified Arabic" w:hAnsi="Simplified Arabic" w:cs="Simplified Arabic" w:hint="cs"/>
          <w:b/>
          <w:bCs/>
          <w:color w:val="FF0000"/>
          <w:sz w:val="28"/>
          <w:szCs w:val="28"/>
          <w:u w:val="single"/>
          <w:rtl/>
          <w:lang w:bidi="ar-DZ"/>
        </w:rPr>
        <w:t xml:space="preserve"> التي يغطيها التحليل: </w:t>
      </w:r>
    </w:p>
    <w:p w:rsidR="006D2A39" w:rsidRDefault="006D2A39" w:rsidP="006D2A3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تقسيم التحليل المالي استنادا </w:t>
      </w:r>
      <w:proofErr w:type="gramStart"/>
      <w:r>
        <w:rPr>
          <w:rFonts w:ascii="Simplified Arabic" w:hAnsi="Simplified Arabic" w:cs="Simplified Arabic" w:hint="cs"/>
          <w:sz w:val="28"/>
          <w:szCs w:val="28"/>
          <w:rtl/>
          <w:lang w:bidi="ar-DZ"/>
        </w:rPr>
        <w:t>إلى</w:t>
      </w:r>
      <w:proofErr w:type="gramEnd"/>
      <w:r>
        <w:rPr>
          <w:rFonts w:ascii="Simplified Arabic" w:hAnsi="Simplified Arabic" w:cs="Simplified Arabic" w:hint="cs"/>
          <w:sz w:val="28"/>
          <w:szCs w:val="28"/>
          <w:rtl/>
          <w:lang w:bidi="ar-DZ"/>
        </w:rPr>
        <w:t xml:space="preserve"> طول الفترة الزمنية التي يغطيها التحليل إلى ما يلي:</w:t>
      </w:r>
    </w:p>
    <w:p w:rsidR="006D2A39" w:rsidRPr="009D2334" w:rsidRDefault="006D2A39" w:rsidP="006D2A39">
      <w:pPr>
        <w:jc w:val="right"/>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1.2.4. </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المالي القصير المدى:</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تستخدم المؤسسة هذا النوع من التحليل في قياس قدراتها وانجازاتها خلال فترة زمنية قصيرة ، وعادة ما يطلق عليه بتحليل السيولة، لتركيزه على قابلية المؤسسة على تغطية التزاماتها الجارية وتحقيق الإيرادات التشغيلية. يهم هذا النوع من التحليل بدرجة كبيرة الدائنون </w:t>
      </w:r>
      <w:proofErr w:type="gramStart"/>
      <w:r>
        <w:rPr>
          <w:rFonts w:ascii="Simplified Arabic" w:hAnsi="Simplified Arabic" w:cs="Simplified Arabic" w:hint="cs"/>
          <w:sz w:val="28"/>
          <w:szCs w:val="28"/>
          <w:rtl/>
          <w:lang w:bidi="ar-DZ"/>
        </w:rPr>
        <w:t>والبنوك</w:t>
      </w:r>
      <w:proofErr w:type="gramEnd"/>
      <w:r>
        <w:rPr>
          <w:rFonts w:ascii="Simplified Arabic" w:hAnsi="Simplified Arabic" w:cs="Simplified Arabic" w:hint="cs"/>
          <w:sz w:val="28"/>
          <w:szCs w:val="28"/>
          <w:rtl/>
          <w:lang w:bidi="ar-DZ"/>
        </w:rPr>
        <w:t>.</w:t>
      </w:r>
    </w:p>
    <w:p w:rsidR="006D2A39" w:rsidRPr="009D2334" w:rsidRDefault="006D2A39" w:rsidP="006D2A39">
      <w:pPr>
        <w:jc w:val="right"/>
        <w:rPr>
          <w:rFonts w:ascii="Simplified Arabic" w:hAnsi="Simplified Arabic" w:cs="Simplified Arabic"/>
          <w:b/>
          <w:bCs/>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2.2.4. </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المالي الطويل المدى:</w:t>
      </w:r>
      <w:r w:rsidRPr="009D2334">
        <w:rPr>
          <w:rFonts w:ascii="Simplified Arabic" w:hAnsi="Simplified Arabic" w:cs="Simplified Arabic" w:hint="cs"/>
          <w:b/>
          <w:bCs/>
          <w:sz w:val="28"/>
          <w:szCs w:val="28"/>
          <w:u w:val="single"/>
          <w:rtl/>
          <w:lang w:bidi="ar-DZ"/>
        </w:rPr>
        <w:t xml:space="preserve"> </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يتناول التحليل المالي طويل المدى هيكل المصادر والاستخدامات الطويلة المدى، وقدرة المؤسسة على تحقيق الأرباح التي تسمح لها بتسديد أقساط الديون المستحقة مع فوائدها في أجالها المحددة، ومدى انتظامها </w:t>
      </w:r>
      <w:proofErr w:type="gramStart"/>
      <w:r>
        <w:rPr>
          <w:rFonts w:ascii="Simplified Arabic" w:hAnsi="Simplified Arabic" w:cs="Simplified Arabic" w:hint="cs"/>
          <w:sz w:val="28"/>
          <w:szCs w:val="28"/>
          <w:rtl/>
          <w:lang w:bidi="ar-DZ"/>
        </w:rPr>
        <w:t>في  توزيع</w:t>
      </w:r>
      <w:proofErr w:type="gramEnd"/>
      <w:r>
        <w:rPr>
          <w:rFonts w:ascii="Simplified Arabic" w:hAnsi="Simplified Arabic" w:cs="Simplified Arabic" w:hint="cs"/>
          <w:sz w:val="28"/>
          <w:szCs w:val="28"/>
          <w:rtl/>
          <w:lang w:bidi="ar-DZ"/>
        </w:rPr>
        <w:t xml:space="preserve"> الأرباح وتأثير ذلك على</w:t>
      </w:r>
      <w:r w:rsidRPr="00034634">
        <w:rPr>
          <w:rFonts w:ascii="Simplified Arabic" w:hAnsi="Simplified Arabic" w:cs="Simplified Arabic" w:hint="cs"/>
          <w:sz w:val="28"/>
          <w:szCs w:val="28"/>
          <w:rtl/>
          <w:lang w:bidi="ar-DZ"/>
        </w:rPr>
        <w:t xml:space="preserve"> أسعار </w:t>
      </w:r>
      <w:r>
        <w:rPr>
          <w:rFonts w:ascii="Simplified Arabic" w:hAnsi="Simplified Arabic" w:cs="Simplified Arabic" w:hint="cs"/>
          <w:sz w:val="28"/>
          <w:szCs w:val="28"/>
          <w:rtl/>
          <w:lang w:bidi="ar-DZ"/>
        </w:rPr>
        <w:t>أسهمها في الأسواق المالية.</w:t>
      </w:r>
    </w:p>
    <w:p w:rsidR="006D2A39" w:rsidRPr="009D2334" w:rsidRDefault="006D2A39" w:rsidP="006D2A39">
      <w:pPr>
        <w:bidi/>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3.4: البعد </w:t>
      </w:r>
      <w:proofErr w:type="gramStart"/>
      <w:r w:rsidRPr="009D2334">
        <w:rPr>
          <w:rFonts w:ascii="Simplified Arabic" w:hAnsi="Simplified Arabic" w:cs="Simplified Arabic" w:hint="cs"/>
          <w:b/>
          <w:bCs/>
          <w:color w:val="FF0000"/>
          <w:sz w:val="28"/>
          <w:szCs w:val="28"/>
          <w:u w:val="single"/>
          <w:rtl/>
          <w:lang w:bidi="ar-DZ"/>
        </w:rPr>
        <w:t>الزمني</w:t>
      </w:r>
      <w:proofErr w:type="gramEnd"/>
      <w:r w:rsidRPr="009D2334">
        <w:rPr>
          <w:rFonts w:ascii="Simplified Arabic" w:hAnsi="Simplified Arabic" w:cs="Simplified Arabic" w:hint="cs"/>
          <w:b/>
          <w:bCs/>
          <w:color w:val="FF0000"/>
          <w:sz w:val="28"/>
          <w:szCs w:val="28"/>
          <w:u w:val="single"/>
          <w:rtl/>
          <w:lang w:bidi="ar-DZ"/>
        </w:rPr>
        <w:t xml:space="preserve"> للتحليل: </w:t>
      </w:r>
    </w:p>
    <w:p w:rsidR="006D2A39"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يمكن</w:t>
      </w:r>
      <w:proofErr w:type="gramEnd"/>
      <w:r>
        <w:rPr>
          <w:rFonts w:ascii="Simplified Arabic" w:hAnsi="Simplified Arabic" w:cs="Simplified Arabic" w:hint="cs"/>
          <w:sz w:val="28"/>
          <w:szCs w:val="28"/>
          <w:rtl/>
          <w:lang w:bidi="ar-DZ"/>
        </w:rPr>
        <w:t xml:space="preserve"> تقسيم التحليل المالي من حيث علاقته بالزمن إلى:</w:t>
      </w:r>
    </w:p>
    <w:p w:rsidR="006D2A39" w:rsidRPr="009D2334" w:rsidRDefault="006D2A39" w:rsidP="006D2A39">
      <w:pPr>
        <w:bidi/>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1.3.4. </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المالي الأفقي (الديناميكي):</w:t>
      </w:r>
    </w:p>
    <w:p w:rsidR="006D2A39"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يهتم</w:t>
      </w:r>
      <w:proofErr w:type="gramEnd"/>
      <w:r>
        <w:rPr>
          <w:rFonts w:ascii="Simplified Arabic" w:hAnsi="Simplified Arabic" w:cs="Simplified Arabic" w:hint="cs"/>
          <w:sz w:val="28"/>
          <w:szCs w:val="28"/>
          <w:rtl/>
          <w:lang w:bidi="ar-DZ"/>
        </w:rPr>
        <w:t xml:space="preserve"> التحليل الأفقي أو ما يسمى بتحليل الاتجاه بمتابعة تطور بند معين من قائمة مالية معينة خلال عدة فترات زمنية معينة، ويرصد التغير الحاصل فيه إما بالزيادة أو بالنقصان، لذلك يعتبر نوعا من التحليل الديناميكي.</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يساعد التحليل الأفقي في تحقيق ما يلي: </w:t>
      </w:r>
    </w:p>
    <w:p w:rsidR="006D2A39" w:rsidRDefault="006D2A39" w:rsidP="006D2A39">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إعطاء</w:t>
      </w:r>
      <w:proofErr w:type="gramEnd"/>
      <w:r>
        <w:rPr>
          <w:rFonts w:ascii="Simplified Arabic" w:hAnsi="Simplified Arabic" w:cs="Simplified Arabic" w:hint="cs"/>
          <w:sz w:val="28"/>
          <w:szCs w:val="28"/>
          <w:rtl/>
          <w:lang w:bidi="ar-DZ"/>
        </w:rPr>
        <w:t xml:space="preserve"> صورة عن معدل نمو المؤسسة، أي النسبة بين معدل نمو مصاريف ودخل المؤسسة؛</w:t>
      </w:r>
    </w:p>
    <w:p w:rsidR="006D2A39" w:rsidRDefault="006D2A39" w:rsidP="006D2A3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تقييم انجازات ونشاط المؤسسة؛</w:t>
      </w:r>
    </w:p>
    <w:p w:rsidR="006D2A39" w:rsidRDefault="006D2A39" w:rsidP="006D2A3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تحديد اتجاهات </w:t>
      </w:r>
      <w:proofErr w:type="gramStart"/>
      <w:r>
        <w:rPr>
          <w:rFonts w:ascii="Simplified Arabic" w:hAnsi="Simplified Arabic" w:cs="Simplified Arabic" w:hint="cs"/>
          <w:sz w:val="28"/>
          <w:szCs w:val="28"/>
          <w:rtl/>
          <w:lang w:bidi="ar-DZ"/>
        </w:rPr>
        <w:t>تطور</w:t>
      </w:r>
      <w:proofErr w:type="gramEnd"/>
      <w:r>
        <w:rPr>
          <w:rFonts w:ascii="Simplified Arabic" w:hAnsi="Simplified Arabic" w:cs="Simplified Arabic" w:hint="cs"/>
          <w:sz w:val="28"/>
          <w:szCs w:val="28"/>
          <w:rtl/>
          <w:lang w:bidi="ar-DZ"/>
        </w:rPr>
        <w:t xml:space="preserve"> المؤسسة، ومدى تأثير العوامل الداخلية والخارجية على نتائج أدائها؛</w:t>
      </w:r>
    </w:p>
    <w:p w:rsidR="006D2A39" w:rsidRDefault="006D2A39" w:rsidP="006D2A3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تقييم كفاءة النمو في معدل دوران المؤسسة من خلال علاقته مع أوضاعها المالية؛</w:t>
      </w:r>
    </w:p>
    <w:p w:rsidR="006D2A39" w:rsidRDefault="006D2A39" w:rsidP="006D2A3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اكتشاف </w:t>
      </w:r>
      <w:proofErr w:type="gramStart"/>
      <w:r>
        <w:rPr>
          <w:rFonts w:ascii="Simplified Arabic" w:hAnsi="Simplified Arabic" w:cs="Simplified Arabic" w:hint="cs"/>
          <w:sz w:val="28"/>
          <w:szCs w:val="28"/>
          <w:rtl/>
          <w:lang w:bidi="ar-DZ"/>
        </w:rPr>
        <w:t>سلوك</w:t>
      </w:r>
      <w:proofErr w:type="gramEnd"/>
      <w:r>
        <w:rPr>
          <w:rFonts w:ascii="Simplified Arabic" w:hAnsi="Simplified Arabic" w:cs="Simplified Arabic" w:hint="cs"/>
          <w:sz w:val="28"/>
          <w:szCs w:val="28"/>
          <w:rtl/>
          <w:lang w:bidi="ar-DZ"/>
        </w:rPr>
        <w:t xml:space="preserve"> النسبة أو أي بند من بنود القوائم المالية موضع الدراسة.</w:t>
      </w:r>
    </w:p>
    <w:p w:rsidR="006D2A39" w:rsidRPr="009D2334" w:rsidRDefault="006D2A39" w:rsidP="006D2A39">
      <w:pPr>
        <w:bidi/>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2.3.4. </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المالي العمودي (الساكن):</w:t>
      </w:r>
    </w:p>
    <w:p w:rsidR="006D2A39" w:rsidRPr="00025731"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يتمثل</w:t>
      </w:r>
      <w:proofErr w:type="gramEnd"/>
      <w:r>
        <w:rPr>
          <w:rFonts w:ascii="Simplified Arabic" w:hAnsi="Simplified Arabic" w:cs="Simplified Arabic" w:hint="cs"/>
          <w:sz w:val="28"/>
          <w:szCs w:val="28"/>
          <w:rtl/>
          <w:lang w:bidi="ar-DZ"/>
        </w:rPr>
        <w:t xml:space="preserve"> التحليل المالي العمودي أو الرأسي في تحليل العلاقة بين بنود نفس القائمة المالية (قائمة المركز المالي أو قائمة الدخل ) خلال فترة زمنية واحدة، من أجل تبيان الوزن النسبي لكل بند منها. </w:t>
      </w:r>
      <w:proofErr w:type="gramStart"/>
      <w:r>
        <w:rPr>
          <w:rFonts w:ascii="Simplified Arabic" w:hAnsi="Simplified Arabic" w:cs="Simplified Arabic" w:hint="cs"/>
          <w:sz w:val="28"/>
          <w:szCs w:val="28"/>
          <w:rtl/>
          <w:lang w:bidi="ar-DZ"/>
        </w:rPr>
        <w:t>لذلك</w:t>
      </w:r>
      <w:proofErr w:type="gramEnd"/>
      <w:r>
        <w:rPr>
          <w:rFonts w:ascii="Simplified Arabic" w:hAnsi="Simplified Arabic" w:cs="Simplified Arabic" w:hint="cs"/>
          <w:sz w:val="28"/>
          <w:szCs w:val="28"/>
          <w:rtl/>
          <w:lang w:bidi="ar-DZ"/>
        </w:rPr>
        <w:t xml:space="preserve"> فهو نوع من التحليل الساكن لأنه لا يراعي عنصر الزمن.</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يساعد التحليل العمودي (الرأسي ) في تحقيق ما يلي:</w:t>
      </w:r>
    </w:p>
    <w:p w:rsidR="006D2A39" w:rsidRDefault="006D2A39" w:rsidP="006D2A39">
      <w:pPr>
        <w:pStyle w:val="Paragraphedeliste"/>
        <w:numPr>
          <w:ilvl w:val="0"/>
          <w:numId w:val="2"/>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إعطاء</w:t>
      </w:r>
      <w:proofErr w:type="gramEnd"/>
      <w:r>
        <w:rPr>
          <w:rFonts w:ascii="Simplified Arabic" w:hAnsi="Simplified Arabic" w:cs="Simplified Arabic" w:hint="cs"/>
          <w:sz w:val="28"/>
          <w:szCs w:val="28"/>
          <w:rtl/>
          <w:lang w:bidi="ar-DZ"/>
        </w:rPr>
        <w:t xml:space="preserve"> صورة عن القوائم المالية في شكل قيمة نسبة تصف الميزانية المالية وهيكل جدول حسابات النتائج؛</w:t>
      </w:r>
    </w:p>
    <w:p w:rsidR="006D2A39" w:rsidRDefault="006D2A39" w:rsidP="006D2A39">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المجالات التي قد تشير إلى وجود مشاكل في عمليات المؤسسة، ما يسمح باتخاذ الإجراءات اللازمة والحد من تفاقمها؛</w:t>
      </w:r>
    </w:p>
    <w:p w:rsidR="006D2A39" w:rsidRPr="006D62BA" w:rsidRDefault="006D2A39" w:rsidP="006D2A39">
      <w:pPr>
        <w:pStyle w:val="Paragraphedeliste"/>
        <w:numPr>
          <w:ilvl w:val="0"/>
          <w:numId w:val="2"/>
        </w:num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التمكين</w:t>
      </w:r>
      <w:proofErr w:type="gramEnd"/>
      <w:r>
        <w:rPr>
          <w:rFonts w:ascii="Simplified Arabic" w:hAnsi="Simplified Arabic" w:cs="Simplified Arabic" w:hint="cs"/>
          <w:sz w:val="28"/>
          <w:szCs w:val="28"/>
          <w:rtl/>
          <w:lang w:bidi="ar-DZ"/>
        </w:rPr>
        <w:t xml:space="preserve"> من تقييم الوضع المالي للمؤسسة وأدائها أكثر من فترة بشكل مقارن، مما يسمح بتقييم اتجاهاتها المستقبلية والحكم على نقاط ضعفها خلال الفترات السابقة.</w:t>
      </w:r>
    </w:p>
    <w:p w:rsidR="006D2A39" w:rsidRPr="009D2334" w:rsidRDefault="006D2A39" w:rsidP="006D2A39">
      <w:pPr>
        <w:bidi/>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u w:val="single"/>
          <w:rtl/>
          <w:lang w:bidi="ar-DZ"/>
        </w:rPr>
        <w:t xml:space="preserve">4.4: </w:t>
      </w:r>
      <w:proofErr w:type="gramStart"/>
      <w:r w:rsidRPr="009D2334">
        <w:rPr>
          <w:rFonts w:ascii="Simplified Arabic" w:hAnsi="Simplified Arabic" w:cs="Simplified Arabic" w:hint="cs"/>
          <w:b/>
          <w:bCs/>
          <w:color w:val="FF0000"/>
          <w:sz w:val="28"/>
          <w:szCs w:val="28"/>
          <w:u w:val="single"/>
          <w:rtl/>
          <w:lang w:bidi="ar-DZ"/>
        </w:rPr>
        <w:t>المدى</w:t>
      </w:r>
      <w:proofErr w:type="gramEnd"/>
      <w:r w:rsidRPr="009D2334">
        <w:rPr>
          <w:rFonts w:ascii="Simplified Arabic" w:hAnsi="Simplified Arabic" w:cs="Simplified Arabic" w:hint="cs"/>
          <w:b/>
          <w:bCs/>
          <w:color w:val="FF0000"/>
          <w:sz w:val="28"/>
          <w:szCs w:val="28"/>
          <w:u w:val="single"/>
          <w:rtl/>
          <w:lang w:bidi="ar-DZ"/>
        </w:rPr>
        <w:t xml:space="preserve"> الذي يغطيه التحليل:</w:t>
      </w:r>
    </w:p>
    <w:p w:rsidR="006D2A39"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يقسم</w:t>
      </w:r>
      <w:proofErr w:type="gramEnd"/>
      <w:r>
        <w:rPr>
          <w:rFonts w:ascii="Simplified Arabic" w:hAnsi="Simplified Arabic" w:cs="Simplified Arabic" w:hint="cs"/>
          <w:sz w:val="28"/>
          <w:szCs w:val="28"/>
          <w:rtl/>
          <w:lang w:bidi="ar-DZ"/>
        </w:rPr>
        <w:t xml:space="preserve"> التحليل من حيث المدى الذي يغطيه التحليل المالي إلى:</w:t>
      </w:r>
    </w:p>
    <w:p w:rsidR="006D2A39" w:rsidRDefault="006D2A39" w:rsidP="006D2A39">
      <w:pPr>
        <w:bidi/>
        <w:jc w:val="both"/>
        <w:rPr>
          <w:rFonts w:ascii="Simplified Arabic" w:hAnsi="Simplified Arabic" w:cs="Simplified Arabic"/>
          <w:sz w:val="28"/>
          <w:szCs w:val="28"/>
          <w:rtl/>
          <w:lang w:bidi="ar-DZ"/>
        </w:rPr>
      </w:pPr>
      <w:r w:rsidRPr="009D2334">
        <w:rPr>
          <w:rFonts w:ascii="Simplified Arabic" w:hAnsi="Simplified Arabic" w:cs="Simplified Arabic" w:hint="cs"/>
          <w:b/>
          <w:bCs/>
          <w:color w:val="FF0000"/>
          <w:sz w:val="28"/>
          <w:szCs w:val="28"/>
          <w:u w:val="single"/>
          <w:rtl/>
          <w:lang w:bidi="ar-DZ"/>
        </w:rPr>
        <w:t>1.4.4</w:t>
      </w:r>
      <w:r w:rsidRPr="009D2334">
        <w:rPr>
          <w:rFonts w:ascii="Simplified Arabic" w:hAnsi="Simplified Arabic" w:cs="Simplified Arabic" w:hint="cs"/>
          <w:color w:val="FF0000"/>
          <w:sz w:val="28"/>
          <w:szCs w:val="28"/>
          <w:u w:val="single"/>
          <w:rtl/>
          <w:lang w:bidi="ar-DZ"/>
        </w:rPr>
        <w:t>.</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الجزئي:</w:t>
      </w:r>
      <w:r w:rsidRPr="009D2334">
        <w:rPr>
          <w:rFonts w:ascii="Simplified Arabic" w:hAnsi="Simplified Arabic" w:cs="Simplified Arabic" w:hint="cs"/>
          <w:color w:val="FF0000"/>
          <w:sz w:val="28"/>
          <w:szCs w:val="28"/>
          <w:u w:val="single"/>
          <w:rtl/>
          <w:lang w:bidi="ar-DZ"/>
        </w:rPr>
        <w:t xml:space="preserve"> </w:t>
      </w:r>
      <w:r>
        <w:rPr>
          <w:rFonts w:ascii="Simplified Arabic" w:hAnsi="Simplified Arabic" w:cs="Simplified Arabic" w:hint="cs"/>
          <w:sz w:val="28"/>
          <w:szCs w:val="28"/>
          <w:rtl/>
          <w:lang w:bidi="ar-DZ"/>
        </w:rPr>
        <w:t>يغطي هذا التحليل جزء من أنشطة المؤسسة لفترة زمنية أو أكثر.</w:t>
      </w:r>
    </w:p>
    <w:p w:rsidR="006D2A39" w:rsidRDefault="006D2A39" w:rsidP="006D2A39">
      <w:pPr>
        <w:bidi/>
        <w:jc w:val="both"/>
        <w:rPr>
          <w:rFonts w:ascii="Simplified Arabic" w:hAnsi="Simplified Arabic" w:cs="Simplified Arabic"/>
          <w:sz w:val="28"/>
          <w:szCs w:val="28"/>
          <w:rtl/>
          <w:lang w:bidi="ar-DZ"/>
        </w:rPr>
      </w:pPr>
      <w:r w:rsidRPr="009D2334">
        <w:rPr>
          <w:rFonts w:ascii="Simplified Arabic" w:hAnsi="Simplified Arabic" w:cs="Simplified Arabic" w:hint="cs"/>
          <w:b/>
          <w:bCs/>
          <w:color w:val="FF0000"/>
          <w:sz w:val="28"/>
          <w:szCs w:val="28"/>
          <w:u w:val="single"/>
          <w:rtl/>
          <w:lang w:bidi="ar-DZ"/>
        </w:rPr>
        <w:t>2.4.4.</w:t>
      </w:r>
      <w:proofErr w:type="gramStart"/>
      <w:r w:rsidRPr="009D2334">
        <w:rPr>
          <w:rFonts w:ascii="Simplified Arabic" w:hAnsi="Simplified Arabic" w:cs="Simplified Arabic" w:hint="cs"/>
          <w:b/>
          <w:bCs/>
          <w:color w:val="FF0000"/>
          <w:sz w:val="28"/>
          <w:szCs w:val="28"/>
          <w:u w:val="single"/>
          <w:rtl/>
          <w:lang w:bidi="ar-DZ"/>
        </w:rPr>
        <w:t>التحليل</w:t>
      </w:r>
      <w:proofErr w:type="gramEnd"/>
      <w:r w:rsidRPr="009D2334">
        <w:rPr>
          <w:rFonts w:ascii="Simplified Arabic" w:hAnsi="Simplified Arabic" w:cs="Simplified Arabic" w:hint="cs"/>
          <w:b/>
          <w:bCs/>
          <w:color w:val="FF0000"/>
          <w:sz w:val="28"/>
          <w:szCs w:val="28"/>
          <w:u w:val="single"/>
          <w:rtl/>
          <w:lang w:bidi="ar-DZ"/>
        </w:rPr>
        <w:t xml:space="preserve"> الشامل (الكلي):</w:t>
      </w:r>
      <w:r w:rsidRPr="009D2334">
        <w:rPr>
          <w:rFonts w:ascii="Simplified Arabic" w:hAnsi="Simplified Arabic" w:cs="Simplified Arabic" w:hint="cs"/>
          <w:color w:val="FF0000"/>
          <w:sz w:val="28"/>
          <w:szCs w:val="28"/>
          <w:u w:val="single"/>
          <w:rtl/>
          <w:lang w:bidi="ar-DZ"/>
        </w:rPr>
        <w:t xml:space="preserve"> </w:t>
      </w:r>
      <w:r>
        <w:rPr>
          <w:rFonts w:ascii="Simplified Arabic" w:hAnsi="Simplified Arabic" w:cs="Simplified Arabic" w:hint="cs"/>
          <w:sz w:val="28"/>
          <w:szCs w:val="28"/>
          <w:rtl/>
          <w:lang w:bidi="ar-DZ"/>
        </w:rPr>
        <w:t>يشمل هذا التحليل أنشطة المؤسسة لسنة مالية واحدة أو عدة سنوات.</w:t>
      </w:r>
    </w:p>
    <w:p w:rsidR="006D2A39" w:rsidRPr="009D2334" w:rsidRDefault="006D2A39" w:rsidP="006D2A39">
      <w:pPr>
        <w:bidi/>
        <w:jc w:val="both"/>
        <w:rPr>
          <w:rFonts w:ascii="Simplified Arabic" w:hAnsi="Simplified Arabic" w:cs="Simplified Arabic"/>
          <w:color w:val="FF0000"/>
          <w:sz w:val="28"/>
          <w:szCs w:val="28"/>
          <w:u w:val="single"/>
          <w:rtl/>
          <w:lang w:bidi="ar-DZ"/>
        </w:rPr>
      </w:pPr>
      <w:r w:rsidRPr="009D2334">
        <w:rPr>
          <w:rFonts w:ascii="Simplified Arabic" w:hAnsi="Simplified Arabic" w:cs="Simplified Arabic" w:hint="cs"/>
          <w:b/>
          <w:bCs/>
          <w:color w:val="FF0000"/>
          <w:sz w:val="28"/>
          <w:szCs w:val="28"/>
          <w:highlight w:val="green"/>
          <w:u w:val="single"/>
          <w:rtl/>
          <w:lang w:bidi="ar-DZ"/>
        </w:rPr>
        <w:t>5. الأطراف المستفيدة من التحليل المالي:</w:t>
      </w:r>
    </w:p>
    <w:p w:rsidR="006D2A39" w:rsidRDefault="006D2A39" w:rsidP="006D2A3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هناك</w:t>
      </w:r>
      <w:proofErr w:type="gramEnd"/>
      <w:r>
        <w:rPr>
          <w:rFonts w:ascii="Simplified Arabic" w:hAnsi="Simplified Arabic" w:cs="Simplified Arabic" w:hint="cs"/>
          <w:sz w:val="28"/>
          <w:szCs w:val="28"/>
          <w:rtl/>
          <w:lang w:bidi="ar-DZ"/>
        </w:rPr>
        <w:t xml:space="preserve"> عدة أطراف تستفيد من نتائج التحليل المالي وفقا للأهداف التي يسعى لها كل طرف، ومن بين هذه الأطراف نجد:</w:t>
      </w:r>
    </w:p>
    <w:p w:rsidR="006D2A39" w:rsidRPr="00D93DDF" w:rsidRDefault="006D2A39" w:rsidP="006D2A39">
      <w:pPr>
        <w:jc w:val="right"/>
        <w:rPr>
          <w:rFonts w:ascii="Simplified Arabic" w:hAnsi="Simplified Arabic" w:cs="Simplified Arabic"/>
          <w:b/>
          <w:bCs/>
          <w:sz w:val="28"/>
          <w:szCs w:val="28"/>
          <w:rtl/>
          <w:lang w:bidi="ar-DZ"/>
        </w:rPr>
      </w:pPr>
      <w:r w:rsidRPr="009D2334">
        <w:rPr>
          <w:rFonts w:ascii="Simplified Arabic" w:hAnsi="Simplified Arabic" w:cs="Simplified Arabic" w:hint="cs"/>
          <w:b/>
          <w:bCs/>
          <w:color w:val="FF0000"/>
          <w:sz w:val="28"/>
          <w:szCs w:val="28"/>
          <w:u w:val="single"/>
          <w:rtl/>
          <w:lang w:bidi="ar-DZ"/>
        </w:rPr>
        <w:t xml:space="preserve">1.5. </w:t>
      </w:r>
      <w:proofErr w:type="gramStart"/>
      <w:r w:rsidRPr="009D2334">
        <w:rPr>
          <w:rFonts w:ascii="Simplified Arabic" w:hAnsi="Simplified Arabic" w:cs="Simplified Arabic" w:hint="cs"/>
          <w:b/>
          <w:bCs/>
          <w:color w:val="FF0000"/>
          <w:sz w:val="28"/>
          <w:szCs w:val="28"/>
          <w:u w:val="single"/>
          <w:rtl/>
          <w:lang w:bidi="ar-DZ"/>
        </w:rPr>
        <w:t>الأطراف</w:t>
      </w:r>
      <w:proofErr w:type="gramEnd"/>
      <w:r w:rsidRPr="009D2334">
        <w:rPr>
          <w:rFonts w:ascii="Simplified Arabic" w:hAnsi="Simplified Arabic" w:cs="Simplified Arabic" w:hint="cs"/>
          <w:b/>
          <w:bCs/>
          <w:color w:val="FF0000"/>
          <w:sz w:val="28"/>
          <w:szCs w:val="28"/>
          <w:u w:val="single"/>
          <w:rtl/>
          <w:lang w:bidi="ar-DZ"/>
        </w:rPr>
        <w:t xml:space="preserve"> الداخلية</w:t>
      </w:r>
      <w:r w:rsidRPr="00D93DDF">
        <w:rPr>
          <w:rFonts w:ascii="Simplified Arabic" w:hAnsi="Simplified Arabic" w:cs="Simplified Arabic" w:hint="cs"/>
          <w:b/>
          <w:bCs/>
          <w:sz w:val="28"/>
          <w:szCs w:val="28"/>
          <w:rtl/>
          <w:lang w:bidi="ar-DZ"/>
        </w:rPr>
        <w:t xml:space="preserve">: </w:t>
      </w:r>
      <w:r w:rsidRPr="00D93DDF">
        <w:rPr>
          <w:rFonts w:ascii="Simplified Arabic" w:hAnsi="Simplified Arabic" w:cs="Simplified Arabic" w:hint="cs"/>
          <w:sz w:val="28"/>
          <w:szCs w:val="28"/>
          <w:rtl/>
          <w:lang w:bidi="ar-DZ"/>
        </w:rPr>
        <w:t>وتشمل كل من:</w:t>
      </w:r>
    </w:p>
    <w:p w:rsidR="006D2A39" w:rsidRDefault="006D2A39" w:rsidP="006D2A39">
      <w:pPr>
        <w:bidi/>
        <w:jc w:val="both"/>
        <w:rPr>
          <w:rFonts w:ascii="Simplified Arabic" w:hAnsi="Simplified Arabic" w:cs="Simplified Arabic"/>
          <w:sz w:val="28"/>
          <w:szCs w:val="28"/>
          <w:rtl/>
          <w:lang w:bidi="ar-DZ"/>
        </w:rPr>
      </w:pPr>
      <w:r w:rsidRPr="001B24A9">
        <w:rPr>
          <w:rFonts w:ascii="Simplified Arabic" w:hAnsi="Simplified Arabic" w:cs="Simplified Arabic" w:hint="cs"/>
          <w:b/>
          <w:bCs/>
          <w:sz w:val="28"/>
          <w:szCs w:val="28"/>
          <w:rtl/>
          <w:lang w:bidi="ar-DZ"/>
        </w:rPr>
        <w:t>- إدارة المؤسسة</w:t>
      </w:r>
      <w:r>
        <w:rPr>
          <w:rFonts w:ascii="Simplified Arabic" w:hAnsi="Simplified Arabic" w:cs="Simplified Arabic" w:hint="cs"/>
          <w:sz w:val="28"/>
          <w:szCs w:val="28"/>
          <w:rtl/>
          <w:lang w:bidi="ar-DZ"/>
        </w:rPr>
        <w:t>: يعمل التحليل المالي على إبراز مدى كفاءة الإدارة في أداء وظائفها وقدرتها على تحقيق مصلحة المالكين والمساهمين وكسب ثقة ذوي المصالح المشتركة، هذا بالإضافة إلى أنه يمكن الإدارة من تحديد موقفها الاستراتيجي.</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Pr="001B24A9">
        <w:rPr>
          <w:rFonts w:ascii="Simplified Arabic" w:hAnsi="Simplified Arabic" w:cs="Simplified Arabic" w:hint="cs"/>
          <w:b/>
          <w:bCs/>
          <w:sz w:val="28"/>
          <w:szCs w:val="28"/>
          <w:rtl/>
          <w:lang w:bidi="ar-DZ"/>
        </w:rPr>
        <w:t>المالكين</w:t>
      </w:r>
      <w:proofErr w:type="gramEnd"/>
      <w:r w:rsidRPr="001B24A9">
        <w:rPr>
          <w:rFonts w:ascii="Simplified Arabic" w:hAnsi="Simplified Arabic" w:cs="Simplified Arabic" w:hint="cs"/>
          <w:b/>
          <w:bCs/>
          <w:sz w:val="28"/>
          <w:szCs w:val="28"/>
          <w:rtl/>
          <w:lang w:bidi="ar-DZ"/>
        </w:rPr>
        <w:t xml:space="preserve"> والمساهمين</w:t>
      </w:r>
      <w:r>
        <w:rPr>
          <w:rFonts w:ascii="Simplified Arabic" w:hAnsi="Simplified Arabic" w:cs="Simplified Arabic" w:hint="cs"/>
          <w:sz w:val="28"/>
          <w:szCs w:val="28"/>
          <w:rtl/>
          <w:lang w:bidi="ar-DZ"/>
        </w:rPr>
        <w:t>: في ظل فصل الملكية عن الإدارة لاسيما في شركات المساهمة الكبيرة فإن الحاجة إلى نتائج التحليل المالي مسألة في غاية الأهمية تكمن في قدرة الإدارة على تحقيق مصالح المالكين والمساهمين في إطار تعظيم ثرواتهم.</w:t>
      </w:r>
    </w:p>
    <w:p w:rsidR="006D2A39" w:rsidRDefault="006D2A39" w:rsidP="006D2A39">
      <w:pPr>
        <w:bidi/>
        <w:jc w:val="both"/>
        <w:rPr>
          <w:rFonts w:ascii="Simplified Arabic" w:hAnsi="Simplified Arabic" w:cs="Simplified Arabic"/>
          <w:sz w:val="28"/>
          <w:szCs w:val="28"/>
          <w:rtl/>
          <w:lang w:bidi="ar-DZ"/>
        </w:rPr>
      </w:pPr>
      <w:r w:rsidRPr="009D2334">
        <w:rPr>
          <w:rFonts w:ascii="Simplified Arabic" w:hAnsi="Simplified Arabic" w:cs="Simplified Arabic" w:hint="cs"/>
          <w:b/>
          <w:bCs/>
          <w:color w:val="FF0000"/>
          <w:sz w:val="28"/>
          <w:szCs w:val="28"/>
          <w:u w:val="single"/>
          <w:rtl/>
          <w:lang w:bidi="ar-DZ"/>
        </w:rPr>
        <w:t xml:space="preserve">2.5. </w:t>
      </w:r>
      <w:proofErr w:type="gramStart"/>
      <w:r w:rsidRPr="009D2334">
        <w:rPr>
          <w:rFonts w:ascii="Simplified Arabic" w:hAnsi="Simplified Arabic" w:cs="Simplified Arabic" w:hint="cs"/>
          <w:b/>
          <w:bCs/>
          <w:color w:val="FF0000"/>
          <w:sz w:val="28"/>
          <w:szCs w:val="28"/>
          <w:u w:val="single"/>
          <w:rtl/>
          <w:lang w:bidi="ar-DZ"/>
        </w:rPr>
        <w:t>الأطراف</w:t>
      </w:r>
      <w:proofErr w:type="gramEnd"/>
      <w:r w:rsidRPr="009D2334">
        <w:rPr>
          <w:rFonts w:ascii="Simplified Arabic" w:hAnsi="Simplified Arabic" w:cs="Simplified Arabic" w:hint="cs"/>
          <w:b/>
          <w:bCs/>
          <w:color w:val="FF0000"/>
          <w:sz w:val="28"/>
          <w:szCs w:val="28"/>
          <w:u w:val="single"/>
          <w:rtl/>
          <w:lang w:bidi="ar-DZ"/>
        </w:rPr>
        <w:t xml:space="preserve"> الخارجية:</w:t>
      </w:r>
      <w:r w:rsidRPr="009D2334">
        <w:rPr>
          <w:rFonts w:ascii="Simplified Arabic" w:hAnsi="Simplified Arabic" w:cs="Simplified Arabic" w:hint="cs"/>
          <w:color w:val="FF0000"/>
          <w:sz w:val="28"/>
          <w:szCs w:val="28"/>
          <w:rtl/>
          <w:lang w:bidi="ar-DZ"/>
        </w:rPr>
        <w:t xml:space="preserve"> </w:t>
      </w:r>
      <w:r w:rsidRPr="00A13A65">
        <w:rPr>
          <w:rFonts w:ascii="Simplified Arabic" w:hAnsi="Simplified Arabic" w:cs="Simplified Arabic" w:hint="cs"/>
          <w:sz w:val="28"/>
          <w:szCs w:val="28"/>
          <w:rtl/>
          <w:lang w:bidi="ar-DZ"/>
        </w:rPr>
        <w:t>وتشمل كل من:</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1B24A9">
        <w:rPr>
          <w:rFonts w:ascii="Simplified Arabic" w:hAnsi="Simplified Arabic" w:cs="Simplified Arabic" w:hint="cs"/>
          <w:b/>
          <w:bCs/>
          <w:sz w:val="28"/>
          <w:szCs w:val="28"/>
          <w:rtl/>
          <w:lang w:bidi="ar-DZ"/>
        </w:rPr>
        <w:t>المستثمرون والدائنون</w:t>
      </w:r>
      <w:r>
        <w:rPr>
          <w:rFonts w:ascii="Simplified Arabic" w:hAnsi="Simplified Arabic" w:cs="Simplified Arabic" w:hint="cs"/>
          <w:sz w:val="28"/>
          <w:szCs w:val="28"/>
          <w:rtl/>
          <w:lang w:bidi="ar-DZ"/>
        </w:rPr>
        <w:t xml:space="preserve">: إذ يتم الاستفادة من نتائج التحليل المالي من خلال قدرة الإدارة على تحقيق القدرة </w:t>
      </w:r>
      <w:proofErr w:type="spellStart"/>
      <w:r>
        <w:rPr>
          <w:rFonts w:ascii="Simplified Arabic" w:hAnsi="Simplified Arabic" w:cs="Simplified Arabic" w:hint="cs"/>
          <w:sz w:val="28"/>
          <w:szCs w:val="28"/>
          <w:rtl/>
          <w:lang w:bidi="ar-DZ"/>
        </w:rPr>
        <w:t>الإيرادية</w:t>
      </w:r>
      <w:proofErr w:type="spellEnd"/>
      <w:r>
        <w:rPr>
          <w:rFonts w:ascii="Simplified Arabic" w:hAnsi="Simplified Arabic" w:cs="Simplified Arabic" w:hint="cs"/>
          <w:sz w:val="28"/>
          <w:szCs w:val="28"/>
          <w:rtl/>
          <w:lang w:bidi="ar-DZ"/>
        </w:rPr>
        <w:t xml:space="preserve"> ونصيب السهم الواحد من الأرباح والأرباح الموزعة. أما بالنسبة </w:t>
      </w:r>
      <w:proofErr w:type="spellStart"/>
      <w:r>
        <w:rPr>
          <w:rFonts w:ascii="Simplified Arabic" w:hAnsi="Simplified Arabic" w:cs="Simplified Arabic" w:hint="cs"/>
          <w:sz w:val="28"/>
          <w:szCs w:val="28"/>
          <w:rtl/>
          <w:lang w:bidi="ar-DZ"/>
        </w:rPr>
        <w:t>للدائنون</w:t>
      </w:r>
      <w:proofErr w:type="spellEnd"/>
      <w:r>
        <w:rPr>
          <w:rFonts w:ascii="Simplified Arabic" w:hAnsi="Simplified Arabic" w:cs="Simplified Arabic" w:hint="cs"/>
          <w:sz w:val="28"/>
          <w:szCs w:val="28"/>
          <w:rtl/>
          <w:lang w:bidi="ar-DZ"/>
        </w:rPr>
        <w:t xml:space="preserve"> التحقق من قدرة المؤسسة على الوفاء بالتزاماتها المالية (أصل الدين والفوائد المترتبة عليه).</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B24A9">
        <w:rPr>
          <w:rFonts w:ascii="Simplified Arabic" w:hAnsi="Simplified Arabic" w:cs="Simplified Arabic" w:hint="cs"/>
          <w:b/>
          <w:bCs/>
          <w:sz w:val="28"/>
          <w:szCs w:val="28"/>
          <w:rtl/>
          <w:lang w:bidi="ar-DZ"/>
        </w:rPr>
        <w:t>هيئة الأواق المالية</w:t>
      </w:r>
      <w:r>
        <w:rPr>
          <w:rFonts w:ascii="Simplified Arabic" w:hAnsi="Simplified Arabic" w:cs="Simplified Arabic" w:hint="cs"/>
          <w:sz w:val="28"/>
          <w:szCs w:val="28"/>
          <w:rtl/>
          <w:lang w:bidi="ar-DZ"/>
        </w:rPr>
        <w:t>: لمعرفة المعلومات عن المؤسسة ومدى مساهمتها في دعم الشفافية والإفصاح عن المعلومات لضمان المساهمة في كفاءة السوق المالية.</w:t>
      </w:r>
    </w:p>
    <w:p w:rsidR="006D2A39" w:rsidRDefault="006D2A39" w:rsidP="006D2A39">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B24A9">
        <w:rPr>
          <w:rFonts w:ascii="Simplified Arabic" w:hAnsi="Simplified Arabic" w:cs="Simplified Arabic" w:hint="cs"/>
          <w:b/>
          <w:bCs/>
          <w:sz w:val="28"/>
          <w:szCs w:val="28"/>
          <w:rtl/>
          <w:lang w:bidi="ar-DZ"/>
        </w:rPr>
        <w:t>الغرف التجارية والصناعية</w:t>
      </w:r>
      <w:r>
        <w:rPr>
          <w:rFonts w:ascii="Simplified Arabic" w:hAnsi="Simplified Arabic" w:cs="Simplified Arabic" w:hint="cs"/>
          <w:sz w:val="28"/>
          <w:szCs w:val="28"/>
          <w:rtl/>
          <w:lang w:bidi="ar-DZ"/>
        </w:rPr>
        <w:t>: للتحقق من مدى مساهمة المؤسسة في تفعيل مؤشرات الاقتصاد الوطني.</w:t>
      </w:r>
    </w:p>
    <w:p w:rsidR="006D2A39" w:rsidRDefault="006D2A39" w:rsidP="006D2A3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E64EF0">
        <w:rPr>
          <w:rFonts w:ascii="Simplified Arabic" w:hAnsi="Simplified Arabic" w:cs="Simplified Arabic" w:hint="cs"/>
          <w:b/>
          <w:bCs/>
          <w:sz w:val="28"/>
          <w:szCs w:val="28"/>
          <w:rtl/>
          <w:lang w:bidi="ar-DZ"/>
        </w:rPr>
        <w:t>الأجهزة</w:t>
      </w:r>
      <w:proofErr w:type="gramEnd"/>
      <w:r w:rsidRPr="00E64EF0">
        <w:rPr>
          <w:rFonts w:ascii="Simplified Arabic" w:hAnsi="Simplified Arabic" w:cs="Simplified Arabic" w:hint="cs"/>
          <w:b/>
          <w:bCs/>
          <w:sz w:val="28"/>
          <w:szCs w:val="28"/>
          <w:rtl/>
          <w:lang w:bidi="ar-DZ"/>
        </w:rPr>
        <w:t xml:space="preserve"> الضريبية</w:t>
      </w:r>
      <w:r>
        <w:rPr>
          <w:rFonts w:ascii="Simplified Arabic" w:hAnsi="Simplified Arabic" w:cs="Simplified Arabic" w:hint="cs"/>
          <w:sz w:val="28"/>
          <w:szCs w:val="28"/>
          <w:rtl/>
          <w:lang w:bidi="ar-DZ"/>
        </w:rPr>
        <w:t>: بغرض تطبيق التشريعات الضريبية.</w:t>
      </w:r>
    </w:p>
    <w:p w:rsidR="006D2A39" w:rsidRDefault="006D2A39" w:rsidP="006D2A3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البنوك و</w:t>
      </w:r>
      <w:r w:rsidRPr="00E64EF0">
        <w:rPr>
          <w:rFonts w:ascii="Simplified Arabic" w:hAnsi="Simplified Arabic" w:cs="Simplified Arabic" w:hint="cs"/>
          <w:b/>
          <w:bCs/>
          <w:sz w:val="28"/>
          <w:szCs w:val="28"/>
          <w:rtl/>
          <w:lang w:bidi="ar-DZ"/>
        </w:rPr>
        <w:t>غيرها من المؤسسات المالية</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بهدف</w:t>
      </w:r>
      <w:proofErr w:type="gramEnd"/>
      <w:r>
        <w:rPr>
          <w:rFonts w:ascii="Simplified Arabic" w:hAnsi="Simplified Arabic" w:cs="Simplified Arabic" w:hint="cs"/>
          <w:sz w:val="28"/>
          <w:szCs w:val="28"/>
          <w:rtl/>
          <w:lang w:bidi="ar-DZ"/>
        </w:rPr>
        <w:t xml:space="preserve"> تقدير الجدارة الائتمانية للمؤسسة وإقرار منح الائتمان.</w:t>
      </w:r>
    </w:p>
    <w:p w:rsidR="006D2A39" w:rsidRDefault="006D2A39" w:rsidP="006D2A39">
      <w:pPr>
        <w:jc w:val="center"/>
        <w:rPr>
          <w:rFonts w:ascii="Simplified Arabic" w:hAnsi="Simplified Arabic" w:cs="Simplified Arabic"/>
          <w:sz w:val="28"/>
          <w:szCs w:val="28"/>
          <w:rtl/>
          <w:lang w:bidi="ar-DZ"/>
        </w:rPr>
      </w:pPr>
      <w:r w:rsidRPr="004D1A38">
        <w:rPr>
          <w:rFonts w:ascii="Simplified Arabic" w:hAnsi="Simplified Arabic" w:cs="Simplified Arabic" w:hint="cs"/>
          <w:b/>
          <w:bCs/>
          <w:sz w:val="28"/>
          <w:szCs w:val="28"/>
          <w:rtl/>
          <w:lang w:bidi="ar-DZ"/>
        </w:rPr>
        <w:t>الشكل رقم (</w:t>
      </w:r>
      <w:r>
        <w:rPr>
          <w:rFonts w:ascii="Simplified Arabic" w:hAnsi="Simplified Arabic" w:cs="Simplified Arabic" w:hint="cs"/>
          <w:b/>
          <w:bCs/>
          <w:sz w:val="28"/>
          <w:szCs w:val="28"/>
          <w:rtl/>
          <w:lang w:bidi="ar-DZ"/>
        </w:rPr>
        <w:t>02</w:t>
      </w:r>
      <w:r w:rsidRPr="004D1A38">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المستفيدين</w:t>
      </w:r>
      <w:proofErr w:type="gramEnd"/>
      <w:r>
        <w:rPr>
          <w:rFonts w:ascii="Simplified Arabic" w:hAnsi="Simplified Arabic" w:cs="Simplified Arabic" w:hint="cs"/>
          <w:b/>
          <w:bCs/>
          <w:sz w:val="28"/>
          <w:szCs w:val="28"/>
          <w:rtl/>
          <w:lang w:bidi="ar-DZ"/>
        </w:rPr>
        <w:t xml:space="preserve"> من</w:t>
      </w:r>
      <w:r w:rsidRPr="004D1A38">
        <w:rPr>
          <w:rFonts w:ascii="Simplified Arabic" w:hAnsi="Simplified Arabic" w:cs="Simplified Arabic" w:hint="cs"/>
          <w:b/>
          <w:bCs/>
          <w:sz w:val="28"/>
          <w:szCs w:val="28"/>
          <w:rtl/>
          <w:lang w:bidi="ar-DZ"/>
        </w:rPr>
        <w:t xml:space="preserve"> التحليل المالي</w:t>
      </w:r>
    </w:p>
    <w:p w:rsidR="006D2A39" w:rsidRDefault="006D2A39" w:rsidP="006D2A39">
      <w:pPr>
        <w:jc w:val="right"/>
        <w:rPr>
          <w:rFonts w:ascii="Simplified Arabic" w:hAnsi="Simplified Arabic" w:cs="Simplified Arabic"/>
          <w:color w:val="000000" w:themeColor="text1"/>
          <w:sz w:val="28"/>
          <w:szCs w:val="28"/>
          <w:lang w:bidi="ar-DZ"/>
        </w:rPr>
      </w:pPr>
      <w:r w:rsidRPr="005417E0">
        <w:rPr>
          <w:rFonts w:ascii="Simplified Arabic" w:hAnsi="Simplified Arabic" w:cs="Simplified Arabic"/>
          <w:noProof/>
          <w:color w:val="000000" w:themeColor="text1"/>
          <w:sz w:val="28"/>
          <w:szCs w:val="28"/>
          <w:rtl/>
          <w:lang w:eastAsia="fr-FR"/>
        </w:rPr>
        <w:drawing>
          <wp:inline distT="0" distB="0" distL="0" distR="0" wp14:anchorId="66F37AF1" wp14:editId="25C05A8D">
            <wp:extent cx="5981700" cy="2762250"/>
            <wp:effectExtent l="76200" t="57150" r="95250" b="11430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D2A39" w:rsidRPr="009D2334" w:rsidRDefault="006D2A39" w:rsidP="006D2A39">
      <w:pPr>
        <w:bidi/>
        <w:jc w:val="both"/>
        <w:rPr>
          <w:rFonts w:ascii="Simplified Arabic" w:hAnsi="Simplified Arabic" w:cs="Simplified Arabic"/>
          <w:b/>
          <w:bCs/>
          <w:color w:val="FF0000"/>
          <w:sz w:val="28"/>
          <w:szCs w:val="28"/>
          <w:u w:val="single"/>
          <w:rtl/>
          <w:lang w:bidi="ar-DZ"/>
        </w:rPr>
      </w:pPr>
      <w:r w:rsidRPr="009D2334">
        <w:rPr>
          <w:rFonts w:ascii="Simplified Arabic" w:hAnsi="Simplified Arabic" w:cs="Simplified Arabic" w:hint="cs"/>
          <w:b/>
          <w:bCs/>
          <w:color w:val="FF0000"/>
          <w:sz w:val="28"/>
          <w:szCs w:val="28"/>
          <w:highlight w:val="green"/>
          <w:u w:val="single"/>
          <w:rtl/>
          <w:lang w:bidi="ar-DZ"/>
        </w:rPr>
        <w:t>6. الأدوات المستخدمة في التحليل المالي:</w:t>
      </w:r>
    </w:p>
    <w:p w:rsidR="006D2A39" w:rsidRPr="00524001" w:rsidRDefault="006D2A39" w:rsidP="006D2A3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يستخدم المحللون الماليون لتشخيص الوضعية المالية للمؤسسة مجموعة من الأدوات، تتمثل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-تحليل النسب المالية: </w:t>
      </w:r>
      <w:r>
        <w:rPr>
          <w:rFonts w:ascii="Simplified Arabic" w:hAnsi="Simplified Arabic" w:cs="Simplified Arabic" w:hint="cs"/>
          <w:sz w:val="28"/>
          <w:szCs w:val="28"/>
          <w:rtl/>
          <w:lang w:bidi="ar-DZ"/>
        </w:rPr>
        <w:t>تعتبر من بين أهم الأدوات التي يتم استعمالها في التحليل المالي ، نظرا للاعتماد الكبير عليها من طرف مدققي الحسابات المالية، حيث تعتمد هذه الأداة على النسب المالية لقياس العلاقة بين عناصر القوائم المالية وقيمها.</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710300">
        <w:rPr>
          <w:rFonts w:ascii="Simplified Arabic" w:hAnsi="Simplified Arabic" w:cs="Simplified Arabic" w:hint="cs"/>
          <w:b/>
          <w:bCs/>
          <w:sz w:val="28"/>
          <w:szCs w:val="28"/>
          <w:rtl/>
          <w:lang w:bidi="ar-DZ"/>
        </w:rPr>
        <w:t>القوائم المالية التقديرية</w:t>
      </w:r>
      <w:r>
        <w:rPr>
          <w:rFonts w:ascii="Simplified Arabic" w:hAnsi="Simplified Arabic" w:cs="Simplified Arabic" w:hint="cs"/>
          <w:sz w:val="28"/>
          <w:szCs w:val="28"/>
          <w:rtl/>
          <w:lang w:bidi="ar-DZ"/>
        </w:rPr>
        <w:t xml:space="preserve">: وهي أداة </w:t>
      </w:r>
      <w:proofErr w:type="spellStart"/>
      <w:r>
        <w:rPr>
          <w:rFonts w:ascii="Simplified Arabic" w:hAnsi="Simplified Arabic" w:cs="Simplified Arabic" w:hint="cs"/>
          <w:sz w:val="28"/>
          <w:szCs w:val="28"/>
          <w:rtl/>
          <w:lang w:bidi="ar-DZ"/>
        </w:rPr>
        <w:t>توقعية</w:t>
      </w:r>
      <w:proofErr w:type="spellEnd"/>
      <w:r>
        <w:rPr>
          <w:rFonts w:ascii="Simplified Arabic" w:hAnsi="Simplified Arabic" w:cs="Simplified Arabic" w:hint="cs"/>
          <w:sz w:val="28"/>
          <w:szCs w:val="28"/>
          <w:rtl/>
          <w:lang w:bidi="ar-DZ"/>
        </w:rPr>
        <w:t xml:space="preserve"> لمختلف عناصر الأصول </w:t>
      </w:r>
      <w:proofErr w:type="gramStart"/>
      <w:r>
        <w:rPr>
          <w:rFonts w:ascii="Simplified Arabic" w:hAnsi="Simplified Arabic" w:cs="Simplified Arabic" w:hint="cs"/>
          <w:sz w:val="28"/>
          <w:szCs w:val="28"/>
          <w:rtl/>
          <w:lang w:bidi="ar-DZ"/>
        </w:rPr>
        <w:t>والخصوم</w:t>
      </w:r>
      <w:proofErr w:type="gramEnd"/>
      <w:r>
        <w:rPr>
          <w:rFonts w:ascii="Simplified Arabic" w:hAnsi="Simplified Arabic" w:cs="Simplified Arabic" w:hint="cs"/>
          <w:sz w:val="28"/>
          <w:szCs w:val="28"/>
          <w:rtl/>
          <w:lang w:bidi="ar-DZ"/>
        </w:rPr>
        <w:t xml:space="preserve"> وحجم الأرباح المتوقعة.</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710300">
        <w:rPr>
          <w:rFonts w:ascii="Simplified Arabic" w:hAnsi="Simplified Arabic" w:cs="Simplified Arabic" w:hint="cs"/>
          <w:b/>
          <w:bCs/>
          <w:sz w:val="28"/>
          <w:szCs w:val="28"/>
          <w:rtl/>
          <w:lang w:bidi="ar-DZ"/>
        </w:rPr>
        <w:t>جدول التمويل</w:t>
      </w:r>
      <w:r>
        <w:rPr>
          <w:rFonts w:ascii="Simplified Arabic" w:hAnsi="Simplified Arabic" w:cs="Simplified Arabic" w:hint="cs"/>
          <w:sz w:val="28"/>
          <w:szCs w:val="28"/>
          <w:rtl/>
          <w:lang w:bidi="ar-DZ"/>
        </w:rPr>
        <w:t>: أو ما يسمى جدول (الموارد/ الاستخدامات) الذي يرصد حركة التمويل من خلال التغيرات في بنود قائمة المركز المالي (الميزانية) لفترتين على الأقل، وبيان مصادر الأموال وكيفيات استخدامها في المدة المدروسة، بالإضافة إلى حركات الأموال الناتجة عن الدورة التشغيلية لنفس المدة الزمنية.</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710300">
        <w:rPr>
          <w:rFonts w:ascii="Simplified Arabic" w:hAnsi="Simplified Arabic" w:cs="Simplified Arabic" w:hint="cs"/>
          <w:b/>
          <w:bCs/>
          <w:sz w:val="28"/>
          <w:szCs w:val="28"/>
          <w:rtl/>
          <w:lang w:bidi="ar-DZ"/>
        </w:rPr>
        <w:t>المعادلات والنماذج الرياضية المتعلقة بتحليل المردودية</w:t>
      </w:r>
      <w:r>
        <w:rPr>
          <w:rFonts w:ascii="Simplified Arabic" w:hAnsi="Simplified Arabic" w:cs="Simplified Arabic" w:hint="cs"/>
          <w:sz w:val="28"/>
          <w:szCs w:val="28"/>
          <w:rtl/>
          <w:lang w:bidi="ar-DZ"/>
        </w:rPr>
        <w:t>: سواء تعلق الأمر بالمردودية الاقتصادية أو المردودية المالية وبتحليل الاستثمار، تحليل مخاطر التشغيل، الاحتياج في رأس المال العامل وتسيير التدفقات النقدية...الخ.</w:t>
      </w:r>
    </w:p>
    <w:p w:rsidR="006D2A39" w:rsidRDefault="006D2A39" w:rsidP="006D2A3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710300">
        <w:rPr>
          <w:rFonts w:ascii="Simplified Arabic" w:hAnsi="Simplified Arabic" w:cs="Simplified Arabic" w:hint="cs"/>
          <w:b/>
          <w:bCs/>
          <w:sz w:val="28"/>
          <w:szCs w:val="28"/>
          <w:rtl/>
          <w:lang w:bidi="ar-DZ"/>
        </w:rPr>
        <w:t>الموازنات التقديرية والنقدية</w:t>
      </w:r>
      <w:r>
        <w:rPr>
          <w:rFonts w:ascii="Simplified Arabic" w:hAnsi="Simplified Arabic" w:cs="Simplified Arabic" w:hint="cs"/>
          <w:sz w:val="28"/>
          <w:szCs w:val="28"/>
          <w:rtl/>
          <w:lang w:bidi="ar-DZ"/>
        </w:rPr>
        <w:t>: وتسمى أيضا كشوف التدفق النقدي، وهي أداة تستخدم للتنبؤ بكميات التدفقات النقدية الداخلة والخارجة وبالمواعيد التقديرية للتحصيل والانفاق.</w:t>
      </w:r>
    </w:p>
    <w:p w:rsidR="00911B7E" w:rsidRDefault="006D2A39">
      <w:pPr>
        <w:rPr>
          <w:lang w:bidi="ar-DZ"/>
        </w:rPr>
      </w:pPr>
      <w:bookmarkStart w:id="0" w:name="_GoBack"/>
      <w:bookmarkEnd w:id="0"/>
    </w:p>
    <w:sectPr w:rsidR="00911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B5BD5"/>
    <w:multiLevelType w:val="hybridMultilevel"/>
    <w:tmpl w:val="669A80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BD3729"/>
    <w:multiLevelType w:val="hybridMultilevel"/>
    <w:tmpl w:val="ABF670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39"/>
    <w:rsid w:val="001D65BF"/>
    <w:rsid w:val="006D2A39"/>
    <w:rsid w:val="00A256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2A39"/>
    <w:pPr>
      <w:ind w:left="720"/>
      <w:contextualSpacing/>
    </w:pPr>
  </w:style>
  <w:style w:type="paragraph" w:styleId="Textedebulles">
    <w:name w:val="Balloon Text"/>
    <w:basedOn w:val="Normal"/>
    <w:link w:val="TextedebullesCar"/>
    <w:uiPriority w:val="99"/>
    <w:semiHidden/>
    <w:unhideWhenUsed/>
    <w:rsid w:val="006D2A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2A39"/>
    <w:pPr>
      <w:ind w:left="720"/>
      <w:contextualSpacing/>
    </w:pPr>
  </w:style>
  <w:style w:type="paragraph" w:styleId="Textedebulles">
    <w:name w:val="Balloon Text"/>
    <w:basedOn w:val="Normal"/>
    <w:link w:val="TextedebullesCar"/>
    <w:uiPriority w:val="99"/>
    <w:semiHidden/>
    <w:unhideWhenUsed/>
    <w:rsid w:val="006D2A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79967-6CCA-4B93-9F64-3A71D7BF585B}"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fr-FR"/>
        </a:p>
      </dgm:t>
    </dgm:pt>
    <dgm:pt modelId="{56BD388A-458A-4D98-B67B-1BD105B0F1A2}">
      <dgm:prSet phldrT="[Texte]" custT="1"/>
      <dgm:spPr>
        <a:xfrm>
          <a:off x="3034" y="718740"/>
          <a:ext cx="1412114" cy="7060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ar-DZ" sz="1400">
              <a:solidFill>
                <a:sysClr val="windowText" lastClr="000000"/>
              </a:solidFill>
              <a:latin typeface="Simplified Arabic" pitchFamily="18" charset="-78"/>
              <a:ea typeface="+mn-ea"/>
              <a:cs typeface="Simplified Arabic" pitchFamily="18" charset="-78"/>
            </a:rPr>
            <a:t>المستفدين من التحليل المالي</a:t>
          </a:r>
          <a:endParaRPr lang="fr-FR" sz="1400">
            <a:solidFill>
              <a:sysClr val="windowText" lastClr="000000"/>
            </a:solidFill>
            <a:latin typeface="Simplified Arabic" pitchFamily="18" charset="-78"/>
            <a:ea typeface="+mn-ea"/>
            <a:cs typeface="Simplified Arabic" pitchFamily="18" charset="-78"/>
          </a:endParaRPr>
        </a:p>
      </dgm:t>
    </dgm:pt>
    <dgm:pt modelId="{4D259A98-413E-4047-84B6-7986004511BF}" type="parTrans" cxnId="{C7121972-FFCB-4212-9464-242597497C60}">
      <dgm:prSet/>
      <dgm:spPr/>
      <dgm:t>
        <a:bodyPr/>
        <a:lstStyle/>
        <a:p>
          <a:endParaRPr lang="fr-FR"/>
        </a:p>
      </dgm:t>
    </dgm:pt>
    <dgm:pt modelId="{D13FBB51-559E-4635-864F-96CBAB6AD412}" type="sibTrans" cxnId="{C7121972-FFCB-4212-9464-242597497C60}">
      <dgm:prSet/>
      <dgm:spPr/>
      <dgm:t>
        <a:bodyPr/>
        <a:lstStyle/>
        <a:p>
          <a:endParaRPr lang="fr-FR"/>
        </a:p>
      </dgm:t>
    </dgm:pt>
    <dgm:pt modelId="{EDF65604-A9BE-43D9-AF94-CED9037C11D8}">
      <dgm:prSet phldrT="[Texte]" custT="1"/>
      <dgm:spPr>
        <a:xfrm>
          <a:off x="1988312" y="3402"/>
          <a:ext cx="1412114" cy="7060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ar-DZ" sz="1400">
              <a:solidFill>
                <a:sysClr val="windowText" lastClr="000000"/>
              </a:solidFill>
              <a:latin typeface="Simplified Arabic" pitchFamily="18" charset="-78"/>
              <a:ea typeface="+mn-ea"/>
              <a:cs typeface="Simplified Arabic" pitchFamily="18" charset="-78"/>
            </a:rPr>
            <a:t>الأطراف الداخلية</a:t>
          </a:r>
          <a:endParaRPr lang="fr-FR" sz="1400">
            <a:solidFill>
              <a:sysClr val="windowText" lastClr="000000"/>
            </a:solidFill>
            <a:latin typeface="Simplified Arabic" pitchFamily="18" charset="-78"/>
            <a:ea typeface="+mn-ea"/>
            <a:cs typeface="Simplified Arabic" pitchFamily="18" charset="-78"/>
          </a:endParaRPr>
        </a:p>
      </dgm:t>
    </dgm:pt>
    <dgm:pt modelId="{8D1AFBBD-FBE9-4034-AEFF-6D97C68BE93A}" type="parTrans" cxnId="{21B58C0C-7B14-410A-8792-16000B78554A}">
      <dgm:prSet/>
      <dgm:spPr>
        <a:xfrm rot="18522202">
          <a:off x="1243411" y="691095"/>
          <a:ext cx="916638" cy="46009"/>
        </a:xfrm>
        <a:noFill/>
        <a:ln w="25400" cap="flat" cmpd="sng" algn="ctr">
          <a:solidFill>
            <a:srgbClr val="4F81BD">
              <a:shade val="60000"/>
              <a:hueOff val="0"/>
              <a:satOff val="0"/>
              <a:lumOff val="0"/>
              <a:alphaOff val="0"/>
            </a:srgbClr>
          </a:solidFill>
          <a:prstDash val="solid"/>
        </a:ln>
        <a:effectLst/>
      </dgm:spPr>
      <dgm:t>
        <a:bodyPr/>
        <a:lstStyle/>
        <a:p>
          <a:endParaRPr lang="fr-FR">
            <a:solidFill>
              <a:sysClr val="windowText" lastClr="000000">
                <a:hueOff val="0"/>
                <a:satOff val="0"/>
                <a:lumOff val="0"/>
                <a:alphaOff val="0"/>
              </a:sysClr>
            </a:solidFill>
            <a:latin typeface="Calibri"/>
            <a:ea typeface="+mn-ea"/>
            <a:cs typeface="+mn-cs"/>
          </a:endParaRPr>
        </a:p>
      </dgm:t>
    </dgm:pt>
    <dgm:pt modelId="{63A15420-6550-45C7-B3F8-9F321B94D9A4}" type="sibTrans" cxnId="{21B58C0C-7B14-410A-8792-16000B78554A}">
      <dgm:prSet/>
      <dgm:spPr/>
      <dgm:t>
        <a:bodyPr/>
        <a:lstStyle/>
        <a:p>
          <a:endParaRPr lang="fr-FR"/>
        </a:p>
      </dgm:t>
    </dgm:pt>
    <dgm:pt modelId="{2FB62178-285D-4F43-B724-25BB97A84810}">
      <dgm:prSet phldrT="[Texte]" custT="1"/>
      <dgm:spPr>
        <a:xfrm>
          <a:off x="3956955" y="3402"/>
          <a:ext cx="2021710" cy="7060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ar-DZ" sz="800">
              <a:solidFill>
                <a:sysClr val="windowText" lastClr="000000"/>
              </a:solidFill>
              <a:latin typeface="Simplified Arabic" pitchFamily="18" charset="-78"/>
              <a:ea typeface="+mn-ea"/>
              <a:cs typeface="Simplified Arabic" pitchFamily="18" charset="-78"/>
            </a:rPr>
            <a:t>-</a:t>
          </a:r>
          <a:r>
            <a:rPr lang="ar-DZ" sz="1400">
              <a:solidFill>
                <a:sysClr val="windowText" lastClr="000000"/>
              </a:solidFill>
              <a:latin typeface="Simplified Arabic" pitchFamily="18" charset="-78"/>
              <a:ea typeface="+mn-ea"/>
              <a:cs typeface="Simplified Arabic" pitchFamily="18" charset="-78"/>
            </a:rPr>
            <a:t>إدارة المؤسسة</a:t>
          </a:r>
        </a:p>
        <a:p>
          <a:r>
            <a:rPr lang="ar-DZ" sz="1400">
              <a:solidFill>
                <a:sysClr val="windowText" lastClr="000000"/>
              </a:solidFill>
              <a:latin typeface="Simplified Arabic" pitchFamily="18" charset="-78"/>
              <a:ea typeface="+mn-ea"/>
              <a:cs typeface="Simplified Arabic" pitchFamily="18" charset="-78"/>
            </a:rPr>
            <a:t>- المالكين والمساهمين</a:t>
          </a:r>
          <a:endParaRPr lang="fr-FR" sz="1400">
            <a:solidFill>
              <a:sysClr val="windowText" lastClr="000000"/>
            </a:solidFill>
            <a:latin typeface="Simplified Arabic" pitchFamily="18" charset="-78"/>
            <a:ea typeface="+mn-ea"/>
            <a:cs typeface="Simplified Arabic" pitchFamily="18" charset="-78"/>
          </a:endParaRPr>
        </a:p>
      </dgm:t>
    </dgm:pt>
    <dgm:pt modelId="{9E4863A8-78F0-4C38-93C2-65E380F8A6C8}" type="parTrans" cxnId="{774ED391-9907-4F36-A295-F68C39FA76BE}">
      <dgm:prSet/>
      <dgm:spPr>
        <a:xfrm>
          <a:off x="3400426" y="333426"/>
          <a:ext cx="556528" cy="46009"/>
        </a:xfrm>
        <a:noFill/>
        <a:ln w="25400" cap="flat" cmpd="sng" algn="ctr">
          <a:solidFill>
            <a:srgbClr val="4F81BD">
              <a:shade val="80000"/>
              <a:hueOff val="0"/>
              <a:satOff val="0"/>
              <a:lumOff val="0"/>
              <a:alphaOff val="0"/>
            </a:srgbClr>
          </a:solidFill>
          <a:prstDash val="solid"/>
        </a:ln>
        <a:effectLst/>
      </dgm:spPr>
      <dgm:t>
        <a:bodyPr/>
        <a:lstStyle/>
        <a:p>
          <a:endParaRPr lang="fr-FR">
            <a:solidFill>
              <a:sysClr val="windowText" lastClr="000000">
                <a:hueOff val="0"/>
                <a:satOff val="0"/>
                <a:lumOff val="0"/>
                <a:alphaOff val="0"/>
              </a:sysClr>
            </a:solidFill>
            <a:latin typeface="Calibri"/>
            <a:ea typeface="+mn-ea"/>
            <a:cs typeface="+mn-cs"/>
          </a:endParaRPr>
        </a:p>
      </dgm:t>
    </dgm:pt>
    <dgm:pt modelId="{64AEA06F-34C9-4515-8ED9-31325EDE3E97}" type="sibTrans" cxnId="{774ED391-9907-4F36-A295-F68C39FA76BE}">
      <dgm:prSet/>
      <dgm:spPr/>
      <dgm:t>
        <a:bodyPr/>
        <a:lstStyle/>
        <a:p>
          <a:endParaRPr lang="fr-FR"/>
        </a:p>
      </dgm:t>
    </dgm:pt>
    <dgm:pt modelId="{F28C1BB6-279A-473A-AC54-5DD6CA2AB156}">
      <dgm:prSet phldrT="[Texte]" custT="1"/>
      <dgm:spPr>
        <a:xfrm>
          <a:off x="1979994" y="1434079"/>
          <a:ext cx="1412114" cy="7060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ar-DZ" sz="1400">
              <a:solidFill>
                <a:sysClr val="windowText" lastClr="000000"/>
              </a:solidFill>
              <a:latin typeface="Simplified Arabic" pitchFamily="18" charset="-78"/>
              <a:ea typeface="+mn-ea"/>
              <a:cs typeface="Simplified Arabic" pitchFamily="18" charset="-78"/>
            </a:rPr>
            <a:t>الأطراف الخارجية</a:t>
          </a:r>
          <a:endParaRPr lang="fr-FR" sz="1400">
            <a:solidFill>
              <a:sysClr val="windowText" lastClr="000000"/>
            </a:solidFill>
            <a:latin typeface="Simplified Arabic" pitchFamily="18" charset="-78"/>
            <a:ea typeface="+mn-ea"/>
            <a:cs typeface="Simplified Arabic" pitchFamily="18" charset="-78"/>
          </a:endParaRPr>
        </a:p>
      </dgm:t>
    </dgm:pt>
    <dgm:pt modelId="{FF6D01BD-2D1A-4DFD-92C7-A60DC275C2EB}" type="parTrans" cxnId="{6CBC4F7E-E347-419D-B043-1C68607AAABB}">
      <dgm:prSet/>
      <dgm:spPr>
        <a:xfrm rot="3102279">
          <a:off x="1241841" y="1406433"/>
          <a:ext cx="911460" cy="46009"/>
        </a:xfrm>
        <a:noFill/>
        <a:ln w="25400" cap="flat" cmpd="sng" algn="ctr">
          <a:solidFill>
            <a:srgbClr val="4F81BD">
              <a:shade val="60000"/>
              <a:hueOff val="0"/>
              <a:satOff val="0"/>
              <a:lumOff val="0"/>
              <a:alphaOff val="0"/>
            </a:srgbClr>
          </a:solidFill>
          <a:prstDash val="solid"/>
        </a:ln>
        <a:effectLst/>
      </dgm:spPr>
      <dgm:t>
        <a:bodyPr/>
        <a:lstStyle/>
        <a:p>
          <a:endParaRPr lang="fr-FR">
            <a:solidFill>
              <a:sysClr val="windowText" lastClr="000000">
                <a:hueOff val="0"/>
                <a:satOff val="0"/>
                <a:lumOff val="0"/>
                <a:alphaOff val="0"/>
              </a:sysClr>
            </a:solidFill>
            <a:latin typeface="Calibri"/>
            <a:ea typeface="+mn-ea"/>
            <a:cs typeface="+mn-cs"/>
          </a:endParaRPr>
        </a:p>
      </dgm:t>
    </dgm:pt>
    <dgm:pt modelId="{F4302A9D-D3B7-4AF3-9F34-D6028C0DC8EC}" type="sibTrans" cxnId="{6CBC4F7E-E347-419D-B043-1C68607AAABB}">
      <dgm:prSet/>
      <dgm:spPr/>
      <dgm:t>
        <a:bodyPr/>
        <a:lstStyle/>
        <a:p>
          <a:endParaRPr lang="fr-FR"/>
        </a:p>
      </dgm:t>
    </dgm:pt>
    <dgm:pt modelId="{95EB9E7A-8BF6-4088-891E-44B1FF5A9B45}">
      <dgm:prSet phldrT="[Texte]" custT="1"/>
      <dgm:spPr>
        <a:xfrm>
          <a:off x="3956955" y="815368"/>
          <a:ext cx="1994075" cy="194347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ar-DZ" sz="500">
              <a:solidFill>
                <a:sysClr val="windowText" lastClr="000000"/>
              </a:solidFill>
              <a:latin typeface="Simplified Arabic" pitchFamily="18" charset="-78"/>
              <a:ea typeface="+mn-ea"/>
              <a:cs typeface="Simplified Arabic" pitchFamily="18" charset="-78"/>
            </a:rPr>
            <a:t>- </a:t>
          </a:r>
          <a:r>
            <a:rPr lang="ar-DZ" sz="1400">
              <a:solidFill>
                <a:sysClr val="windowText" lastClr="000000"/>
              </a:solidFill>
              <a:latin typeface="Simplified Arabic" pitchFamily="18" charset="-78"/>
              <a:ea typeface="+mn-ea"/>
              <a:cs typeface="Simplified Arabic" pitchFamily="18" charset="-78"/>
            </a:rPr>
            <a:t>المستثمرون والدائنون</a:t>
          </a:r>
        </a:p>
        <a:p>
          <a:r>
            <a:rPr lang="ar-DZ" sz="1400">
              <a:solidFill>
                <a:sysClr val="windowText" lastClr="000000"/>
              </a:solidFill>
              <a:latin typeface="Simplified Arabic" pitchFamily="18" charset="-78"/>
              <a:ea typeface="+mn-ea"/>
              <a:cs typeface="Simplified Arabic" pitchFamily="18" charset="-78"/>
            </a:rPr>
            <a:t>-هئية الأوراق المالية</a:t>
          </a:r>
        </a:p>
        <a:p>
          <a:r>
            <a:rPr lang="ar-DZ" sz="1400">
              <a:solidFill>
                <a:sysClr val="windowText" lastClr="000000"/>
              </a:solidFill>
              <a:latin typeface="Simplified Arabic" pitchFamily="18" charset="-78"/>
              <a:ea typeface="+mn-ea"/>
              <a:cs typeface="Simplified Arabic" pitchFamily="18" charset="-78"/>
            </a:rPr>
            <a:t>-الغرف التجارية والصناعية</a:t>
          </a:r>
        </a:p>
        <a:p>
          <a:r>
            <a:rPr lang="ar-DZ" sz="1400">
              <a:solidFill>
                <a:sysClr val="windowText" lastClr="000000"/>
              </a:solidFill>
              <a:latin typeface="Simplified Arabic" pitchFamily="18" charset="-78"/>
              <a:ea typeface="+mn-ea"/>
              <a:cs typeface="Simplified Arabic" pitchFamily="18" charset="-78"/>
            </a:rPr>
            <a:t>- الأجهزة الضريبية</a:t>
          </a:r>
        </a:p>
        <a:p>
          <a:r>
            <a:rPr lang="ar-DZ" sz="1400">
              <a:solidFill>
                <a:sysClr val="windowText" lastClr="000000"/>
              </a:solidFill>
              <a:latin typeface="Simplified Arabic" pitchFamily="18" charset="-78"/>
              <a:ea typeface="+mn-ea"/>
              <a:cs typeface="Simplified Arabic" pitchFamily="18" charset="-78"/>
            </a:rPr>
            <a:t>- البنوك وغيرها من المؤسسات المالية </a:t>
          </a:r>
          <a:endParaRPr lang="fr-FR" sz="1400">
            <a:solidFill>
              <a:sysClr val="windowText" lastClr="000000"/>
            </a:solidFill>
            <a:latin typeface="Simplified Arabic" pitchFamily="18" charset="-78"/>
            <a:ea typeface="+mn-ea"/>
            <a:cs typeface="Simplified Arabic" pitchFamily="18" charset="-78"/>
          </a:endParaRPr>
        </a:p>
      </dgm:t>
    </dgm:pt>
    <dgm:pt modelId="{07F3BE91-0E71-4D86-87F3-1A11B9326A4F}" type="parTrans" cxnId="{CF24F286-A8B8-4D04-8537-971798BDC99E}">
      <dgm:prSet/>
      <dgm:spPr>
        <a:xfrm>
          <a:off x="3392109" y="1764103"/>
          <a:ext cx="564845" cy="46009"/>
        </a:xfrm>
        <a:noFill/>
        <a:ln w="25400" cap="flat" cmpd="sng" algn="ctr">
          <a:solidFill>
            <a:srgbClr val="4F81BD">
              <a:shade val="80000"/>
              <a:hueOff val="0"/>
              <a:satOff val="0"/>
              <a:lumOff val="0"/>
              <a:alphaOff val="0"/>
            </a:srgbClr>
          </a:solidFill>
          <a:prstDash val="solid"/>
        </a:ln>
        <a:effectLst/>
      </dgm:spPr>
      <dgm:t>
        <a:bodyPr/>
        <a:lstStyle/>
        <a:p>
          <a:endParaRPr lang="fr-FR">
            <a:solidFill>
              <a:sysClr val="windowText" lastClr="000000">
                <a:hueOff val="0"/>
                <a:satOff val="0"/>
                <a:lumOff val="0"/>
                <a:alphaOff val="0"/>
              </a:sysClr>
            </a:solidFill>
            <a:latin typeface="Calibri"/>
            <a:ea typeface="+mn-ea"/>
            <a:cs typeface="+mn-cs"/>
          </a:endParaRPr>
        </a:p>
      </dgm:t>
    </dgm:pt>
    <dgm:pt modelId="{3FC1B567-77F7-4C31-802D-8FEB74E6747E}" type="sibTrans" cxnId="{CF24F286-A8B8-4D04-8537-971798BDC99E}">
      <dgm:prSet/>
      <dgm:spPr/>
      <dgm:t>
        <a:bodyPr/>
        <a:lstStyle/>
        <a:p>
          <a:endParaRPr lang="fr-FR"/>
        </a:p>
      </dgm:t>
    </dgm:pt>
    <dgm:pt modelId="{7ECC4921-91E9-48D2-984A-0634D356A2A2}" type="pres">
      <dgm:prSet presAssocID="{E4479967-6CCA-4B93-9F64-3A71D7BF585B}" presName="diagram" presStyleCnt="0">
        <dgm:presLayoutVars>
          <dgm:chPref val="1"/>
          <dgm:dir/>
          <dgm:animOne val="branch"/>
          <dgm:animLvl val="lvl"/>
          <dgm:resizeHandles val="exact"/>
        </dgm:presLayoutVars>
      </dgm:prSet>
      <dgm:spPr/>
      <dgm:t>
        <a:bodyPr/>
        <a:lstStyle/>
        <a:p>
          <a:endParaRPr lang="fr-FR"/>
        </a:p>
      </dgm:t>
    </dgm:pt>
    <dgm:pt modelId="{B4F95317-BC62-43E4-961D-EF28E9987598}" type="pres">
      <dgm:prSet presAssocID="{56BD388A-458A-4D98-B67B-1BD105B0F1A2}" presName="root1" presStyleCnt="0"/>
      <dgm:spPr/>
    </dgm:pt>
    <dgm:pt modelId="{531CDFE2-82A9-48BE-89CA-A2CC01E36532}" type="pres">
      <dgm:prSet presAssocID="{56BD388A-458A-4D98-B67B-1BD105B0F1A2}" presName="LevelOneTextNode" presStyleLbl="node0" presStyleIdx="0" presStyleCnt="1">
        <dgm:presLayoutVars>
          <dgm:chPref val="3"/>
        </dgm:presLayoutVars>
      </dgm:prSet>
      <dgm:spPr>
        <a:prstGeom prst="roundRect">
          <a:avLst>
            <a:gd name="adj" fmla="val 10000"/>
          </a:avLst>
        </a:prstGeom>
      </dgm:spPr>
      <dgm:t>
        <a:bodyPr/>
        <a:lstStyle/>
        <a:p>
          <a:endParaRPr lang="fr-FR"/>
        </a:p>
      </dgm:t>
    </dgm:pt>
    <dgm:pt modelId="{F852690C-E2DC-4F3D-81CD-ECC55FCF28BF}" type="pres">
      <dgm:prSet presAssocID="{56BD388A-458A-4D98-B67B-1BD105B0F1A2}" presName="level2hierChild" presStyleCnt="0"/>
      <dgm:spPr/>
    </dgm:pt>
    <dgm:pt modelId="{65ECE304-15DB-43E2-84F9-AE094147F032}" type="pres">
      <dgm:prSet presAssocID="{8D1AFBBD-FBE9-4034-AEFF-6D97C68BE93A}" presName="conn2-1" presStyleLbl="parChTrans1D2" presStyleIdx="0" presStyleCnt="2"/>
      <dgm:spPr>
        <a:custGeom>
          <a:avLst/>
          <a:gdLst/>
          <a:ahLst/>
          <a:cxnLst/>
          <a:rect l="0" t="0" r="0" b="0"/>
          <a:pathLst>
            <a:path>
              <a:moveTo>
                <a:pt x="0" y="23004"/>
              </a:moveTo>
              <a:lnTo>
                <a:pt x="916638" y="23004"/>
              </a:lnTo>
            </a:path>
          </a:pathLst>
        </a:custGeom>
      </dgm:spPr>
      <dgm:t>
        <a:bodyPr/>
        <a:lstStyle/>
        <a:p>
          <a:endParaRPr lang="fr-FR"/>
        </a:p>
      </dgm:t>
    </dgm:pt>
    <dgm:pt modelId="{10D0D7AC-5945-4400-AEE3-8C799F82EC89}" type="pres">
      <dgm:prSet presAssocID="{8D1AFBBD-FBE9-4034-AEFF-6D97C68BE93A}" presName="connTx" presStyleLbl="parChTrans1D2" presStyleIdx="0" presStyleCnt="2"/>
      <dgm:spPr/>
      <dgm:t>
        <a:bodyPr/>
        <a:lstStyle/>
        <a:p>
          <a:endParaRPr lang="fr-FR"/>
        </a:p>
      </dgm:t>
    </dgm:pt>
    <dgm:pt modelId="{1951318B-968C-4032-AA4C-54498304B5C7}" type="pres">
      <dgm:prSet presAssocID="{EDF65604-A9BE-43D9-AF94-CED9037C11D8}" presName="root2" presStyleCnt="0"/>
      <dgm:spPr/>
    </dgm:pt>
    <dgm:pt modelId="{E03204EF-27B7-4848-B8A2-E7EA2BB7737F}" type="pres">
      <dgm:prSet presAssocID="{EDF65604-A9BE-43D9-AF94-CED9037C11D8}" presName="LevelTwoTextNode" presStyleLbl="node2" presStyleIdx="0" presStyleCnt="2" custLinFactNeighborX="589">
        <dgm:presLayoutVars>
          <dgm:chPref val="3"/>
        </dgm:presLayoutVars>
      </dgm:prSet>
      <dgm:spPr>
        <a:prstGeom prst="roundRect">
          <a:avLst>
            <a:gd name="adj" fmla="val 10000"/>
          </a:avLst>
        </a:prstGeom>
      </dgm:spPr>
      <dgm:t>
        <a:bodyPr/>
        <a:lstStyle/>
        <a:p>
          <a:endParaRPr lang="fr-FR"/>
        </a:p>
      </dgm:t>
    </dgm:pt>
    <dgm:pt modelId="{159D513F-6B04-4F5E-AF15-A4A88A2B0C2E}" type="pres">
      <dgm:prSet presAssocID="{EDF65604-A9BE-43D9-AF94-CED9037C11D8}" presName="level3hierChild" presStyleCnt="0"/>
      <dgm:spPr/>
    </dgm:pt>
    <dgm:pt modelId="{6EED99A1-A471-4429-BD49-EE0E781C92C9}" type="pres">
      <dgm:prSet presAssocID="{9E4863A8-78F0-4C38-93C2-65E380F8A6C8}" presName="conn2-1" presStyleLbl="parChTrans1D3" presStyleIdx="0" presStyleCnt="2"/>
      <dgm:spPr>
        <a:custGeom>
          <a:avLst/>
          <a:gdLst/>
          <a:ahLst/>
          <a:cxnLst/>
          <a:rect l="0" t="0" r="0" b="0"/>
          <a:pathLst>
            <a:path>
              <a:moveTo>
                <a:pt x="0" y="23004"/>
              </a:moveTo>
              <a:lnTo>
                <a:pt x="556528" y="23004"/>
              </a:lnTo>
            </a:path>
          </a:pathLst>
        </a:custGeom>
      </dgm:spPr>
      <dgm:t>
        <a:bodyPr/>
        <a:lstStyle/>
        <a:p>
          <a:endParaRPr lang="fr-FR"/>
        </a:p>
      </dgm:t>
    </dgm:pt>
    <dgm:pt modelId="{5D1821E2-D630-41BA-9A65-C3630DE9AC21}" type="pres">
      <dgm:prSet presAssocID="{9E4863A8-78F0-4C38-93C2-65E380F8A6C8}" presName="connTx" presStyleLbl="parChTrans1D3" presStyleIdx="0" presStyleCnt="2"/>
      <dgm:spPr/>
      <dgm:t>
        <a:bodyPr/>
        <a:lstStyle/>
        <a:p>
          <a:endParaRPr lang="fr-FR"/>
        </a:p>
      </dgm:t>
    </dgm:pt>
    <dgm:pt modelId="{AA8CA525-0D17-490C-905F-A82327D4DB9E}" type="pres">
      <dgm:prSet presAssocID="{2FB62178-285D-4F43-B724-25BB97A84810}" presName="root2" presStyleCnt="0"/>
      <dgm:spPr/>
    </dgm:pt>
    <dgm:pt modelId="{6E0E39FB-8AA3-45BD-8C9D-6473817F8218}" type="pres">
      <dgm:prSet presAssocID="{2FB62178-285D-4F43-B724-25BB97A84810}" presName="LevelTwoTextNode" presStyleLbl="node3" presStyleIdx="0" presStyleCnt="2" custScaleX="143169">
        <dgm:presLayoutVars>
          <dgm:chPref val="3"/>
        </dgm:presLayoutVars>
      </dgm:prSet>
      <dgm:spPr>
        <a:prstGeom prst="roundRect">
          <a:avLst>
            <a:gd name="adj" fmla="val 10000"/>
          </a:avLst>
        </a:prstGeom>
      </dgm:spPr>
      <dgm:t>
        <a:bodyPr/>
        <a:lstStyle/>
        <a:p>
          <a:endParaRPr lang="fr-FR"/>
        </a:p>
      </dgm:t>
    </dgm:pt>
    <dgm:pt modelId="{562CD5E3-42B6-45EC-A3C5-074B66188A69}" type="pres">
      <dgm:prSet presAssocID="{2FB62178-285D-4F43-B724-25BB97A84810}" presName="level3hierChild" presStyleCnt="0"/>
      <dgm:spPr/>
    </dgm:pt>
    <dgm:pt modelId="{F112E955-48F4-4E02-BD2C-31A8E1B32213}" type="pres">
      <dgm:prSet presAssocID="{FF6D01BD-2D1A-4DFD-92C7-A60DC275C2EB}" presName="conn2-1" presStyleLbl="parChTrans1D2" presStyleIdx="1" presStyleCnt="2"/>
      <dgm:spPr>
        <a:custGeom>
          <a:avLst/>
          <a:gdLst/>
          <a:ahLst/>
          <a:cxnLst/>
          <a:rect l="0" t="0" r="0" b="0"/>
          <a:pathLst>
            <a:path>
              <a:moveTo>
                <a:pt x="0" y="23004"/>
              </a:moveTo>
              <a:lnTo>
                <a:pt x="911460" y="23004"/>
              </a:lnTo>
            </a:path>
          </a:pathLst>
        </a:custGeom>
      </dgm:spPr>
      <dgm:t>
        <a:bodyPr/>
        <a:lstStyle/>
        <a:p>
          <a:endParaRPr lang="fr-FR"/>
        </a:p>
      </dgm:t>
    </dgm:pt>
    <dgm:pt modelId="{F2BED6E0-BDCE-439C-88FF-E39F6A8FDC46}" type="pres">
      <dgm:prSet presAssocID="{FF6D01BD-2D1A-4DFD-92C7-A60DC275C2EB}" presName="connTx" presStyleLbl="parChTrans1D2" presStyleIdx="1" presStyleCnt="2"/>
      <dgm:spPr/>
      <dgm:t>
        <a:bodyPr/>
        <a:lstStyle/>
        <a:p>
          <a:endParaRPr lang="fr-FR"/>
        </a:p>
      </dgm:t>
    </dgm:pt>
    <dgm:pt modelId="{BD6CE559-D332-4699-819C-5AE133D7A13A}" type="pres">
      <dgm:prSet presAssocID="{F28C1BB6-279A-473A-AC54-5DD6CA2AB156}" presName="root2" presStyleCnt="0"/>
      <dgm:spPr/>
    </dgm:pt>
    <dgm:pt modelId="{0ED46CA5-09C5-45C9-BD4A-4FF73CBD2C3C}" type="pres">
      <dgm:prSet presAssocID="{F28C1BB6-279A-473A-AC54-5DD6CA2AB156}" presName="LevelTwoTextNode" presStyleLbl="node2" presStyleIdx="1" presStyleCnt="2">
        <dgm:presLayoutVars>
          <dgm:chPref val="3"/>
        </dgm:presLayoutVars>
      </dgm:prSet>
      <dgm:spPr>
        <a:prstGeom prst="roundRect">
          <a:avLst>
            <a:gd name="adj" fmla="val 10000"/>
          </a:avLst>
        </a:prstGeom>
      </dgm:spPr>
      <dgm:t>
        <a:bodyPr/>
        <a:lstStyle/>
        <a:p>
          <a:endParaRPr lang="fr-FR"/>
        </a:p>
      </dgm:t>
    </dgm:pt>
    <dgm:pt modelId="{CF2F7A16-AAE5-4A2B-A3DD-942FC440B945}" type="pres">
      <dgm:prSet presAssocID="{F28C1BB6-279A-473A-AC54-5DD6CA2AB156}" presName="level3hierChild" presStyleCnt="0"/>
      <dgm:spPr/>
    </dgm:pt>
    <dgm:pt modelId="{30105F3B-9AC2-4E43-909B-67B5E5E3D1BB}" type="pres">
      <dgm:prSet presAssocID="{07F3BE91-0E71-4D86-87F3-1A11B9326A4F}" presName="conn2-1" presStyleLbl="parChTrans1D3" presStyleIdx="1" presStyleCnt="2"/>
      <dgm:spPr>
        <a:custGeom>
          <a:avLst/>
          <a:gdLst/>
          <a:ahLst/>
          <a:cxnLst/>
          <a:rect l="0" t="0" r="0" b="0"/>
          <a:pathLst>
            <a:path>
              <a:moveTo>
                <a:pt x="0" y="23004"/>
              </a:moveTo>
              <a:lnTo>
                <a:pt x="564845" y="23004"/>
              </a:lnTo>
            </a:path>
          </a:pathLst>
        </a:custGeom>
      </dgm:spPr>
      <dgm:t>
        <a:bodyPr/>
        <a:lstStyle/>
        <a:p>
          <a:endParaRPr lang="fr-FR"/>
        </a:p>
      </dgm:t>
    </dgm:pt>
    <dgm:pt modelId="{04DBA9EF-A065-43DA-9B8E-45B7D8031DA0}" type="pres">
      <dgm:prSet presAssocID="{07F3BE91-0E71-4D86-87F3-1A11B9326A4F}" presName="connTx" presStyleLbl="parChTrans1D3" presStyleIdx="1" presStyleCnt="2"/>
      <dgm:spPr/>
      <dgm:t>
        <a:bodyPr/>
        <a:lstStyle/>
        <a:p>
          <a:endParaRPr lang="fr-FR"/>
        </a:p>
      </dgm:t>
    </dgm:pt>
    <dgm:pt modelId="{6629180A-5CD6-4F7B-9F8F-D577C551FF17}" type="pres">
      <dgm:prSet presAssocID="{95EB9E7A-8BF6-4088-891E-44B1FF5A9B45}" presName="root2" presStyleCnt="0"/>
      <dgm:spPr/>
    </dgm:pt>
    <dgm:pt modelId="{0DD3AC81-61D9-4663-B367-F239B2C03C73}" type="pres">
      <dgm:prSet presAssocID="{95EB9E7A-8BF6-4088-891E-44B1FF5A9B45}" presName="LevelTwoTextNode" presStyleLbl="node3" presStyleIdx="1" presStyleCnt="2" custScaleX="141212" custScaleY="275258">
        <dgm:presLayoutVars>
          <dgm:chPref val="3"/>
        </dgm:presLayoutVars>
      </dgm:prSet>
      <dgm:spPr>
        <a:prstGeom prst="roundRect">
          <a:avLst>
            <a:gd name="adj" fmla="val 10000"/>
          </a:avLst>
        </a:prstGeom>
      </dgm:spPr>
      <dgm:t>
        <a:bodyPr/>
        <a:lstStyle/>
        <a:p>
          <a:endParaRPr lang="fr-FR"/>
        </a:p>
      </dgm:t>
    </dgm:pt>
    <dgm:pt modelId="{0FEA4778-201A-434E-91A3-3F10FC04E053}" type="pres">
      <dgm:prSet presAssocID="{95EB9E7A-8BF6-4088-891E-44B1FF5A9B45}" presName="level3hierChild" presStyleCnt="0"/>
      <dgm:spPr/>
    </dgm:pt>
  </dgm:ptLst>
  <dgm:cxnLst>
    <dgm:cxn modelId="{9D829BF0-29ED-409E-B35F-06CA81395EA6}" type="presOf" srcId="{EDF65604-A9BE-43D9-AF94-CED9037C11D8}" destId="{E03204EF-27B7-4848-B8A2-E7EA2BB7737F}" srcOrd="0" destOrd="0" presId="urn:microsoft.com/office/officeart/2005/8/layout/hierarchy2"/>
    <dgm:cxn modelId="{C7121972-FFCB-4212-9464-242597497C60}" srcId="{E4479967-6CCA-4B93-9F64-3A71D7BF585B}" destId="{56BD388A-458A-4D98-B67B-1BD105B0F1A2}" srcOrd="0" destOrd="0" parTransId="{4D259A98-413E-4047-84B6-7986004511BF}" sibTransId="{D13FBB51-559E-4635-864F-96CBAB6AD412}"/>
    <dgm:cxn modelId="{CF24F286-A8B8-4D04-8537-971798BDC99E}" srcId="{F28C1BB6-279A-473A-AC54-5DD6CA2AB156}" destId="{95EB9E7A-8BF6-4088-891E-44B1FF5A9B45}" srcOrd="0" destOrd="0" parTransId="{07F3BE91-0E71-4D86-87F3-1A11B9326A4F}" sibTransId="{3FC1B567-77F7-4C31-802D-8FEB74E6747E}"/>
    <dgm:cxn modelId="{C0741E0F-9E2B-4FC9-95B7-C0C58AD27231}" type="presOf" srcId="{8D1AFBBD-FBE9-4034-AEFF-6D97C68BE93A}" destId="{10D0D7AC-5945-4400-AEE3-8C799F82EC89}" srcOrd="1" destOrd="0" presId="urn:microsoft.com/office/officeart/2005/8/layout/hierarchy2"/>
    <dgm:cxn modelId="{EFFB89A9-7A9C-4910-B988-7DE128C87D07}" type="presOf" srcId="{07F3BE91-0E71-4D86-87F3-1A11B9326A4F}" destId="{30105F3B-9AC2-4E43-909B-67B5E5E3D1BB}" srcOrd="0" destOrd="0" presId="urn:microsoft.com/office/officeart/2005/8/layout/hierarchy2"/>
    <dgm:cxn modelId="{F5DC007E-365F-4D84-8BD6-ECB0319239F0}" type="presOf" srcId="{F28C1BB6-279A-473A-AC54-5DD6CA2AB156}" destId="{0ED46CA5-09C5-45C9-BD4A-4FF73CBD2C3C}" srcOrd="0" destOrd="0" presId="urn:microsoft.com/office/officeart/2005/8/layout/hierarchy2"/>
    <dgm:cxn modelId="{A7172D2F-EE62-47CF-89A6-D8C9A5F76BCE}" type="presOf" srcId="{FF6D01BD-2D1A-4DFD-92C7-A60DC275C2EB}" destId="{F2BED6E0-BDCE-439C-88FF-E39F6A8FDC46}" srcOrd="1" destOrd="0" presId="urn:microsoft.com/office/officeart/2005/8/layout/hierarchy2"/>
    <dgm:cxn modelId="{774ED391-9907-4F36-A295-F68C39FA76BE}" srcId="{EDF65604-A9BE-43D9-AF94-CED9037C11D8}" destId="{2FB62178-285D-4F43-B724-25BB97A84810}" srcOrd="0" destOrd="0" parTransId="{9E4863A8-78F0-4C38-93C2-65E380F8A6C8}" sibTransId="{64AEA06F-34C9-4515-8ED9-31325EDE3E97}"/>
    <dgm:cxn modelId="{3B89846B-F977-4B94-8CB7-52BC7DDB9988}" type="presOf" srcId="{FF6D01BD-2D1A-4DFD-92C7-A60DC275C2EB}" destId="{F112E955-48F4-4E02-BD2C-31A8E1B32213}" srcOrd="0" destOrd="0" presId="urn:microsoft.com/office/officeart/2005/8/layout/hierarchy2"/>
    <dgm:cxn modelId="{AF4F4561-AC27-4B1B-8D3E-EBAA2EADC348}" type="presOf" srcId="{2FB62178-285D-4F43-B724-25BB97A84810}" destId="{6E0E39FB-8AA3-45BD-8C9D-6473817F8218}" srcOrd="0" destOrd="0" presId="urn:microsoft.com/office/officeart/2005/8/layout/hierarchy2"/>
    <dgm:cxn modelId="{21B58C0C-7B14-410A-8792-16000B78554A}" srcId="{56BD388A-458A-4D98-B67B-1BD105B0F1A2}" destId="{EDF65604-A9BE-43D9-AF94-CED9037C11D8}" srcOrd="0" destOrd="0" parTransId="{8D1AFBBD-FBE9-4034-AEFF-6D97C68BE93A}" sibTransId="{63A15420-6550-45C7-B3F8-9F321B94D9A4}"/>
    <dgm:cxn modelId="{118D79AE-2641-4A00-9105-A6CF74720864}" type="presOf" srcId="{9E4863A8-78F0-4C38-93C2-65E380F8A6C8}" destId="{5D1821E2-D630-41BA-9A65-C3630DE9AC21}" srcOrd="1" destOrd="0" presId="urn:microsoft.com/office/officeart/2005/8/layout/hierarchy2"/>
    <dgm:cxn modelId="{CF6377E8-B390-4D17-BA45-7DC40D0E9A8C}" type="presOf" srcId="{8D1AFBBD-FBE9-4034-AEFF-6D97C68BE93A}" destId="{65ECE304-15DB-43E2-84F9-AE094147F032}" srcOrd="0" destOrd="0" presId="urn:microsoft.com/office/officeart/2005/8/layout/hierarchy2"/>
    <dgm:cxn modelId="{D32B2F48-933C-465A-87EF-0206B12666BD}" type="presOf" srcId="{95EB9E7A-8BF6-4088-891E-44B1FF5A9B45}" destId="{0DD3AC81-61D9-4663-B367-F239B2C03C73}" srcOrd="0" destOrd="0" presId="urn:microsoft.com/office/officeart/2005/8/layout/hierarchy2"/>
    <dgm:cxn modelId="{751FAC74-CD58-411C-BDA4-B5E6FB116CAB}" type="presOf" srcId="{E4479967-6CCA-4B93-9F64-3A71D7BF585B}" destId="{7ECC4921-91E9-48D2-984A-0634D356A2A2}" srcOrd="0" destOrd="0" presId="urn:microsoft.com/office/officeart/2005/8/layout/hierarchy2"/>
    <dgm:cxn modelId="{5E2F5D2B-C4FE-441E-9CE4-153A37498331}" type="presOf" srcId="{07F3BE91-0E71-4D86-87F3-1A11B9326A4F}" destId="{04DBA9EF-A065-43DA-9B8E-45B7D8031DA0}" srcOrd="1" destOrd="0" presId="urn:microsoft.com/office/officeart/2005/8/layout/hierarchy2"/>
    <dgm:cxn modelId="{6CBC4F7E-E347-419D-B043-1C68607AAABB}" srcId="{56BD388A-458A-4D98-B67B-1BD105B0F1A2}" destId="{F28C1BB6-279A-473A-AC54-5DD6CA2AB156}" srcOrd="1" destOrd="0" parTransId="{FF6D01BD-2D1A-4DFD-92C7-A60DC275C2EB}" sibTransId="{F4302A9D-D3B7-4AF3-9F34-D6028C0DC8EC}"/>
    <dgm:cxn modelId="{A5A5CEED-AE06-4D64-A16E-50EA92957D2E}" type="presOf" srcId="{56BD388A-458A-4D98-B67B-1BD105B0F1A2}" destId="{531CDFE2-82A9-48BE-89CA-A2CC01E36532}" srcOrd="0" destOrd="0" presId="urn:microsoft.com/office/officeart/2005/8/layout/hierarchy2"/>
    <dgm:cxn modelId="{B40A783A-D19E-49E7-8159-356C87B24078}" type="presOf" srcId="{9E4863A8-78F0-4C38-93C2-65E380F8A6C8}" destId="{6EED99A1-A471-4429-BD49-EE0E781C92C9}" srcOrd="0" destOrd="0" presId="urn:microsoft.com/office/officeart/2005/8/layout/hierarchy2"/>
    <dgm:cxn modelId="{9BF37A88-7514-4C23-AB85-F9A33183FF86}" type="presParOf" srcId="{7ECC4921-91E9-48D2-984A-0634D356A2A2}" destId="{B4F95317-BC62-43E4-961D-EF28E9987598}" srcOrd="0" destOrd="0" presId="urn:microsoft.com/office/officeart/2005/8/layout/hierarchy2"/>
    <dgm:cxn modelId="{C08B0C00-2936-4E15-8D94-CE754F26E077}" type="presParOf" srcId="{B4F95317-BC62-43E4-961D-EF28E9987598}" destId="{531CDFE2-82A9-48BE-89CA-A2CC01E36532}" srcOrd="0" destOrd="0" presId="urn:microsoft.com/office/officeart/2005/8/layout/hierarchy2"/>
    <dgm:cxn modelId="{2CC588A0-E106-4849-AEEB-E7344568B1E5}" type="presParOf" srcId="{B4F95317-BC62-43E4-961D-EF28E9987598}" destId="{F852690C-E2DC-4F3D-81CD-ECC55FCF28BF}" srcOrd="1" destOrd="0" presId="urn:microsoft.com/office/officeart/2005/8/layout/hierarchy2"/>
    <dgm:cxn modelId="{6616AA38-D4CB-4342-A26D-52BE27960756}" type="presParOf" srcId="{F852690C-E2DC-4F3D-81CD-ECC55FCF28BF}" destId="{65ECE304-15DB-43E2-84F9-AE094147F032}" srcOrd="0" destOrd="0" presId="urn:microsoft.com/office/officeart/2005/8/layout/hierarchy2"/>
    <dgm:cxn modelId="{88479825-6136-4961-84D3-68880AF0A967}" type="presParOf" srcId="{65ECE304-15DB-43E2-84F9-AE094147F032}" destId="{10D0D7AC-5945-4400-AEE3-8C799F82EC89}" srcOrd="0" destOrd="0" presId="urn:microsoft.com/office/officeart/2005/8/layout/hierarchy2"/>
    <dgm:cxn modelId="{CD4AF111-0352-400D-B97A-324F8A6DF9DE}" type="presParOf" srcId="{F852690C-E2DC-4F3D-81CD-ECC55FCF28BF}" destId="{1951318B-968C-4032-AA4C-54498304B5C7}" srcOrd="1" destOrd="0" presId="urn:microsoft.com/office/officeart/2005/8/layout/hierarchy2"/>
    <dgm:cxn modelId="{31C63907-C624-496B-8FA4-0ECE8CAFF6C6}" type="presParOf" srcId="{1951318B-968C-4032-AA4C-54498304B5C7}" destId="{E03204EF-27B7-4848-B8A2-E7EA2BB7737F}" srcOrd="0" destOrd="0" presId="urn:microsoft.com/office/officeart/2005/8/layout/hierarchy2"/>
    <dgm:cxn modelId="{F85D89E2-514F-42D7-B3F1-280E71A64999}" type="presParOf" srcId="{1951318B-968C-4032-AA4C-54498304B5C7}" destId="{159D513F-6B04-4F5E-AF15-A4A88A2B0C2E}" srcOrd="1" destOrd="0" presId="urn:microsoft.com/office/officeart/2005/8/layout/hierarchy2"/>
    <dgm:cxn modelId="{064510C6-2FEC-4198-BD99-1419D51FC8CF}" type="presParOf" srcId="{159D513F-6B04-4F5E-AF15-A4A88A2B0C2E}" destId="{6EED99A1-A471-4429-BD49-EE0E781C92C9}" srcOrd="0" destOrd="0" presId="urn:microsoft.com/office/officeart/2005/8/layout/hierarchy2"/>
    <dgm:cxn modelId="{FCF2B3A0-D105-4027-B5A2-0D3004C2052D}" type="presParOf" srcId="{6EED99A1-A471-4429-BD49-EE0E781C92C9}" destId="{5D1821E2-D630-41BA-9A65-C3630DE9AC21}" srcOrd="0" destOrd="0" presId="urn:microsoft.com/office/officeart/2005/8/layout/hierarchy2"/>
    <dgm:cxn modelId="{5D57B766-192B-4540-9F7D-D114C4D28E97}" type="presParOf" srcId="{159D513F-6B04-4F5E-AF15-A4A88A2B0C2E}" destId="{AA8CA525-0D17-490C-905F-A82327D4DB9E}" srcOrd="1" destOrd="0" presId="urn:microsoft.com/office/officeart/2005/8/layout/hierarchy2"/>
    <dgm:cxn modelId="{EFF3263B-6E2C-4917-A055-F580C7EF8ECD}" type="presParOf" srcId="{AA8CA525-0D17-490C-905F-A82327D4DB9E}" destId="{6E0E39FB-8AA3-45BD-8C9D-6473817F8218}" srcOrd="0" destOrd="0" presId="urn:microsoft.com/office/officeart/2005/8/layout/hierarchy2"/>
    <dgm:cxn modelId="{BFFB3DAE-8A82-4A49-9137-061665BC124A}" type="presParOf" srcId="{AA8CA525-0D17-490C-905F-A82327D4DB9E}" destId="{562CD5E3-42B6-45EC-A3C5-074B66188A69}" srcOrd="1" destOrd="0" presId="urn:microsoft.com/office/officeart/2005/8/layout/hierarchy2"/>
    <dgm:cxn modelId="{4DF372FC-86DA-413D-89BB-1106210B2BC1}" type="presParOf" srcId="{F852690C-E2DC-4F3D-81CD-ECC55FCF28BF}" destId="{F112E955-48F4-4E02-BD2C-31A8E1B32213}" srcOrd="2" destOrd="0" presId="urn:microsoft.com/office/officeart/2005/8/layout/hierarchy2"/>
    <dgm:cxn modelId="{3C391886-59A6-421F-9B2D-FAD25FBEBE17}" type="presParOf" srcId="{F112E955-48F4-4E02-BD2C-31A8E1B32213}" destId="{F2BED6E0-BDCE-439C-88FF-E39F6A8FDC46}" srcOrd="0" destOrd="0" presId="urn:microsoft.com/office/officeart/2005/8/layout/hierarchy2"/>
    <dgm:cxn modelId="{F46F048B-7901-4690-AB61-CA3AFCBD4E18}" type="presParOf" srcId="{F852690C-E2DC-4F3D-81CD-ECC55FCF28BF}" destId="{BD6CE559-D332-4699-819C-5AE133D7A13A}" srcOrd="3" destOrd="0" presId="urn:microsoft.com/office/officeart/2005/8/layout/hierarchy2"/>
    <dgm:cxn modelId="{3661EEED-5B21-4F82-9D82-8D624C138FC8}" type="presParOf" srcId="{BD6CE559-D332-4699-819C-5AE133D7A13A}" destId="{0ED46CA5-09C5-45C9-BD4A-4FF73CBD2C3C}" srcOrd="0" destOrd="0" presId="urn:microsoft.com/office/officeart/2005/8/layout/hierarchy2"/>
    <dgm:cxn modelId="{F887CDEF-EEE5-40AE-BE3B-4649DF69A0B2}" type="presParOf" srcId="{BD6CE559-D332-4699-819C-5AE133D7A13A}" destId="{CF2F7A16-AAE5-4A2B-A3DD-942FC440B945}" srcOrd="1" destOrd="0" presId="urn:microsoft.com/office/officeart/2005/8/layout/hierarchy2"/>
    <dgm:cxn modelId="{9406F61D-7BE8-4CF4-BA50-B37EF1E3F290}" type="presParOf" srcId="{CF2F7A16-AAE5-4A2B-A3DD-942FC440B945}" destId="{30105F3B-9AC2-4E43-909B-67B5E5E3D1BB}" srcOrd="0" destOrd="0" presId="urn:microsoft.com/office/officeart/2005/8/layout/hierarchy2"/>
    <dgm:cxn modelId="{EC9E2822-3E36-45D4-AEFC-77EB3F9A4667}" type="presParOf" srcId="{30105F3B-9AC2-4E43-909B-67B5E5E3D1BB}" destId="{04DBA9EF-A065-43DA-9B8E-45B7D8031DA0}" srcOrd="0" destOrd="0" presId="urn:microsoft.com/office/officeart/2005/8/layout/hierarchy2"/>
    <dgm:cxn modelId="{8644E53D-A85F-4492-BBCC-7970F1B18B37}" type="presParOf" srcId="{CF2F7A16-AAE5-4A2B-A3DD-942FC440B945}" destId="{6629180A-5CD6-4F7B-9F8F-D577C551FF17}" srcOrd="1" destOrd="0" presId="urn:microsoft.com/office/officeart/2005/8/layout/hierarchy2"/>
    <dgm:cxn modelId="{B79D6B97-9AC3-443E-8B1E-C39A8956877E}" type="presParOf" srcId="{6629180A-5CD6-4F7B-9F8F-D577C551FF17}" destId="{0DD3AC81-61D9-4663-B367-F239B2C03C73}" srcOrd="0" destOrd="0" presId="urn:microsoft.com/office/officeart/2005/8/layout/hierarchy2"/>
    <dgm:cxn modelId="{705F4B8B-3C44-4F21-AFD6-E553030359D8}" type="presParOf" srcId="{6629180A-5CD6-4F7B-9F8F-D577C551FF17}" destId="{0FEA4778-201A-434E-91A3-3F10FC04E053}"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1CDFE2-82A9-48BE-89CA-A2CC01E36532}">
      <dsp:nvSpPr>
        <dsp:cNvPr id="0" name=""/>
        <dsp:cNvSpPr/>
      </dsp:nvSpPr>
      <dsp:spPr>
        <a:xfrm>
          <a:off x="3034" y="718740"/>
          <a:ext cx="1412114" cy="70605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المستفدين من التحليل المالي</a:t>
          </a:r>
          <a:endParaRPr lang="fr-FR" sz="1400" kern="1200">
            <a:solidFill>
              <a:sysClr val="windowText" lastClr="000000"/>
            </a:solidFill>
            <a:latin typeface="Simplified Arabic" pitchFamily="18" charset="-78"/>
            <a:ea typeface="+mn-ea"/>
            <a:cs typeface="Simplified Arabic" pitchFamily="18" charset="-78"/>
          </a:endParaRPr>
        </a:p>
      </dsp:txBody>
      <dsp:txXfrm>
        <a:off x="23714" y="739420"/>
        <a:ext cx="1370754" cy="664697"/>
      </dsp:txXfrm>
    </dsp:sp>
    <dsp:sp modelId="{65ECE304-15DB-43E2-84F9-AE094147F032}">
      <dsp:nvSpPr>
        <dsp:cNvPr id="0" name=""/>
        <dsp:cNvSpPr/>
      </dsp:nvSpPr>
      <dsp:spPr>
        <a:xfrm rot="18522202">
          <a:off x="1243411" y="691095"/>
          <a:ext cx="916638" cy="46009"/>
        </a:xfrm>
        <a:custGeom>
          <a:avLst/>
          <a:gdLst/>
          <a:ahLst/>
          <a:cxnLst/>
          <a:rect l="0" t="0" r="0" b="0"/>
          <a:pathLst>
            <a:path>
              <a:moveTo>
                <a:pt x="0" y="23004"/>
              </a:moveTo>
              <a:lnTo>
                <a:pt x="916638" y="2300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solidFill>
              <a:sysClr val="windowText" lastClr="000000">
                <a:hueOff val="0"/>
                <a:satOff val="0"/>
                <a:lumOff val="0"/>
                <a:alphaOff val="0"/>
              </a:sysClr>
            </a:solidFill>
            <a:latin typeface="Calibri"/>
            <a:ea typeface="+mn-ea"/>
            <a:cs typeface="+mn-cs"/>
          </a:endParaRPr>
        </a:p>
      </dsp:txBody>
      <dsp:txXfrm>
        <a:off x="1678814" y="691184"/>
        <a:ext cx="45831" cy="45831"/>
      </dsp:txXfrm>
    </dsp:sp>
    <dsp:sp modelId="{E03204EF-27B7-4848-B8A2-E7EA2BB7737F}">
      <dsp:nvSpPr>
        <dsp:cNvPr id="0" name=""/>
        <dsp:cNvSpPr/>
      </dsp:nvSpPr>
      <dsp:spPr>
        <a:xfrm>
          <a:off x="1988312" y="3402"/>
          <a:ext cx="1412114" cy="70605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الأطراف الداخلية</a:t>
          </a:r>
          <a:endParaRPr lang="fr-FR" sz="1400" kern="1200">
            <a:solidFill>
              <a:sysClr val="windowText" lastClr="000000"/>
            </a:solidFill>
            <a:latin typeface="Simplified Arabic" pitchFamily="18" charset="-78"/>
            <a:ea typeface="+mn-ea"/>
            <a:cs typeface="Simplified Arabic" pitchFamily="18" charset="-78"/>
          </a:endParaRPr>
        </a:p>
      </dsp:txBody>
      <dsp:txXfrm>
        <a:off x="2008992" y="24082"/>
        <a:ext cx="1370754" cy="664697"/>
      </dsp:txXfrm>
    </dsp:sp>
    <dsp:sp modelId="{6EED99A1-A471-4429-BD49-EE0E781C92C9}">
      <dsp:nvSpPr>
        <dsp:cNvPr id="0" name=""/>
        <dsp:cNvSpPr/>
      </dsp:nvSpPr>
      <dsp:spPr>
        <a:xfrm>
          <a:off x="3400426" y="333426"/>
          <a:ext cx="556528" cy="46009"/>
        </a:xfrm>
        <a:custGeom>
          <a:avLst/>
          <a:gdLst/>
          <a:ahLst/>
          <a:cxnLst/>
          <a:rect l="0" t="0" r="0" b="0"/>
          <a:pathLst>
            <a:path>
              <a:moveTo>
                <a:pt x="0" y="23004"/>
              </a:moveTo>
              <a:lnTo>
                <a:pt x="556528" y="2300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solidFill>
              <a:sysClr val="windowText" lastClr="000000">
                <a:hueOff val="0"/>
                <a:satOff val="0"/>
                <a:lumOff val="0"/>
                <a:alphaOff val="0"/>
              </a:sysClr>
            </a:solidFill>
            <a:latin typeface="Calibri"/>
            <a:ea typeface="+mn-ea"/>
            <a:cs typeface="+mn-cs"/>
          </a:endParaRPr>
        </a:p>
      </dsp:txBody>
      <dsp:txXfrm>
        <a:off x="3664777" y="342517"/>
        <a:ext cx="27826" cy="27826"/>
      </dsp:txXfrm>
    </dsp:sp>
    <dsp:sp modelId="{6E0E39FB-8AA3-45BD-8C9D-6473817F8218}">
      <dsp:nvSpPr>
        <dsp:cNvPr id="0" name=""/>
        <dsp:cNvSpPr/>
      </dsp:nvSpPr>
      <dsp:spPr>
        <a:xfrm>
          <a:off x="3956955" y="3402"/>
          <a:ext cx="2021710" cy="70605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ar-DZ" sz="800" kern="1200">
              <a:solidFill>
                <a:sysClr val="windowText" lastClr="000000"/>
              </a:solidFill>
              <a:latin typeface="Simplified Arabic" pitchFamily="18" charset="-78"/>
              <a:ea typeface="+mn-ea"/>
              <a:cs typeface="Simplified Arabic" pitchFamily="18" charset="-78"/>
            </a:rPr>
            <a:t>-</a:t>
          </a:r>
          <a:r>
            <a:rPr lang="ar-DZ" sz="1400" kern="1200">
              <a:solidFill>
                <a:sysClr val="windowText" lastClr="000000"/>
              </a:solidFill>
              <a:latin typeface="Simplified Arabic" pitchFamily="18" charset="-78"/>
              <a:ea typeface="+mn-ea"/>
              <a:cs typeface="Simplified Arabic" pitchFamily="18" charset="-78"/>
            </a:rPr>
            <a:t>إدارة المؤسسة</a:t>
          </a:r>
        </a:p>
        <a:p>
          <a:pPr lvl="0" algn="ctr" defTabSz="35560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 المالكين والمساهمين</a:t>
          </a:r>
          <a:endParaRPr lang="fr-FR" sz="1400" kern="1200">
            <a:solidFill>
              <a:sysClr val="windowText" lastClr="000000"/>
            </a:solidFill>
            <a:latin typeface="Simplified Arabic" pitchFamily="18" charset="-78"/>
            <a:ea typeface="+mn-ea"/>
            <a:cs typeface="Simplified Arabic" pitchFamily="18" charset="-78"/>
          </a:endParaRPr>
        </a:p>
      </dsp:txBody>
      <dsp:txXfrm>
        <a:off x="3977635" y="24082"/>
        <a:ext cx="1980350" cy="664697"/>
      </dsp:txXfrm>
    </dsp:sp>
    <dsp:sp modelId="{F112E955-48F4-4E02-BD2C-31A8E1B32213}">
      <dsp:nvSpPr>
        <dsp:cNvPr id="0" name=""/>
        <dsp:cNvSpPr/>
      </dsp:nvSpPr>
      <dsp:spPr>
        <a:xfrm rot="3102279">
          <a:off x="1241841" y="1406433"/>
          <a:ext cx="911460" cy="46009"/>
        </a:xfrm>
        <a:custGeom>
          <a:avLst/>
          <a:gdLst/>
          <a:ahLst/>
          <a:cxnLst/>
          <a:rect l="0" t="0" r="0" b="0"/>
          <a:pathLst>
            <a:path>
              <a:moveTo>
                <a:pt x="0" y="23004"/>
              </a:moveTo>
              <a:lnTo>
                <a:pt x="911460" y="2300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solidFill>
              <a:sysClr val="windowText" lastClr="000000">
                <a:hueOff val="0"/>
                <a:satOff val="0"/>
                <a:lumOff val="0"/>
                <a:alphaOff val="0"/>
              </a:sysClr>
            </a:solidFill>
            <a:latin typeface="Calibri"/>
            <a:ea typeface="+mn-ea"/>
            <a:cs typeface="+mn-cs"/>
          </a:endParaRPr>
        </a:p>
      </dsp:txBody>
      <dsp:txXfrm>
        <a:off x="1674785" y="1406652"/>
        <a:ext cx="45573" cy="45573"/>
      </dsp:txXfrm>
    </dsp:sp>
    <dsp:sp modelId="{0ED46CA5-09C5-45C9-BD4A-4FF73CBD2C3C}">
      <dsp:nvSpPr>
        <dsp:cNvPr id="0" name=""/>
        <dsp:cNvSpPr/>
      </dsp:nvSpPr>
      <dsp:spPr>
        <a:xfrm>
          <a:off x="1979994" y="1434079"/>
          <a:ext cx="1412114" cy="70605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الأطراف الخارجية</a:t>
          </a:r>
          <a:endParaRPr lang="fr-FR" sz="1400" kern="1200">
            <a:solidFill>
              <a:sysClr val="windowText" lastClr="000000"/>
            </a:solidFill>
            <a:latin typeface="Simplified Arabic" pitchFamily="18" charset="-78"/>
            <a:ea typeface="+mn-ea"/>
            <a:cs typeface="Simplified Arabic" pitchFamily="18" charset="-78"/>
          </a:endParaRPr>
        </a:p>
      </dsp:txBody>
      <dsp:txXfrm>
        <a:off x="2000674" y="1454759"/>
        <a:ext cx="1370754" cy="664697"/>
      </dsp:txXfrm>
    </dsp:sp>
    <dsp:sp modelId="{30105F3B-9AC2-4E43-909B-67B5E5E3D1BB}">
      <dsp:nvSpPr>
        <dsp:cNvPr id="0" name=""/>
        <dsp:cNvSpPr/>
      </dsp:nvSpPr>
      <dsp:spPr>
        <a:xfrm>
          <a:off x="3392109" y="1764103"/>
          <a:ext cx="564845" cy="46009"/>
        </a:xfrm>
        <a:custGeom>
          <a:avLst/>
          <a:gdLst/>
          <a:ahLst/>
          <a:cxnLst/>
          <a:rect l="0" t="0" r="0" b="0"/>
          <a:pathLst>
            <a:path>
              <a:moveTo>
                <a:pt x="0" y="23004"/>
              </a:moveTo>
              <a:lnTo>
                <a:pt x="564845" y="2300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solidFill>
              <a:sysClr val="windowText" lastClr="000000">
                <a:hueOff val="0"/>
                <a:satOff val="0"/>
                <a:lumOff val="0"/>
                <a:alphaOff val="0"/>
              </a:sysClr>
            </a:solidFill>
            <a:latin typeface="Calibri"/>
            <a:ea typeface="+mn-ea"/>
            <a:cs typeface="+mn-cs"/>
          </a:endParaRPr>
        </a:p>
      </dsp:txBody>
      <dsp:txXfrm>
        <a:off x="3660411" y="1772986"/>
        <a:ext cx="28242" cy="28242"/>
      </dsp:txXfrm>
    </dsp:sp>
    <dsp:sp modelId="{0DD3AC81-61D9-4663-B367-F239B2C03C73}">
      <dsp:nvSpPr>
        <dsp:cNvPr id="0" name=""/>
        <dsp:cNvSpPr/>
      </dsp:nvSpPr>
      <dsp:spPr>
        <a:xfrm>
          <a:off x="3956955" y="815368"/>
          <a:ext cx="1994075" cy="194347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ar-DZ" sz="500" kern="1200">
              <a:solidFill>
                <a:sysClr val="windowText" lastClr="000000"/>
              </a:solidFill>
              <a:latin typeface="Simplified Arabic" pitchFamily="18" charset="-78"/>
              <a:ea typeface="+mn-ea"/>
              <a:cs typeface="Simplified Arabic" pitchFamily="18" charset="-78"/>
            </a:rPr>
            <a:t>- </a:t>
          </a:r>
          <a:r>
            <a:rPr lang="ar-DZ" sz="1400" kern="1200">
              <a:solidFill>
                <a:sysClr val="windowText" lastClr="000000"/>
              </a:solidFill>
              <a:latin typeface="Simplified Arabic" pitchFamily="18" charset="-78"/>
              <a:ea typeface="+mn-ea"/>
              <a:cs typeface="Simplified Arabic" pitchFamily="18" charset="-78"/>
            </a:rPr>
            <a:t>المستثمرون والدائنون</a:t>
          </a:r>
        </a:p>
        <a:p>
          <a:pPr lvl="0" algn="ctr" defTabSz="22225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-هئية الأوراق المالية</a:t>
          </a:r>
        </a:p>
        <a:p>
          <a:pPr lvl="0" algn="ctr" defTabSz="22225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-الغرف التجارية والصناعية</a:t>
          </a:r>
        </a:p>
        <a:p>
          <a:pPr lvl="0" algn="ctr" defTabSz="22225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 الأجهزة الضريبية</a:t>
          </a:r>
        </a:p>
        <a:p>
          <a:pPr lvl="0" algn="ctr" defTabSz="222250">
            <a:lnSpc>
              <a:spcPct val="90000"/>
            </a:lnSpc>
            <a:spcBef>
              <a:spcPct val="0"/>
            </a:spcBef>
            <a:spcAft>
              <a:spcPct val="35000"/>
            </a:spcAft>
          </a:pPr>
          <a:r>
            <a:rPr lang="ar-DZ" sz="1400" kern="1200">
              <a:solidFill>
                <a:sysClr val="windowText" lastClr="000000"/>
              </a:solidFill>
              <a:latin typeface="Simplified Arabic" pitchFamily="18" charset="-78"/>
              <a:ea typeface="+mn-ea"/>
              <a:cs typeface="Simplified Arabic" pitchFamily="18" charset="-78"/>
            </a:rPr>
            <a:t>- البنوك وغيرها من المؤسسات المالية </a:t>
          </a:r>
          <a:endParaRPr lang="fr-FR" sz="1400" kern="1200">
            <a:solidFill>
              <a:sysClr val="windowText" lastClr="000000"/>
            </a:solidFill>
            <a:latin typeface="Simplified Arabic" pitchFamily="18" charset="-78"/>
            <a:ea typeface="+mn-ea"/>
            <a:cs typeface="Simplified Arabic" pitchFamily="18" charset="-78"/>
          </a:endParaRPr>
        </a:p>
      </dsp:txBody>
      <dsp:txXfrm>
        <a:off x="4013878" y="872291"/>
        <a:ext cx="1880229" cy="18296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1199</Words>
  <Characters>6595</Characters>
  <Application>Microsoft Office Word</Application>
  <DocSecurity>0</DocSecurity>
  <Lines>54</Lines>
  <Paragraphs>15</Paragraphs>
  <ScaleCrop>false</ScaleCrop>
  <Company>Microsoft</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2021-06-12T18:56:00Z</dcterms:created>
  <dcterms:modified xsi:type="dcterms:W3CDTF">2021-06-12T19:00:00Z</dcterms:modified>
</cp:coreProperties>
</file>