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36"/>
        <w:gridCol w:w="532"/>
        <w:gridCol w:w="105"/>
        <w:gridCol w:w="549"/>
        <w:gridCol w:w="2007"/>
        <w:gridCol w:w="57"/>
        <w:gridCol w:w="456"/>
        <w:gridCol w:w="159"/>
        <w:gridCol w:w="135"/>
        <w:gridCol w:w="1414"/>
        <w:gridCol w:w="487"/>
        <w:gridCol w:w="50"/>
        <w:gridCol w:w="801"/>
        <w:gridCol w:w="224"/>
        <w:gridCol w:w="1482"/>
      </w:tblGrid>
      <w:tr w:rsidR="005E22CE" w:rsidRPr="0050480E" w14:paraId="2FE63447" w14:textId="77777777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14:paraId="44CAB749" w14:textId="77777777"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14:paraId="47C39F09" w14:textId="77777777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14:paraId="2D704995" w14:textId="77777777"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</w:p>
        </w:tc>
      </w:tr>
      <w:tr w:rsidR="00C34721" w:rsidRPr="0050480E" w14:paraId="674AFF39" w14:textId="77777777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14:paraId="36B9082B" w14:textId="77777777"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14:paraId="737B22AC" w14:textId="77777777"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14:paraId="55EE2482" w14:textId="77777777"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2BFB6B2A" w14:textId="3D536136" w:rsidR="00C34721" w:rsidRPr="00FF3D20" w:rsidRDefault="004758A6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تجارية</w:t>
            </w:r>
          </w:p>
        </w:tc>
      </w:tr>
      <w:tr w:rsidR="00C34721" w:rsidRPr="0050480E" w14:paraId="54D81F3B" w14:textId="77777777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14:paraId="432E2D29" w14:textId="77777777"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14:paraId="5D87569C" w14:textId="098A7BE5" w:rsidR="00C34721" w:rsidRPr="00FF3D20" w:rsidRDefault="004758A6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مالية وتجارة دولية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14:paraId="2C127AE9" w14:textId="77777777"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C02071F" w14:textId="41754482" w:rsidR="00C34721" w:rsidRPr="00FF3D20" w:rsidRDefault="004758A6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أولى ماستر</w:t>
            </w:r>
          </w:p>
        </w:tc>
      </w:tr>
      <w:tr w:rsidR="00CB2779" w:rsidRPr="0050480E" w14:paraId="4C8F72EF" w14:textId="77777777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14:paraId="0232F4A7" w14:textId="77777777"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14:paraId="77E05274" w14:textId="0B8205F0" w:rsidR="00CB2779" w:rsidRPr="00C34721" w:rsidRDefault="004758A6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الأول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14:paraId="73C8174A" w14:textId="77777777"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5E32590F" w14:textId="5386D0CC" w:rsidR="00CB2779" w:rsidRPr="00FF3D20" w:rsidRDefault="004758A6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2024/2025</w:t>
            </w:r>
          </w:p>
        </w:tc>
      </w:tr>
      <w:tr w:rsidR="00C34721" w:rsidRPr="0050480E" w14:paraId="47226C32" w14:textId="77777777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14:paraId="3639168A" w14:textId="77777777"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14:paraId="1188F0B6" w14:textId="77777777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14:paraId="0E9D9F9F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38" w:type="dxa"/>
            <w:gridSpan w:val="3"/>
            <w:shd w:val="clear" w:color="auto" w:fill="auto"/>
          </w:tcPr>
          <w:p w14:paraId="500147FD" w14:textId="62A60A94" w:rsidR="00C34721" w:rsidRPr="00E82A76" w:rsidRDefault="004758A6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الاقتصاد الدولي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14:paraId="5C339BB6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515" w:type="dxa"/>
            <w:gridSpan w:val="3"/>
            <w:shd w:val="clear" w:color="auto" w:fill="auto"/>
          </w:tcPr>
          <w:p w14:paraId="42E9770C" w14:textId="77777777"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14:paraId="2CCFFEDB" w14:textId="77777777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14:paraId="4D87386E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38" w:type="dxa"/>
            <w:gridSpan w:val="3"/>
            <w:shd w:val="clear" w:color="auto" w:fill="auto"/>
          </w:tcPr>
          <w:p w14:paraId="578CA448" w14:textId="2E81391D" w:rsidR="00C34721" w:rsidRPr="0050480E" w:rsidRDefault="004758A6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05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14:paraId="49875392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515" w:type="dxa"/>
            <w:gridSpan w:val="3"/>
            <w:shd w:val="clear" w:color="auto" w:fill="auto"/>
          </w:tcPr>
          <w:p w14:paraId="679DD3B7" w14:textId="6CE9FB38" w:rsidR="00C34721" w:rsidRPr="0050480E" w:rsidRDefault="004758A6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</w:tr>
      <w:tr w:rsidR="009D771D" w:rsidRPr="0050480E" w14:paraId="595DC9C4" w14:textId="77777777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14:paraId="4270D633" w14:textId="77777777"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38" w:type="dxa"/>
            <w:gridSpan w:val="3"/>
            <w:shd w:val="clear" w:color="auto" w:fill="auto"/>
          </w:tcPr>
          <w:p w14:paraId="7DD636AB" w14:textId="75ED8828" w:rsidR="009D771D" w:rsidRPr="0050480E" w:rsidRDefault="004758A6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03 ساعات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14:paraId="1DFC3DA7" w14:textId="77777777"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14:paraId="70D5E923" w14:textId="307694B2" w:rsidR="009D771D" w:rsidRPr="0050480E" w:rsidRDefault="004758A6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1.30 ساعة</w:t>
            </w:r>
          </w:p>
        </w:tc>
      </w:tr>
      <w:tr w:rsidR="00C34721" w:rsidRPr="0050480E" w14:paraId="57C7D5BC" w14:textId="77777777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14:paraId="7E124D53" w14:textId="77777777"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38" w:type="dxa"/>
            <w:gridSpan w:val="3"/>
            <w:shd w:val="clear" w:color="auto" w:fill="auto"/>
          </w:tcPr>
          <w:p w14:paraId="1F2D634A" w14:textId="4503C5C3"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14:paraId="2B46C45B" w14:textId="77777777"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14:paraId="54E7B2EB" w14:textId="74BE565B" w:rsidR="00C34721" w:rsidRPr="0050480E" w:rsidRDefault="004758A6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1.30 ساعة</w:t>
            </w:r>
          </w:p>
        </w:tc>
      </w:tr>
      <w:tr w:rsidR="00C34721" w:rsidRPr="0050480E" w14:paraId="6F85D590" w14:textId="77777777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14:paraId="285F6A82" w14:textId="77777777"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14:paraId="31A45BE9" w14:textId="77777777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14:paraId="7C5EFB6E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38" w:type="dxa"/>
            <w:gridSpan w:val="3"/>
            <w:shd w:val="clear" w:color="auto" w:fill="auto"/>
          </w:tcPr>
          <w:p w14:paraId="62E0B08E" w14:textId="7B215DE6" w:rsidR="00C34721" w:rsidRPr="0050480E" w:rsidRDefault="004758A6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نجوى بن عويدة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14:paraId="60E232B1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15" w:type="dxa"/>
            <w:gridSpan w:val="3"/>
            <w:shd w:val="clear" w:color="auto" w:fill="auto"/>
          </w:tcPr>
          <w:p w14:paraId="60BF9AD9" w14:textId="64FF8975" w:rsidR="00C34721" w:rsidRPr="0050480E" w:rsidRDefault="004758A6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مساعد</w:t>
            </w:r>
          </w:p>
        </w:tc>
      </w:tr>
      <w:tr w:rsidR="00C34721" w:rsidRPr="0050480E" w14:paraId="6A8C2834" w14:textId="77777777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14:paraId="0966D4C3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38" w:type="dxa"/>
            <w:gridSpan w:val="3"/>
            <w:shd w:val="clear" w:color="auto" w:fill="auto"/>
          </w:tcPr>
          <w:p w14:paraId="48FCEB85" w14:textId="1813B36A" w:rsidR="00C34721" w:rsidRPr="0050480E" w:rsidRDefault="004758A6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22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14:paraId="29E42D60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515" w:type="dxa"/>
            <w:gridSpan w:val="3"/>
            <w:shd w:val="clear" w:color="auto" w:fill="auto"/>
          </w:tcPr>
          <w:p w14:paraId="31AD9078" w14:textId="56786AF4" w:rsidR="00C34721" w:rsidRPr="0050480E" w:rsidRDefault="004758A6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hyperlink r:id="rId7" w:history="1">
              <w:r w:rsidRPr="000713E0">
                <w:rPr>
                  <w:rStyle w:val="Lienhypertexte"/>
                  <w:rFonts w:ascii="Roboto" w:hAnsi="Roboto"/>
                  <w:sz w:val="21"/>
                  <w:szCs w:val="21"/>
                  <w:shd w:val="clear" w:color="auto" w:fill="E9EEF6"/>
                </w:rPr>
                <w:t>benaouida.n@centre-univ-mila.dz</w:t>
              </w:r>
            </w:hyperlink>
            <w:r>
              <w:rPr>
                <w:rFonts w:ascii="Roboto" w:hAnsi="Roboto" w:hint="cs"/>
                <w:color w:val="1F1F1F"/>
                <w:sz w:val="21"/>
                <w:szCs w:val="21"/>
                <w:shd w:val="clear" w:color="auto" w:fill="E9EEF6"/>
                <w:rtl/>
              </w:rPr>
              <w:t xml:space="preserve"> </w:t>
            </w:r>
          </w:p>
        </w:tc>
      </w:tr>
      <w:tr w:rsidR="00C34721" w:rsidRPr="0050480E" w14:paraId="03D4AC41" w14:textId="77777777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14:paraId="1DEF4037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38" w:type="dxa"/>
            <w:gridSpan w:val="3"/>
            <w:shd w:val="clear" w:color="auto" w:fill="auto"/>
          </w:tcPr>
          <w:p w14:paraId="7E7F31FA" w14:textId="5BF2A5FC" w:rsidR="00C34721" w:rsidRPr="0050480E" w:rsidRDefault="004758A6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14:paraId="70AD4645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515" w:type="dxa"/>
            <w:gridSpan w:val="3"/>
            <w:shd w:val="clear" w:color="auto" w:fill="auto"/>
          </w:tcPr>
          <w:p w14:paraId="426DA80C" w14:textId="6E01D0E4" w:rsidR="00C34721" w:rsidRPr="0050480E" w:rsidRDefault="004758A6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من 8.00 الى 11.00 القاعة 21 الشطر الثالث</w:t>
            </w:r>
          </w:p>
        </w:tc>
      </w:tr>
      <w:tr w:rsidR="00C34721" w:rsidRPr="0050480E" w14:paraId="205338C3" w14:textId="77777777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14:paraId="10E0EF91" w14:textId="77777777"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14:paraId="7D84F735" w14:textId="77777777" w:rsidTr="00A5569E">
        <w:trPr>
          <w:trHeight w:val="148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3B55553" w14:textId="77777777"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E972BBD" w14:textId="77777777"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14:paraId="1875E2A8" w14:textId="31013F0E" w:rsidR="00D84EAE" w:rsidRPr="00FF1847" w:rsidRDefault="002522C9" w:rsidP="007B4CA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التحكم في مفاهيم الاقتصاد والتجارة الدوليين</w:t>
            </w:r>
          </w:p>
        </w:tc>
      </w:tr>
      <w:tr w:rsidR="00D84EAE" w:rsidRPr="0050480E" w14:paraId="72E27CA3" w14:textId="77777777" w:rsidTr="00A5569E">
        <w:trPr>
          <w:trHeight w:val="20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10CA496" w14:textId="77777777"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D1303E9" w14:textId="77777777"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D89A709" w14:textId="77777777"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14:paraId="14D9D040" w14:textId="77777777"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316E1C6" w14:textId="77777777"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14:paraId="1FE01716" w14:textId="16A268F7" w:rsidR="00D84EAE" w:rsidRPr="00FF1847" w:rsidRDefault="004758A6" w:rsidP="007A422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hint="cs"/>
                <w:rtl/>
              </w:rPr>
              <w:t>تدعيم وترقية قدرات الطالب في مجال التمويل والاقتصاد الدوليين للدخول في دورات تكوينية</w:t>
            </w:r>
            <w:r w:rsidR="005176B9">
              <w:rPr>
                <w:rFonts w:hint="cs"/>
                <w:rtl/>
              </w:rPr>
              <w:t xml:space="preserve"> متخصصة تمكنه من ممارسة مهنة حرة بصفة وكيل عبور أو اطار في مجال الجمارك أو على مستوى مؤسسات الاستيراد والتصدير أو على مستوى البنوك</w:t>
            </w:r>
          </w:p>
        </w:tc>
      </w:tr>
      <w:tr w:rsidR="00D84EAE" w:rsidRPr="0050480E" w14:paraId="75937222" w14:textId="77777777" w:rsidTr="00A5569E">
        <w:trPr>
          <w:trHeight w:val="14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D45B4B" w14:textId="77777777"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6EBF439B" w14:textId="77777777"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14:paraId="3A9178C9" w14:textId="77777777"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14:paraId="79D38B03" w14:textId="45944964" w:rsidR="005F1E9A" w:rsidRDefault="00D84EAE" w:rsidP="005F1E9A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5176B9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-تمكين الطالب من التحكم في تقنيات وعمليات التجارة الدولية بمختلف فروعها</w:t>
            </w:r>
          </w:p>
          <w:p w14:paraId="25D3AE7D" w14:textId="1240812F" w:rsidR="005176B9" w:rsidRDefault="005176B9" w:rsidP="005176B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-التحكم في تقنيات الجمركة والتمويل</w:t>
            </w:r>
          </w:p>
          <w:p w14:paraId="15B9FB7D" w14:textId="570021BE" w:rsidR="005176B9" w:rsidRPr="002522C9" w:rsidRDefault="005176B9" w:rsidP="005176B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2522C9">
              <w:rPr>
                <w:rFonts w:ascii="Sakkal Majalla" w:hAnsi="Sakkal Majalla" w:cs="Sakkal Majalla" w:hint="cs"/>
                <w:sz w:val="30"/>
                <w:szCs w:val="30"/>
                <w:rtl/>
              </w:rPr>
              <w:t>-الاستجابة للاحتياجات الحقيقة المتزايدة</w:t>
            </w:r>
            <w:r w:rsidR="002522C9" w:rsidRPr="002522C9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الأهمية بالنسبة للمعارف والمعلومات الأساسية في مجال التجارة الدولية</w:t>
            </w:r>
          </w:p>
          <w:p w14:paraId="25BBF5F4" w14:textId="3DF53264" w:rsidR="002522C9" w:rsidRPr="002522C9" w:rsidRDefault="002522C9" w:rsidP="002522C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2522C9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 xml:space="preserve">-تنمية وتطوير قدرات الطالب على الملاحظة والتشخيص والاستشارة </w:t>
            </w:r>
          </w:p>
          <w:p w14:paraId="0F1D4666" w14:textId="2503453C" w:rsidR="002522C9" w:rsidRPr="002522C9" w:rsidRDefault="002522C9" w:rsidP="002522C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</w:rPr>
            </w:pPr>
            <w:r w:rsidRPr="002522C9">
              <w:rPr>
                <w:rFonts w:ascii="Sakkal Majalla" w:hAnsi="Sakkal Majalla" w:cs="Sakkal Majalla" w:hint="cs"/>
                <w:sz w:val="30"/>
                <w:szCs w:val="30"/>
                <w:rtl/>
              </w:rPr>
              <w:t>-الاستجابة لمتطلبات المحيط الاقتصادي والاجتماعي في مجال التجارة والاقتصاد الدولي لكونه يواجه منافسة اجنبية قوية في ظل نظام العولمة</w:t>
            </w:r>
          </w:p>
          <w:p w14:paraId="4388E3AE" w14:textId="77777777" w:rsidR="00D84EAE" w:rsidRPr="00C754E5" w:rsidRDefault="00D84EAE" w:rsidP="007A4220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14:paraId="59D477AD" w14:textId="77777777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14:paraId="348E8015" w14:textId="77777777"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D84EAE" w:rsidRPr="0050480E" w14:paraId="73D0E3DA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46FFFDB7" w14:textId="77777777"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14:paraId="65B53576" w14:textId="77777777" w:rsidR="00D84EAE" w:rsidRPr="0058217A" w:rsidRDefault="00D84EAE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D84EAE" w:rsidRPr="0050480E" w14:paraId="7211CAC5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2FC2294B" w14:textId="77777777"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14:paraId="46B6E8E7" w14:textId="77777777" w:rsidR="00D84EAE" w:rsidRPr="0058217A" w:rsidRDefault="00D84EAE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84EAE" w:rsidRPr="0050480E" w14:paraId="78107810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2F9CD424" w14:textId="77777777"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14:paraId="2E832433" w14:textId="77777777" w:rsidR="00D84EAE" w:rsidRPr="0058217A" w:rsidRDefault="00D84EAE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D84EAE" w:rsidRPr="0050480E" w14:paraId="26B47023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2ADAFF37" w14:textId="77777777"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14:paraId="2E7DAF22" w14:textId="77777777" w:rsidR="00D84EAE" w:rsidRPr="0058217A" w:rsidRDefault="00D84EAE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D84EAE" w:rsidRPr="0050480E" w14:paraId="14611495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733EBECF" w14:textId="77777777"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14:paraId="492B1212" w14:textId="77777777" w:rsidR="00D84EAE" w:rsidRPr="0058217A" w:rsidRDefault="00D84EAE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14:paraId="4459EEB4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6B5F5C03" w14:textId="77777777"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14:paraId="4459CEA8" w14:textId="77777777"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14:paraId="713C5436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492749E7" w14:textId="77777777"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14:paraId="034B0CF2" w14:textId="77777777"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14:paraId="40A6E715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32779395" w14:textId="77777777"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14:paraId="30657E31" w14:textId="77777777"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14:paraId="7E32F4FD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5DFBDCD4" w14:textId="77777777"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14:paraId="2253A6CE" w14:textId="77777777"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14:paraId="3CA654DE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03ED8B0B" w14:textId="77777777"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14:paraId="4AFBE5A9" w14:textId="77777777"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34721" w:rsidRPr="0050480E" w14:paraId="6A6921A6" w14:textId="77777777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14:paraId="5412A5A2" w14:textId="77777777"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14:paraId="70AD28CC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5E3CC96D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403" w:type="dxa"/>
            <w:gridSpan w:val="7"/>
            <w:shd w:val="clear" w:color="auto" w:fill="auto"/>
          </w:tcPr>
          <w:p w14:paraId="5D08388E" w14:textId="77777777"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491" w:type="dxa"/>
            <w:gridSpan w:val="6"/>
            <w:shd w:val="clear" w:color="auto" w:fill="auto"/>
          </w:tcPr>
          <w:p w14:paraId="1F6E9740" w14:textId="77777777"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14:paraId="69F8751C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3E02FCF1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403" w:type="dxa"/>
            <w:gridSpan w:val="7"/>
            <w:shd w:val="clear" w:color="auto" w:fill="auto"/>
          </w:tcPr>
          <w:p w14:paraId="13AE7382" w14:textId="77777777"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24" w:type="dxa"/>
            <w:shd w:val="clear" w:color="auto" w:fill="auto"/>
          </w:tcPr>
          <w:p w14:paraId="2692006B" w14:textId="77777777"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14:paraId="4A26D992" w14:textId="77777777"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4F758191" w14:textId="77777777"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14:paraId="0BCB391B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7BB1A06A" w14:textId="77777777"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3FC44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19CFC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2A80590C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18E4F19C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2215B5C1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358" w:type="dxa"/>
            <w:gridSpan w:val="3"/>
            <w:vMerge w:val="restart"/>
            <w:shd w:val="clear" w:color="auto" w:fill="auto"/>
            <w:vAlign w:val="center"/>
          </w:tcPr>
          <w:p w14:paraId="35EA7CEA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7FC6E1A3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14:paraId="4F46D26A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0E5A8346" w14:textId="77777777"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ACC54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392D7953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20943195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14:paraId="703EDF18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37017DE0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14:paraId="21318056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6B0316C1" w14:textId="77777777"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CD9AE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6687D3E2" w14:textId="77777777"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03D85FB2" w14:textId="77777777"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14:paraId="1EDBD3EF" w14:textId="77777777"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725E2800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14:paraId="6B4DE70B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0315324C" w14:textId="77777777"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732EC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63A9731B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76B1CED0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14:paraId="1E57F302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2F124781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E6434" w:rsidRPr="0050480E" w14:paraId="2B8B464D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26A58044" w14:textId="77777777"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68081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63EC997F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06C985AA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14:paraId="7C198D24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7B489BBB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14:paraId="0518F7A9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1914CB12" w14:textId="77777777"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F35E0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3B829F07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1D1BA26B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14:paraId="4832924D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57236CFD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14:paraId="714C7488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29E1C864" w14:textId="77777777"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16E6E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5E866473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64C87E98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14:paraId="7AAD7FDB" w14:textId="77777777"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6D0EF150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14:paraId="059BA059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1D1F89F5" w14:textId="77777777"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C3BEB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30937DE3" w14:textId="77777777"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25514D4D" w14:textId="77777777"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14:paraId="3B0F42AA" w14:textId="77777777"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537D365E" w14:textId="77777777"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14:paraId="4DC0D498" w14:textId="77777777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14:paraId="3E6334E6" w14:textId="77777777"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C34721" w:rsidRPr="00A91ADB" w14:paraId="188222BB" w14:textId="77777777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14:paraId="7EF128BA" w14:textId="77777777"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14:paraId="04B46B39" w14:textId="77777777"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14:paraId="2D50B486" w14:textId="77777777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14:paraId="537B1C2D" w14:textId="77777777"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14:paraId="34F4C5B0" w14:textId="77777777"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14:paraId="0C2A4C61" w14:textId="77777777"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14:paraId="54A60F92" w14:textId="77777777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14:paraId="79A89D43" w14:textId="77777777"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14:paraId="5FCE578C" w14:textId="77777777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14:paraId="01B0342D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المرجع الأساسي الموصى به :</w:t>
            </w:r>
          </w:p>
        </w:tc>
      </w:tr>
      <w:tr w:rsidR="00C34721" w:rsidRPr="0050480E" w14:paraId="1F149B08" w14:textId="77777777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0A016E5B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403" w:type="dxa"/>
            <w:gridSpan w:val="7"/>
            <w:shd w:val="clear" w:color="auto" w:fill="auto"/>
          </w:tcPr>
          <w:p w14:paraId="73F35107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491" w:type="dxa"/>
            <w:gridSpan w:val="6"/>
            <w:shd w:val="clear" w:color="auto" w:fill="auto"/>
          </w:tcPr>
          <w:p w14:paraId="58786DAE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14:paraId="02136981" w14:textId="77777777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8C4E2E" w14:textId="77777777" w:rsidR="00C754E5" w:rsidRPr="00F878F4" w:rsidRDefault="00C754E5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</w:p>
        </w:tc>
        <w:tc>
          <w:tcPr>
            <w:tcW w:w="34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5A03777" w14:textId="77777777"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7CBAB4" w14:textId="77777777" w:rsidR="00C754E5" w:rsidRPr="00F878F4" w:rsidRDefault="00C754E5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54E5" w:rsidRPr="0050480E" w14:paraId="6A071D31" w14:textId="77777777" w:rsidTr="00FF1847">
        <w:trPr>
          <w:trHeight w:val="237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332BC" w14:textId="77777777"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E2AF9" w14:textId="77777777"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3404F" w14:textId="77777777"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754E5" w:rsidRPr="0050480E" w14:paraId="32C7ED7D" w14:textId="77777777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F7E2CE" w14:textId="77777777"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4B1EF" w14:textId="77777777"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AE109" w14:textId="77777777" w:rsidR="00C754E5" w:rsidRPr="00F878F4" w:rsidRDefault="00C754E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34721" w:rsidRPr="0050480E" w14:paraId="6E5844AF" w14:textId="77777777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14:paraId="3AEE985F" w14:textId="77777777"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C34721" w:rsidRPr="0050480E" w14:paraId="01972F9A" w14:textId="77777777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14:paraId="4B4FD50D" w14:textId="77777777" w:rsidR="005F1E9A" w:rsidRPr="005F1E9A" w:rsidRDefault="005F1E9A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50AD27B7" w14:textId="77777777"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14:paraId="1DD98913" w14:textId="77777777"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14:paraId="3D6C5F77" w14:textId="77777777" w:rsidR="00C34721" w:rsidRPr="007B4CA9" w:rsidRDefault="00C34721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14:paraId="33DC809E" w14:textId="77777777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14:paraId="2009D27B" w14:textId="77777777"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14:paraId="6434DE11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</w:tcPr>
          <w:p w14:paraId="2D3EFAC3" w14:textId="77777777"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6426E65D" w14:textId="77777777"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485" w:type="dxa"/>
            <w:shd w:val="clear" w:color="auto" w:fill="auto"/>
          </w:tcPr>
          <w:p w14:paraId="436065F9" w14:textId="77777777"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14:paraId="58760C65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5B381F7F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131D2581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14:paraId="60347B96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032A05BF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43C675E7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2FA5F862" w14:textId="77777777" w:rsidR="00C754E5" w:rsidRPr="004513B5" w:rsidRDefault="00C754E5" w:rsidP="005D560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14:paraId="0D369CCC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1DFD8A97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7E2B165F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56063E3D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14:paraId="488E8127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2B0E3A90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22BA7908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66C1E7E5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14:paraId="37EA1AAD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13746E9D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5BE96660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24095654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14:paraId="1541AC1C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68191BCC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74C4389A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26BC554C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14:paraId="22210713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70EA0EA8" w14:textId="77777777" w:rsidTr="00FF1847">
        <w:trPr>
          <w:trHeight w:val="445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264C4E48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5863EC95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14:paraId="0C77F476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7CF4B063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5E414149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087269E9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14:paraId="2855C1B3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2B143944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521FC74A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282D4F81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14:paraId="6D4FD7BC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3C93A64B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41E5A3D2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21CA7905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14:paraId="6F918476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3A557BBE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075F55CE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6F6B690B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14:paraId="06A9C775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2C1B2D23" w14:textId="77777777" w:rsidTr="00FF1847">
        <w:trPr>
          <w:trHeight w:val="962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7C78F040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46A5CB59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14:paraId="6176F829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1BF30D84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299F754D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6563DFCA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14:paraId="438D39E6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261F1636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565A3614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5DD96EC9" w14:textId="77777777"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shd w:val="clear" w:color="auto" w:fill="auto"/>
          </w:tcPr>
          <w:p w14:paraId="797C06D5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14:paraId="1475E925" w14:textId="77777777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14:paraId="11A3E0C6" w14:textId="77777777"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14:paraId="56F2C686" w14:textId="77777777" w:rsidR="00C754E5" w:rsidRPr="004513B5" w:rsidRDefault="00C754E5" w:rsidP="007E03C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14:paraId="3AB6DE2B" w14:textId="77777777"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14:paraId="62C78813" w14:textId="77777777" w:rsidTr="00FF1847">
        <w:trPr>
          <w:trHeight w:val="352"/>
          <w:jc w:val="center"/>
        </w:trPr>
        <w:tc>
          <w:tcPr>
            <w:tcW w:w="2508" w:type="dxa"/>
            <w:gridSpan w:val="3"/>
            <w:vMerge w:val="restart"/>
            <w:shd w:val="clear" w:color="auto" w:fill="auto"/>
            <w:vAlign w:val="center"/>
          </w:tcPr>
          <w:p w14:paraId="0A7DFBE6" w14:textId="77777777"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14:paraId="1E3556A9" w14:textId="77777777"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485" w:type="dxa"/>
            <w:shd w:val="clear" w:color="auto" w:fill="auto"/>
          </w:tcPr>
          <w:p w14:paraId="7F4A5C65" w14:textId="77777777"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14:paraId="7BB18C13" w14:textId="77777777" w:rsidTr="00FF1847">
        <w:trPr>
          <w:trHeight w:val="371"/>
          <w:jc w:val="center"/>
        </w:trPr>
        <w:tc>
          <w:tcPr>
            <w:tcW w:w="2508" w:type="dxa"/>
            <w:gridSpan w:val="3"/>
            <w:vMerge/>
            <w:shd w:val="clear" w:color="auto" w:fill="auto"/>
            <w:vAlign w:val="center"/>
          </w:tcPr>
          <w:p w14:paraId="1BBC24A2" w14:textId="77777777"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14:paraId="1BD62BA0" w14:textId="77777777"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485" w:type="dxa"/>
            <w:shd w:val="clear" w:color="auto" w:fill="auto"/>
          </w:tcPr>
          <w:p w14:paraId="02546BA0" w14:textId="77777777"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14:paraId="6E02D58E" w14:textId="77777777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14:paraId="6557A286" w14:textId="77777777"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14:paraId="2666431D" w14:textId="77777777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14:paraId="7DC7917B" w14:textId="77777777"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14:paraId="6C252746" w14:textId="77777777" w:rsidR="005F1E9A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14:paraId="6860918D" w14:textId="77777777" w:rsidR="00DA5155" w:rsidRPr="005F1E9A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14:paraId="5BBCC86E" w14:textId="77777777" w:rsidR="00DA5155" w:rsidRPr="004517BB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14:paraId="7462079D" w14:textId="77777777"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14:paraId="6FCB0233" w14:textId="77777777"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14:paraId="5A205B95" w14:textId="77777777"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14:paraId="1EB36EA1" w14:textId="77777777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C297D29" w14:textId="77777777"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C754E5" w:rsidRPr="0050480E" w14:paraId="4C291972" w14:textId="77777777" w:rsidTr="00A5569E">
        <w:trPr>
          <w:trHeight w:val="705"/>
          <w:jc w:val="center"/>
        </w:trPr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A7DD12" w14:textId="77777777"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8D96D" w14:textId="77777777"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9F4EE" w14:textId="77777777"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D60921" w14:textId="77777777"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14:paraId="680526BB" w14:textId="77777777" w:rsidTr="00A5569E">
        <w:trPr>
          <w:trHeight w:val="1817"/>
          <w:jc w:val="center"/>
        </w:trPr>
        <w:tc>
          <w:tcPr>
            <w:tcW w:w="3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1F7D0" w14:textId="77777777"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2F4CD8C1" w14:textId="77777777"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3224370F" w14:textId="77777777"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32611736" w14:textId="77777777" w:rsidR="00C754E5" w:rsidRPr="0050480E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51C44783" w14:textId="77777777"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83EB5" w14:textId="77777777"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AA8F4" w14:textId="77777777"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7493" w14:textId="77777777"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14:paraId="62DF156B" w14:textId="77777777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28ABD38A" w14:textId="77777777" w:rsidR="00C754E5" w:rsidRPr="005C7BB6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14:paraId="2345A43B" w14:textId="77777777" w:rsidR="005B0C3F" w:rsidRPr="005E22CE" w:rsidRDefault="005B0C3F" w:rsidP="00A91ADB"/>
    <w:sectPr w:rsidR="005B0C3F" w:rsidRPr="005E22CE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A86A" w14:textId="77777777" w:rsidR="00B36F1B" w:rsidRDefault="00B36F1B" w:rsidP="00343D69">
      <w:pPr>
        <w:spacing w:after="0" w:line="240" w:lineRule="auto"/>
      </w:pPr>
      <w:r>
        <w:separator/>
      </w:r>
    </w:p>
  </w:endnote>
  <w:endnote w:type="continuationSeparator" w:id="0">
    <w:p w14:paraId="0C7C0E7D" w14:textId="77777777" w:rsidR="00B36F1B" w:rsidRDefault="00B36F1B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8BDF" w14:textId="77777777" w:rsidR="00343D69" w:rsidRDefault="00343D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A5E" w14:textId="77777777"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B75E23">
      <w:fldChar w:fldCharType="begin"/>
    </w:r>
    <w:r w:rsidR="00B75E23">
      <w:instrText xml:space="preserve"> PAGE   \* MERGEFORMAT </w:instrText>
    </w:r>
    <w:r w:rsidR="00B75E23">
      <w:fldChar w:fldCharType="separate"/>
    </w:r>
    <w:r w:rsidR="005B7D4E" w:rsidRPr="005B7D4E">
      <w:rPr>
        <w:rFonts w:asciiTheme="majorHAnsi" w:hAnsiTheme="majorHAnsi"/>
        <w:noProof/>
      </w:rPr>
      <w:t>4</w:t>
    </w:r>
    <w:r w:rsidR="00B75E23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A3D9" w14:textId="77777777" w:rsidR="00343D69" w:rsidRDefault="00343D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A903" w14:textId="77777777" w:rsidR="00B36F1B" w:rsidRDefault="00B36F1B" w:rsidP="00343D69">
      <w:pPr>
        <w:spacing w:after="0" w:line="240" w:lineRule="auto"/>
      </w:pPr>
      <w:r>
        <w:separator/>
      </w:r>
    </w:p>
  </w:footnote>
  <w:footnote w:type="continuationSeparator" w:id="0">
    <w:p w14:paraId="45CB6FEE" w14:textId="77777777" w:rsidR="00B36F1B" w:rsidRDefault="00B36F1B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33AB" w14:textId="77777777" w:rsidR="00343D69" w:rsidRDefault="00343D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1AC1" w14:textId="77777777" w:rsidR="00343D69" w:rsidRDefault="00343D6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DB95" w14:textId="77777777" w:rsidR="00343D69" w:rsidRDefault="00343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59733">
    <w:abstractNumId w:val="1"/>
  </w:num>
  <w:num w:numId="2" w16cid:durableId="800685618">
    <w:abstractNumId w:val="3"/>
  </w:num>
  <w:num w:numId="3" w16cid:durableId="1574044237">
    <w:abstractNumId w:val="5"/>
  </w:num>
  <w:num w:numId="4" w16cid:durableId="1626933349">
    <w:abstractNumId w:val="7"/>
  </w:num>
  <w:num w:numId="5" w16cid:durableId="1994213583">
    <w:abstractNumId w:val="0"/>
  </w:num>
  <w:num w:numId="6" w16cid:durableId="2050259382">
    <w:abstractNumId w:val="2"/>
  </w:num>
  <w:num w:numId="7" w16cid:durableId="1735930634">
    <w:abstractNumId w:val="4"/>
  </w:num>
  <w:num w:numId="8" w16cid:durableId="171746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B9"/>
    <w:rsid w:val="00021A1E"/>
    <w:rsid w:val="00026CB3"/>
    <w:rsid w:val="00042834"/>
    <w:rsid w:val="0005403E"/>
    <w:rsid w:val="00080104"/>
    <w:rsid w:val="000A2CC2"/>
    <w:rsid w:val="000D7CD0"/>
    <w:rsid w:val="000F2B30"/>
    <w:rsid w:val="00146791"/>
    <w:rsid w:val="001C12EC"/>
    <w:rsid w:val="002231DE"/>
    <w:rsid w:val="00247AA8"/>
    <w:rsid w:val="002522C9"/>
    <w:rsid w:val="0028233F"/>
    <w:rsid w:val="002D32A2"/>
    <w:rsid w:val="002D7413"/>
    <w:rsid w:val="00310431"/>
    <w:rsid w:val="00343D69"/>
    <w:rsid w:val="003636DE"/>
    <w:rsid w:val="00366219"/>
    <w:rsid w:val="00376FE9"/>
    <w:rsid w:val="004758A6"/>
    <w:rsid w:val="00500AC1"/>
    <w:rsid w:val="005176B9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728C4"/>
    <w:rsid w:val="006857D1"/>
    <w:rsid w:val="006A5D08"/>
    <w:rsid w:val="00724099"/>
    <w:rsid w:val="007B4CA9"/>
    <w:rsid w:val="007E03C8"/>
    <w:rsid w:val="008D0B93"/>
    <w:rsid w:val="008E08A8"/>
    <w:rsid w:val="008E7CD5"/>
    <w:rsid w:val="009258DC"/>
    <w:rsid w:val="0094783E"/>
    <w:rsid w:val="00981212"/>
    <w:rsid w:val="009D771D"/>
    <w:rsid w:val="009F7D79"/>
    <w:rsid w:val="00A17998"/>
    <w:rsid w:val="00A5569E"/>
    <w:rsid w:val="00A661FA"/>
    <w:rsid w:val="00A91ADB"/>
    <w:rsid w:val="00AE6434"/>
    <w:rsid w:val="00B36F1B"/>
    <w:rsid w:val="00B432F3"/>
    <w:rsid w:val="00B52784"/>
    <w:rsid w:val="00B75E23"/>
    <w:rsid w:val="00BB1046"/>
    <w:rsid w:val="00C25017"/>
    <w:rsid w:val="00C34721"/>
    <w:rsid w:val="00C5263C"/>
    <w:rsid w:val="00C54D69"/>
    <w:rsid w:val="00C730A7"/>
    <w:rsid w:val="00C754E5"/>
    <w:rsid w:val="00C95252"/>
    <w:rsid w:val="00CB2779"/>
    <w:rsid w:val="00D57B68"/>
    <w:rsid w:val="00D84EAE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F137"/>
  <w15:docId w15:val="{4411A657-D0B5-4C79-804B-717F30D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758A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5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naouida.n@centre-univ-mila.d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nedjwanedjwa1988@gmail.com</cp:lastModifiedBy>
  <cp:revision>4</cp:revision>
  <cp:lastPrinted>2023-02-27T21:31:00Z</cp:lastPrinted>
  <dcterms:created xsi:type="dcterms:W3CDTF">2023-12-03T17:38:00Z</dcterms:created>
  <dcterms:modified xsi:type="dcterms:W3CDTF">2024-11-28T20:55:00Z</dcterms:modified>
</cp:coreProperties>
</file>