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41" w:rsidRDefault="0076215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62158">
        <w:rPr>
          <w:rFonts w:asciiTheme="majorBidi" w:hAnsiTheme="majorBidi" w:cstheme="majorBidi"/>
          <w:b/>
          <w:bCs/>
          <w:sz w:val="32"/>
          <w:szCs w:val="32"/>
        </w:rPr>
        <w:t xml:space="preserve">Récepteurs à activité </w:t>
      </w:r>
      <w:proofErr w:type="spellStart"/>
      <w:r w:rsidRPr="00762158">
        <w:rPr>
          <w:rFonts w:asciiTheme="majorBidi" w:hAnsiTheme="majorBidi" w:cstheme="majorBidi"/>
          <w:b/>
          <w:bCs/>
          <w:sz w:val="32"/>
          <w:szCs w:val="32"/>
        </w:rPr>
        <w:t>guanylate</w:t>
      </w:r>
      <w:proofErr w:type="spellEnd"/>
      <w:r w:rsidRPr="0076215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762158">
        <w:rPr>
          <w:rFonts w:asciiTheme="majorBidi" w:hAnsiTheme="majorBidi" w:cstheme="majorBidi"/>
          <w:b/>
          <w:bCs/>
          <w:sz w:val="32"/>
          <w:szCs w:val="32"/>
        </w:rPr>
        <w:t>cyclase</w:t>
      </w:r>
      <w:proofErr w:type="spellEnd"/>
    </w:p>
    <w:p w:rsidR="00F80E3C" w:rsidRPr="00F80E3C" w:rsidRDefault="00F80E3C" w:rsidP="00F80E3C">
      <w:pPr>
        <w:autoSpaceDE w:val="0"/>
        <w:autoSpaceDN w:val="0"/>
        <w:adjustRightInd w:val="0"/>
        <w:spacing w:after="0" w:line="360" w:lineRule="auto"/>
        <w:rPr>
          <w:rFonts w:asciiTheme="majorBidi" w:eastAsia="TimesNewRomanPSMT" w:hAnsiTheme="majorBidi" w:cstheme="majorBidi"/>
          <w:sz w:val="28"/>
          <w:szCs w:val="28"/>
        </w:rPr>
      </w:pPr>
      <w:r w:rsidRPr="00407B63">
        <w:rPr>
          <w:rFonts w:asciiTheme="majorBidi" w:eastAsia="TimesNewRomanPSMT" w:hAnsiTheme="majorBidi" w:cstheme="majorBidi"/>
          <w:sz w:val="28"/>
          <w:szCs w:val="28"/>
        </w:rPr>
        <w:t xml:space="preserve">La fixation du ligand sur ce récepteur-enzyme provoque la formation, à partir de la </w:t>
      </w:r>
      <w:proofErr w:type="spellStart"/>
      <w:r w:rsidRPr="00407B63">
        <w:rPr>
          <w:rFonts w:asciiTheme="majorBidi" w:eastAsia="TimesNewRomanPSMT" w:hAnsiTheme="majorBidi" w:cstheme="majorBidi"/>
          <w:sz w:val="28"/>
          <w:szCs w:val="28"/>
        </w:rPr>
        <w:t>guanosine</w:t>
      </w:r>
      <w:proofErr w:type="spellEnd"/>
      <w:r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407B63">
        <w:rPr>
          <w:rFonts w:asciiTheme="majorBidi" w:eastAsia="TimesNewRomanPSMT" w:hAnsiTheme="majorBidi" w:cstheme="majorBidi"/>
          <w:sz w:val="28"/>
          <w:szCs w:val="28"/>
        </w:rPr>
        <w:t xml:space="preserve">triphosphate (GTP), de </w:t>
      </w:r>
      <w:proofErr w:type="spellStart"/>
      <w:r w:rsidRPr="00407B63">
        <w:rPr>
          <w:rFonts w:asciiTheme="majorBidi" w:eastAsia="TimesNewRomanPSMT" w:hAnsiTheme="majorBidi" w:cstheme="majorBidi"/>
          <w:sz w:val="28"/>
          <w:szCs w:val="28"/>
        </w:rPr>
        <w:t>g</w:t>
      </w:r>
      <w:r>
        <w:rPr>
          <w:rFonts w:asciiTheme="majorBidi" w:eastAsia="TimesNewRomanPSMT" w:hAnsiTheme="majorBidi" w:cstheme="majorBidi"/>
          <w:sz w:val="28"/>
          <w:szCs w:val="28"/>
        </w:rPr>
        <w:t>uanosine</w:t>
      </w:r>
      <w:proofErr w:type="spellEnd"/>
      <w:r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eastAsia="TimesNewRomanPSMT" w:hAnsiTheme="majorBidi" w:cstheme="majorBidi"/>
          <w:sz w:val="28"/>
          <w:szCs w:val="28"/>
        </w:rPr>
        <w:t>monophosphate</w:t>
      </w:r>
      <w:proofErr w:type="spellEnd"/>
      <w:r>
        <w:rPr>
          <w:rFonts w:asciiTheme="majorBidi" w:eastAsia="TimesNewRomanPSMT" w:hAnsiTheme="majorBidi" w:cstheme="majorBidi"/>
          <w:sz w:val="28"/>
          <w:szCs w:val="28"/>
        </w:rPr>
        <w:t xml:space="preserve"> cyclique </w:t>
      </w:r>
      <w:r w:rsidRPr="00407B63">
        <w:rPr>
          <w:rFonts w:asciiTheme="majorBidi" w:eastAsia="TimesNewRomanPSMT" w:hAnsiTheme="majorBidi" w:cstheme="majorBidi"/>
          <w:sz w:val="28"/>
          <w:szCs w:val="28"/>
        </w:rPr>
        <w:t>(</w:t>
      </w:r>
      <w:proofErr w:type="spellStart"/>
      <w:r w:rsidRPr="00407B63">
        <w:rPr>
          <w:rFonts w:asciiTheme="majorBidi" w:eastAsia="TimesNewRomanPSMT" w:hAnsiTheme="majorBidi" w:cstheme="majorBidi"/>
          <w:sz w:val="28"/>
          <w:szCs w:val="28"/>
        </w:rPr>
        <w:t>GMPc</w:t>
      </w:r>
      <w:proofErr w:type="spellEnd"/>
      <w:r w:rsidRPr="00407B63">
        <w:rPr>
          <w:rFonts w:asciiTheme="majorBidi" w:eastAsia="TimesNewRomanPSMT" w:hAnsiTheme="majorBidi" w:cstheme="majorBidi"/>
          <w:sz w:val="28"/>
          <w:szCs w:val="28"/>
        </w:rPr>
        <w:t xml:space="preserve">) qui active des </w:t>
      </w:r>
      <w:proofErr w:type="spellStart"/>
      <w:r w:rsidRPr="00407B63">
        <w:rPr>
          <w:rFonts w:asciiTheme="majorBidi" w:eastAsia="TimesNewRomanPSMT" w:hAnsiTheme="majorBidi" w:cstheme="majorBidi"/>
          <w:sz w:val="28"/>
          <w:szCs w:val="28"/>
        </w:rPr>
        <w:t>protéineskinases</w:t>
      </w:r>
      <w:proofErr w:type="spellEnd"/>
      <w:r>
        <w:rPr>
          <w:rFonts w:asciiTheme="majorBidi" w:eastAsia="TimesNewRomanPSMT" w:hAnsiTheme="majorBidi" w:cstheme="majorBidi"/>
          <w:sz w:val="28"/>
          <w:szCs w:val="28"/>
        </w:rPr>
        <w:t xml:space="preserve"> spécifiques (PKG</w:t>
      </w:r>
    </w:p>
    <w:p w:rsidR="00762158" w:rsidRDefault="00762158" w:rsidP="00762158">
      <w:pPr>
        <w:jc w:val="both"/>
        <w:rPr>
          <w:rFonts w:asciiTheme="majorBidi" w:hAnsiTheme="majorBidi" w:cstheme="majorBidi"/>
          <w:sz w:val="28"/>
          <w:szCs w:val="28"/>
        </w:rPr>
      </w:pPr>
      <w:r w:rsidRPr="00762158">
        <w:rPr>
          <w:rFonts w:asciiTheme="majorBidi" w:hAnsiTheme="majorBidi" w:cstheme="majorBidi"/>
          <w:sz w:val="28"/>
          <w:szCs w:val="28"/>
        </w:rPr>
        <w:t xml:space="preserve">Les récepteurs à activité </w:t>
      </w:r>
      <w:proofErr w:type="spellStart"/>
      <w:r w:rsidRPr="00762158">
        <w:rPr>
          <w:rFonts w:asciiTheme="majorBidi" w:hAnsiTheme="majorBidi" w:cstheme="majorBidi"/>
          <w:sz w:val="28"/>
          <w:szCs w:val="28"/>
        </w:rPr>
        <w:t>guanylate</w:t>
      </w:r>
      <w:proofErr w:type="spellEnd"/>
      <w:r w:rsidRPr="0076215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158">
        <w:rPr>
          <w:rFonts w:asciiTheme="majorBidi" w:hAnsiTheme="majorBidi" w:cstheme="majorBidi"/>
          <w:sz w:val="28"/>
          <w:szCs w:val="28"/>
        </w:rPr>
        <w:t>cyclase</w:t>
      </w:r>
      <w:proofErr w:type="spellEnd"/>
      <w:r w:rsidRPr="00762158">
        <w:rPr>
          <w:rFonts w:asciiTheme="majorBidi" w:hAnsiTheme="majorBidi" w:cstheme="majorBidi"/>
          <w:sz w:val="28"/>
          <w:szCs w:val="28"/>
        </w:rPr>
        <w:t xml:space="preserve"> sont les récepteurs des peptides </w:t>
      </w:r>
      <w:proofErr w:type="spellStart"/>
      <w:r w:rsidRPr="00762158">
        <w:rPr>
          <w:rFonts w:asciiTheme="majorBidi" w:hAnsiTheme="majorBidi" w:cstheme="majorBidi"/>
          <w:sz w:val="28"/>
          <w:szCs w:val="28"/>
        </w:rPr>
        <w:t>natriurétiques</w:t>
      </w:r>
      <w:proofErr w:type="spellEnd"/>
      <w:r w:rsidRPr="00762158">
        <w:rPr>
          <w:rFonts w:asciiTheme="majorBidi" w:hAnsiTheme="majorBidi" w:cstheme="majorBidi"/>
          <w:sz w:val="28"/>
          <w:szCs w:val="28"/>
        </w:rPr>
        <w:t xml:space="preserve">. Il s'agit d'un homo-dimère transmembranaire. L'activation de la </w:t>
      </w:r>
      <w:proofErr w:type="spellStart"/>
      <w:r w:rsidRPr="00762158">
        <w:rPr>
          <w:rFonts w:asciiTheme="majorBidi" w:hAnsiTheme="majorBidi" w:cstheme="majorBidi"/>
          <w:sz w:val="28"/>
          <w:szCs w:val="28"/>
        </w:rPr>
        <w:t>guanylate</w:t>
      </w:r>
      <w:proofErr w:type="spellEnd"/>
      <w:r w:rsidRPr="0076215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2158">
        <w:rPr>
          <w:rFonts w:asciiTheme="majorBidi" w:hAnsiTheme="majorBidi" w:cstheme="majorBidi"/>
          <w:sz w:val="28"/>
          <w:szCs w:val="28"/>
        </w:rPr>
        <w:t>cyclase</w:t>
      </w:r>
      <w:proofErr w:type="spellEnd"/>
      <w:r w:rsidRPr="00762158">
        <w:rPr>
          <w:rFonts w:asciiTheme="majorBidi" w:hAnsiTheme="majorBidi" w:cstheme="majorBidi"/>
          <w:sz w:val="28"/>
          <w:szCs w:val="28"/>
        </w:rPr>
        <w:t xml:space="preserve"> en intracellulaire par la fixation du peptide en extracellulaire induit la synthèse d'un second messager, le GMP cyclique (</w:t>
      </w:r>
      <w:proofErr w:type="spellStart"/>
      <w:r w:rsidRPr="00762158">
        <w:rPr>
          <w:rFonts w:asciiTheme="majorBidi" w:hAnsiTheme="majorBidi" w:cstheme="majorBidi"/>
          <w:sz w:val="28"/>
          <w:szCs w:val="28"/>
        </w:rPr>
        <w:t>guanosine</w:t>
      </w:r>
      <w:proofErr w:type="spellEnd"/>
      <w:r w:rsidRPr="00762158">
        <w:rPr>
          <w:rFonts w:asciiTheme="majorBidi" w:hAnsiTheme="majorBidi" w:cstheme="majorBidi"/>
          <w:sz w:val="28"/>
          <w:szCs w:val="28"/>
        </w:rPr>
        <w:t>-3',5'-</w:t>
      </w:r>
      <w:proofErr w:type="spellStart"/>
      <w:r w:rsidRPr="00762158">
        <w:rPr>
          <w:rFonts w:asciiTheme="majorBidi" w:hAnsiTheme="majorBidi" w:cstheme="majorBidi"/>
          <w:sz w:val="28"/>
          <w:szCs w:val="28"/>
        </w:rPr>
        <w:t>monophosphate</w:t>
      </w:r>
      <w:proofErr w:type="spellEnd"/>
      <w:r w:rsidRPr="00762158">
        <w:rPr>
          <w:rFonts w:asciiTheme="majorBidi" w:hAnsiTheme="majorBidi" w:cstheme="majorBidi"/>
          <w:sz w:val="28"/>
          <w:szCs w:val="28"/>
        </w:rPr>
        <w:t>) à partir de GTP</w:t>
      </w:r>
    </w:p>
    <w:p w:rsidR="00762158" w:rsidRDefault="00762158" w:rsidP="0076215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3309438" cy="4746171"/>
            <wp:effectExtent l="19050" t="0" r="526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300" cy="474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158" w:rsidRDefault="00762158" w:rsidP="00762158">
      <w:pPr>
        <w:jc w:val="center"/>
        <w:rPr>
          <w:rFonts w:asciiTheme="majorBidi" w:hAnsiTheme="majorBidi" w:cstheme="majorBidi"/>
          <w:sz w:val="28"/>
          <w:szCs w:val="28"/>
        </w:rPr>
      </w:pPr>
      <w:r w:rsidRPr="00762158">
        <w:rPr>
          <w:rFonts w:asciiTheme="majorBidi" w:hAnsiTheme="majorBidi" w:cstheme="majorBidi"/>
          <w:b/>
          <w:bCs/>
          <w:sz w:val="28"/>
          <w:szCs w:val="28"/>
        </w:rPr>
        <w:t xml:space="preserve">Figure. 05 </w:t>
      </w:r>
      <w:r w:rsidRPr="00762158">
        <w:rPr>
          <w:rFonts w:asciiTheme="majorBidi" w:hAnsiTheme="majorBidi" w:cstheme="majorBidi"/>
          <w:sz w:val="28"/>
          <w:szCs w:val="28"/>
        </w:rPr>
        <w:t xml:space="preserve">Récepteurs à activité </w:t>
      </w:r>
      <w:proofErr w:type="spellStart"/>
      <w:r w:rsidRPr="00762158">
        <w:rPr>
          <w:rFonts w:asciiTheme="majorBidi" w:hAnsiTheme="majorBidi" w:cstheme="majorBidi"/>
          <w:sz w:val="28"/>
          <w:szCs w:val="28"/>
        </w:rPr>
        <w:t>guanylate</w:t>
      </w:r>
      <w:proofErr w:type="spellEnd"/>
      <w:r w:rsidRPr="0076215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762158">
        <w:rPr>
          <w:rFonts w:asciiTheme="majorBidi" w:hAnsiTheme="majorBidi" w:cstheme="majorBidi"/>
          <w:sz w:val="28"/>
          <w:szCs w:val="28"/>
        </w:rPr>
        <w:t>cyclase</w:t>
      </w:r>
      <w:proofErr w:type="spellEnd"/>
      <w:r w:rsidRPr="00762158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762158" w:rsidRPr="00762158" w:rsidRDefault="00762158" w:rsidP="00762158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762158">
        <w:rPr>
          <w:rFonts w:asciiTheme="majorBidi" w:hAnsiTheme="majorBidi" w:cstheme="majorBidi"/>
          <w:b/>
          <w:bCs/>
          <w:sz w:val="32"/>
          <w:szCs w:val="32"/>
        </w:rPr>
        <w:t xml:space="preserve">3. Les récepteurs couplés à des effecteurs distincts </w:t>
      </w:r>
    </w:p>
    <w:p w:rsidR="00762158" w:rsidRPr="00762158" w:rsidRDefault="00762158" w:rsidP="00762158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762158">
        <w:rPr>
          <w:rFonts w:asciiTheme="majorBidi" w:hAnsiTheme="majorBidi" w:cstheme="majorBidi"/>
          <w:sz w:val="32"/>
          <w:szCs w:val="32"/>
        </w:rPr>
        <w:t xml:space="preserve">Ils n'exercent que la fonction de réception du signal et vont nécessiter l'action d'autres </w:t>
      </w:r>
    </w:p>
    <w:p w:rsidR="00762158" w:rsidRPr="00762158" w:rsidRDefault="00762158" w:rsidP="00762158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762158">
        <w:rPr>
          <w:rFonts w:asciiTheme="majorBidi" w:hAnsiTheme="majorBidi" w:cstheme="majorBidi"/>
          <w:sz w:val="32"/>
          <w:szCs w:val="32"/>
        </w:rPr>
        <w:t>protéines</w:t>
      </w:r>
      <w:proofErr w:type="gramEnd"/>
      <w:r w:rsidRPr="00762158">
        <w:rPr>
          <w:rFonts w:asciiTheme="majorBidi" w:hAnsiTheme="majorBidi" w:cstheme="majorBidi"/>
          <w:sz w:val="32"/>
          <w:szCs w:val="32"/>
        </w:rPr>
        <w:t xml:space="preserve"> pour la transduction du signal. </w:t>
      </w:r>
    </w:p>
    <w:p w:rsidR="00762158" w:rsidRPr="00762158" w:rsidRDefault="00762158" w:rsidP="00762158">
      <w:pPr>
        <w:pStyle w:val="Default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2158">
        <w:rPr>
          <w:rFonts w:asciiTheme="majorBidi" w:hAnsiTheme="majorBidi" w:cstheme="majorBidi"/>
          <w:b/>
          <w:bCs/>
          <w:sz w:val="32"/>
          <w:szCs w:val="32"/>
        </w:rPr>
        <w:t xml:space="preserve">3.1. Récepteurs couplés à des protéines G </w:t>
      </w:r>
    </w:p>
    <w:p w:rsidR="00762158" w:rsidRDefault="00762158" w:rsidP="00762158">
      <w:pPr>
        <w:pStyle w:val="Default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62158">
        <w:rPr>
          <w:rFonts w:asciiTheme="majorBidi" w:hAnsiTheme="majorBidi" w:cstheme="majorBidi"/>
          <w:sz w:val="32"/>
          <w:szCs w:val="32"/>
        </w:rPr>
        <w:t xml:space="preserve">Ils représentent la plus grande famille de récepteurs. Ils participent aux réponses cellulaires provenant de molécules informatives très diverses (Hormones, Peptides, </w:t>
      </w:r>
      <w:r>
        <w:rPr>
          <w:rFonts w:asciiTheme="majorBidi" w:hAnsiTheme="majorBidi" w:cstheme="majorBidi"/>
          <w:sz w:val="32"/>
          <w:szCs w:val="32"/>
        </w:rPr>
        <w:t>d</w:t>
      </w:r>
      <w:r w:rsidRPr="00762158">
        <w:rPr>
          <w:rFonts w:asciiTheme="majorBidi" w:hAnsiTheme="majorBidi" w:cstheme="majorBidi"/>
          <w:sz w:val="32"/>
          <w:szCs w:val="32"/>
        </w:rPr>
        <w:t xml:space="preserve">érivés d'acides aminés et d'acides gras ....). Ils contrôlent indirectement l’activité d’une protéine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2158">
        <w:rPr>
          <w:rFonts w:asciiTheme="majorBidi" w:hAnsiTheme="majorBidi" w:cstheme="majorBidi"/>
          <w:sz w:val="32"/>
          <w:szCs w:val="32"/>
        </w:rPr>
        <w:t xml:space="preserve">cible par l’intermédiaire d’une protéine G hétérométrique qui joue le rôle de transducteur. Les </w:t>
      </w:r>
      <w:proofErr w:type="spellStart"/>
      <w:r w:rsidRPr="00762158">
        <w:rPr>
          <w:rFonts w:asciiTheme="majorBidi" w:hAnsiTheme="majorBidi" w:cstheme="majorBidi"/>
          <w:sz w:val="32"/>
          <w:szCs w:val="32"/>
        </w:rPr>
        <w:t>RCPGs</w:t>
      </w:r>
      <w:proofErr w:type="spellEnd"/>
      <w:r w:rsidRPr="00762158">
        <w:rPr>
          <w:rFonts w:asciiTheme="majorBidi" w:hAnsiTheme="majorBidi" w:cstheme="majorBidi"/>
          <w:sz w:val="32"/>
          <w:szCs w:val="32"/>
        </w:rPr>
        <w:t xml:space="preserve"> ont en commun l’existence de sept domaines transmembranaires (élément structural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2158">
        <w:rPr>
          <w:rFonts w:asciiTheme="majorBidi" w:hAnsiTheme="majorBidi" w:cstheme="majorBidi"/>
          <w:sz w:val="32"/>
          <w:szCs w:val="32"/>
        </w:rPr>
        <w:t xml:space="preserve">central), une portion N-terminale extracellulaire, une portion C-terminale intracellulaire, trois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2158">
        <w:rPr>
          <w:rFonts w:asciiTheme="majorBidi" w:hAnsiTheme="majorBidi" w:cstheme="majorBidi"/>
          <w:sz w:val="32"/>
          <w:szCs w:val="32"/>
        </w:rPr>
        <w:t xml:space="preserve">boucles intracellulaires et trois boucles extracellulaires. La taille de ces protéines est très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62158">
        <w:rPr>
          <w:rFonts w:asciiTheme="majorBidi" w:hAnsiTheme="majorBidi" w:cstheme="majorBidi"/>
          <w:sz w:val="32"/>
          <w:szCs w:val="32"/>
        </w:rPr>
        <w:t>variable (de 200 à 1 500 acides aminés)</w:t>
      </w:r>
    </w:p>
    <w:p w:rsidR="00762158" w:rsidRDefault="00762158" w:rsidP="004278A5">
      <w:pPr>
        <w:pStyle w:val="Default"/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3954236" cy="2013857"/>
            <wp:effectExtent l="19050" t="0" r="8164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954" cy="201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8C9" w:rsidRDefault="00FA58C9" w:rsidP="00FA58C9">
      <w:pPr>
        <w:pStyle w:val="Default"/>
        <w:spacing w:line="360" w:lineRule="auto"/>
        <w:jc w:val="center"/>
        <w:rPr>
          <w:sz w:val="32"/>
          <w:szCs w:val="32"/>
        </w:rPr>
      </w:pPr>
      <w:r w:rsidRPr="00FA58C9">
        <w:rPr>
          <w:b/>
          <w:bCs/>
          <w:sz w:val="32"/>
          <w:szCs w:val="32"/>
        </w:rPr>
        <w:t xml:space="preserve">Figure. 06: </w:t>
      </w:r>
      <w:r w:rsidRPr="00FA58C9">
        <w:rPr>
          <w:sz w:val="32"/>
          <w:szCs w:val="32"/>
        </w:rPr>
        <w:t>Structure des récepteurs couplés à des protéines G.</w:t>
      </w:r>
    </w:p>
    <w:p w:rsidR="00FA58C9" w:rsidRDefault="00FA58C9" w:rsidP="00FA58C9">
      <w:pPr>
        <w:pStyle w:val="Default"/>
        <w:spacing w:line="360" w:lineRule="auto"/>
        <w:jc w:val="center"/>
        <w:rPr>
          <w:sz w:val="32"/>
          <w:szCs w:val="32"/>
        </w:rPr>
      </w:pPr>
    </w:p>
    <w:p w:rsidR="00FA58C9" w:rsidRDefault="00696837" w:rsidP="0070216C">
      <w:pPr>
        <w:pStyle w:val="Default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0216C">
        <w:rPr>
          <w:rFonts w:asciiTheme="majorBidi" w:hAnsiTheme="majorBidi" w:cstheme="majorBidi"/>
          <w:sz w:val="32"/>
          <w:szCs w:val="32"/>
        </w:rPr>
        <w:t xml:space="preserve">Une protéine G est un </w:t>
      </w:r>
      <w:proofErr w:type="spellStart"/>
      <w:r w:rsidRPr="0070216C">
        <w:rPr>
          <w:rFonts w:asciiTheme="majorBidi" w:hAnsiTheme="majorBidi" w:cstheme="majorBidi"/>
          <w:sz w:val="32"/>
          <w:szCs w:val="32"/>
        </w:rPr>
        <w:t>hétérodimère</w:t>
      </w:r>
      <w:proofErr w:type="spellEnd"/>
      <w:r w:rsidRPr="0070216C">
        <w:rPr>
          <w:rFonts w:asciiTheme="majorBidi" w:hAnsiTheme="majorBidi" w:cstheme="majorBidi"/>
          <w:sz w:val="32"/>
          <w:szCs w:val="32"/>
        </w:rPr>
        <w:t xml:space="preserve"> pouvant fixer du GTP. Elle est constituée de trois sous-unités α, β, γ. α et β étant ancrées à la membrane. La sous -unité α </w:t>
      </w:r>
      <w:proofErr w:type="spellStart"/>
      <w:r w:rsidRPr="0070216C">
        <w:rPr>
          <w:rFonts w:asciiTheme="majorBidi" w:hAnsiTheme="majorBidi" w:cstheme="majorBidi"/>
          <w:sz w:val="32"/>
          <w:szCs w:val="32"/>
        </w:rPr>
        <w:t>posséde</w:t>
      </w:r>
      <w:proofErr w:type="spellEnd"/>
      <w:r w:rsidRPr="0070216C">
        <w:rPr>
          <w:rFonts w:asciiTheme="majorBidi" w:hAnsiTheme="majorBidi" w:cstheme="majorBidi"/>
          <w:sz w:val="32"/>
          <w:szCs w:val="32"/>
        </w:rPr>
        <w:t xml:space="preserve"> une activité</w:t>
      </w:r>
      <w:r w:rsidR="0070216C" w:rsidRPr="0070216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GTPasique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lente. La protéine G est activée par fixation d'un G TP sur sa sous-unité α (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Gα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>-GTP) et s'inactive par hydrolyse du GTP en GDP (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Gα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-GDP). Quand il y a fixation de la molécule informative le changement de conformation spatiale se transmet à la sous -unité Gα. Celle-ci échange GDP contre GTP et simultanément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ell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e se dissocie du dimère Gβγ. Elle va </w:t>
      </w:r>
      <w:r w:rsidR="0070216C">
        <w:rPr>
          <w:rFonts w:asciiTheme="majorBidi" w:hAnsiTheme="majorBidi" w:cstheme="majorBidi"/>
          <w:sz w:val="32"/>
          <w:szCs w:val="32"/>
        </w:rPr>
        <w:t xml:space="preserve"> </w:t>
      </w:r>
      <w:r w:rsidR="0070216C" w:rsidRPr="0070216C">
        <w:rPr>
          <w:rFonts w:asciiTheme="majorBidi" w:hAnsiTheme="majorBidi" w:cstheme="majorBidi"/>
          <w:sz w:val="32"/>
          <w:szCs w:val="32"/>
        </w:rPr>
        <w:t xml:space="preserve">alors activer la protéine enzymatique effectrice. Après phosphorylation et retour à la forme inactive le complexe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hétérodimérique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G α-GDP/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Gβγ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se reforme, la transduction s'arrête. Ils existent plusieurs protéines G. Les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Gαs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activent l'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adénylate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cyclase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, les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Gαi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l'inhibent, les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Gαq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activent la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phospholipase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C. le complexe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Gβγ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peut également moduler l'activité </w:t>
      </w:r>
      <w:r w:rsidR="0070216C">
        <w:rPr>
          <w:rFonts w:asciiTheme="majorBidi" w:hAnsiTheme="majorBidi" w:cstheme="majorBidi"/>
          <w:sz w:val="32"/>
          <w:szCs w:val="32"/>
        </w:rPr>
        <w:t xml:space="preserve"> </w:t>
      </w:r>
      <w:r w:rsidR="0070216C" w:rsidRPr="0070216C">
        <w:rPr>
          <w:rFonts w:asciiTheme="majorBidi" w:hAnsiTheme="majorBidi" w:cstheme="majorBidi"/>
          <w:sz w:val="32"/>
          <w:szCs w:val="32"/>
        </w:rPr>
        <w:t xml:space="preserve">d'effecteurs au moins aussi nombreux que ceux contrôlés par les G α. Par exemple, les sous-unités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Gβγ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ralentissent le rythme cardiaque via leur association avec les canaux potassiques à </w:t>
      </w:r>
      <w:r w:rsidR="0070216C">
        <w:rPr>
          <w:rFonts w:asciiTheme="majorBidi" w:hAnsiTheme="majorBidi" w:cstheme="majorBidi"/>
          <w:sz w:val="32"/>
          <w:szCs w:val="32"/>
        </w:rPr>
        <w:t xml:space="preserve"> </w:t>
      </w:r>
      <w:r w:rsidR="0070216C" w:rsidRPr="0070216C">
        <w:rPr>
          <w:rFonts w:asciiTheme="majorBidi" w:hAnsiTheme="majorBidi" w:cstheme="majorBidi"/>
          <w:sz w:val="32"/>
          <w:szCs w:val="32"/>
        </w:rPr>
        <w:t xml:space="preserve">rectification entrante ("GIRK: G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protein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coupled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inwardly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0216C" w:rsidRPr="0070216C">
        <w:rPr>
          <w:rFonts w:asciiTheme="majorBidi" w:hAnsiTheme="majorBidi" w:cstheme="majorBidi"/>
          <w:sz w:val="32"/>
          <w:szCs w:val="32"/>
        </w:rPr>
        <w:t>rectifying</w:t>
      </w:r>
      <w:proofErr w:type="spellEnd"/>
      <w:r w:rsidR="0070216C" w:rsidRPr="0070216C">
        <w:rPr>
          <w:rFonts w:asciiTheme="majorBidi" w:hAnsiTheme="majorBidi" w:cstheme="majorBidi"/>
          <w:sz w:val="32"/>
          <w:szCs w:val="32"/>
        </w:rPr>
        <w:t xml:space="preserve"> K+") (Fig. </w:t>
      </w:r>
      <w:r w:rsidR="0070216C">
        <w:rPr>
          <w:rFonts w:asciiTheme="majorBidi" w:hAnsiTheme="majorBidi" w:cstheme="majorBidi"/>
          <w:sz w:val="32"/>
          <w:szCs w:val="32"/>
        </w:rPr>
        <w:t>7</w:t>
      </w:r>
      <w:r w:rsidR="0070216C" w:rsidRPr="0070216C">
        <w:rPr>
          <w:rFonts w:asciiTheme="majorBidi" w:hAnsiTheme="majorBidi" w:cstheme="majorBidi"/>
          <w:sz w:val="32"/>
          <w:szCs w:val="32"/>
        </w:rPr>
        <w:t>).</w:t>
      </w:r>
    </w:p>
    <w:p w:rsidR="0070216C" w:rsidRDefault="00380617" w:rsidP="0070216C">
      <w:pPr>
        <w:pStyle w:val="Default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drawing>
          <wp:inline distT="0" distB="0" distL="0" distR="0">
            <wp:extent cx="7200265" cy="4588040"/>
            <wp:effectExtent l="57150" t="19050" r="114935" b="792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58804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216C" w:rsidRDefault="0070216C" w:rsidP="00CF0370">
      <w:pPr>
        <w:pStyle w:val="Default"/>
        <w:spacing w:line="360" w:lineRule="auto"/>
        <w:jc w:val="center"/>
        <w:rPr>
          <w:sz w:val="32"/>
          <w:szCs w:val="32"/>
        </w:rPr>
      </w:pPr>
      <w:r w:rsidRPr="0070216C">
        <w:rPr>
          <w:b/>
          <w:bCs/>
          <w:sz w:val="32"/>
          <w:szCs w:val="32"/>
        </w:rPr>
        <w:t xml:space="preserve">Figure. </w:t>
      </w:r>
      <w:r w:rsidR="00CF0370">
        <w:rPr>
          <w:b/>
          <w:bCs/>
          <w:sz w:val="32"/>
          <w:szCs w:val="32"/>
        </w:rPr>
        <w:t>07</w:t>
      </w:r>
      <w:r w:rsidRPr="0070216C">
        <w:rPr>
          <w:b/>
          <w:bCs/>
          <w:sz w:val="32"/>
          <w:szCs w:val="32"/>
        </w:rPr>
        <w:t xml:space="preserve">: </w:t>
      </w:r>
      <w:r w:rsidRPr="0070216C">
        <w:rPr>
          <w:sz w:val="32"/>
          <w:szCs w:val="32"/>
        </w:rPr>
        <w:t>Activation des sous-unités de la protéine G.</w:t>
      </w:r>
    </w:p>
    <w:p w:rsidR="005E261F" w:rsidRDefault="005E261F" w:rsidP="00CF0370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5E261F" w:rsidRDefault="005E261F" w:rsidP="00CF0370">
      <w:pPr>
        <w:pStyle w:val="Default"/>
        <w:spacing w:line="360" w:lineRule="auto"/>
        <w:rPr>
          <w:sz w:val="32"/>
          <w:szCs w:val="32"/>
        </w:rPr>
      </w:pPr>
      <w:r w:rsidRPr="005E261F">
        <w:rPr>
          <w:sz w:val="32"/>
          <w:szCs w:val="32"/>
        </w:rPr>
        <w:t xml:space="preserve">Il faut souligner que les protéines G ne sont pas associées à un récepteur unique mais qu’elles peuvent diffuser au sein de la membrane et s'associer à </w:t>
      </w:r>
      <w:proofErr w:type="spellStart"/>
      <w:r w:rsidRPr="005E261F">
        <w:rPr>
          <w:sz w:val="32"/>
          <w:szCs w:val="32"/>
        </w:rPr>
        <w:t>differentes</w:t>
      </w:r>
      <w:proofErr w:type="spellEnd"/>
      <w:r w:rsidRPr="005E261F">
        <w:rPr>
          <w:sz w:val="32"/>
          <w:szCs w:val="32"/>
        </w:rPr>
        <w:t xml:space="preserve"> cibles. Enfin, il existe une relation entre les types de récepteurs et le type de protéine G avec laquelle </w:t>
      </w:r>
      <w:r w:rsidRPr="005E261F">
        <w:rPr>
          <w:sz w:val="32"/>
          <w:szCs w:val="32"/>
        </w:rPr>
        <w:lastRenderedPageBreak/>
        <w:t>ils interagissent. Les sous-unités a des différentes protéines G se distinguent les unes des autres par leur affinité pour différentes protéines effectrices et donc se différentient selon l’effet intracellulaire engendré</w:t>
      </w:r>
    </w:p>
    <w:p w:rsidR="005E261F" w:rsidRPr="005E261F" w:rsidRDefault="00E31512" w:rsidP="00CF0370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t>n</w:t>
      </w:r>
      <w:r w:rsidR="005E261F">
        <w:rPr>
          <w:rFonts w:asciiTheme="majorBidi" w:hAnsiTheme="majorBidi" w:cstheme="majorBidi"/>
          <w:noProof/>
          <w:sz w:val="32"/>
          <w:szCs w:val="32"/>
          <w:lang w:eastAsia="fr-FR"/>
        </w:rPr>
        <w:drawing>
          <wp:inline distT="0" distB="0" distL="0" distR="0">
            <wp:extent cx="7200265" cy="4402278"/>
            <wp:effectExtent l="1905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40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1F" w:rsidRDefault="005E261F" w:rsidP="00CF0370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5E261F" w:rsidRDefault="005E261F" w:rsidP="00CF0370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CF0370" w:rsidRPr="00CF0370" w:rsidRDefault="00CF0370" w:rsidP="00CF0370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F0370">
        <w:rPr>
          <w:rFonts w:asciiTheme="majorBidi" w:hAnsiTheme="majorBidi" w:cstheme="majorBidi"/>
          <w:sz w:val="32"/>
          <w:szCs w:val="32"/>
        </w:rPr>
        <w:t xml:space="preserve">Trois exemples de l’action de la protéine G via l’activation de la sous-unité </w:t>
      </w:r>
      <w:proofErr w:type="spellStart"/>
      <w:r w:rsidRPr="00CF0370">
        <w:rPr>
          <w:rFonts w:asciiTheme="majorBidi" w:hAnsiTheme="majorBidi" w:cstheme="majorBidi"/>
          <w:sz w:val="32"/>
          <w:szCs w:val="32"/>
        </w:rPr>
        <w:t>Gα</w:t>
      </w:r>
      <w:proofErr w:type="spellEnd"/>
      <w:r w:rsidRPr="00CF0370">
        <w:rPr>
          <w:rFonts w:asciiTheme="majorBidi" w:hAnsiTheme="majorBidi" w:cstheme="majorBidi"/>
          <w:sz w:val="32"/>
          <w:szCs w:val="32"/>
        </w:rPr>
        <w:t xml:space="preserve"> sur des </w:t>
      </w:r>
      <w:proofErr w:type="gramStart"/>
      <w:r w:rsidRPr="00CF0370">
        <w:rPr>
          <w:rFonts w:asciiTheme="majorBidi" w:hAnsiTheme="majorBidi" w:cstheme="majorBidi"/>
          <w:sz w:val="32"/>
          <w:szCs w:val="32"/>
        </w:rPr>
        <w:t>effecteurs</w:t>
      </w:r>
      <w:proofErr w:type="gramEnd"/>
      <w:r w:rsidRPr="00CF0370">
        <w:rPr>
          <w:rFonts w:asciiTheme="majorBidi" w:hAnsiTheme="majorBidi" w:cstheme="majorBidi"/>
          <w:sz w:val="32"/>
          <w:szCs w:val="32"/>
        </w:rPr>
        <w:t xml:space="preserve"> enzymatiques seront traités, la voie </w:t>
      </w:r>
      <w:proofErr w:type="spellStart"/>
      <w:r w:rsidRPr="00CF0370">
        <w:rPr>
          <w:rFonts w:asciiTheme="majorBidi" w:hAnsiTheme="majorBidi" w:cstheme="majorBidi"/>
          <w:sz w:val="32"/>
          <w:szCs w:val="32"/>
        </w:rPr>
        <w:t>adénylcyclase</w:t>
      </w:r>
      <w:proofErr w:type="spellEnd"/>
      <w:r w:rsidRPr="00CF0370">
        <w:rPr>
          <w:rFonts w:asciiTheme="majorBidi" w:hAnsiTheme="majorBidi" w:cstheme="majorBidi"/>
          <w:sz w:val="32"/>
          <w:szCs w:val="32"/>
        </w:rPr>
        <w:t xml:space="preserve"> avec l’</w:t>
      </w:r>
      <w:proofErr w:type="spellStart"/>
      <w:r w:rsidRPr="00CF0370">
        <w:rPr>
          <w:rFonts w:asciiTheme="majorBidi" w:hAnsiTheme="majorBidi" w:cstheme="majorBidi"/>
          <w:sz w:val="32"/>
          <w:szCs w:val="32"/>
        </w:rPr>
        <w:t>AMPc</w:t>
      </w:r>
      <w:proofErr w:type="spellEnd"/>
      <w:r w:rsidRPr="00CF0370">
        <w:rPr>
          <w:rFonts w:asciiTheme="majorBidi" w:hAnsiTheme="majorBidi" w:cstheme="majorBidi"/>
          <w:sz w:val="32"/>
          <w:szCs w:val="32"/>
        </w:rPr>
        <w:t xml:space="preserve">, la voie </w:t>
      </w:r>
    </w:p>
    <w:p w:rsidR="00CF0370" w:rsidRPr="00CF0370" w:rsidRDefault="00CF0370" w:rsidP="00CF0370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CF0370">
        <w:rPr>
          <w:rFonts w:asciiTheme="majorBidi" w:hAnsiTheme="majorBidi" w:cstheme="majorBidi"/>
          <w:sz w:val="32"/>
          <w:szCs w:val="32"/>
        </w:rPr>
        <w:t>phospholipase</w:t>
      </w:r>
      <w:proofErr w:type="spellEnd"/>
      <w:proofErr w:type="gramEnd"/>
      <w:r w:rsidRPr="00CF0370">
        <w:rPr>
          <w:rFonts w:asciiTheme="majorBidi" w:hAnsiTheme="majorBidi" w:cstheme="majorBidi"/>
          <w:sz w:val="32"/>
          <w:szCs w:val="32"/>
        </w:rPr>
        <w:t xml:space="preserve"> C et la voie </w:t>
      </w:r>
      <w:proofErr w:type="spellStart"/>
      <w:r w:rsidRPr="00CF0370">
        <w:rPr>
          <w:rFonts w:asciiTheme="majorBidi" w:hAnsiTheme="majorBidi" w:cstheme="majorBidi"/>
          <w:sz w:val="32"/>
          <w:szCs w:val="32"/>
        </w:rPr>
        <w:t>transducine</w:t>
      </w:r>
      <w:proofErr w:type="spellEnd"/>
      <w:r w:rsidRPr="00CF0370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CF0370">
        <w:rPr>
          <w:rFonts w:asciiTheme="majorBidi" w:hAnsiTheme="majorBidi" w:cstheme="majorBidi"/>
          <w:sz w:val="32"/>
          <w:szCs w:val="32"/>
        </w:rPr>
        <w:t>phosphodiestérase</w:t>
      </w:r>
      <w:proofErr w:type="spellEnd"/>
      <w:r w:rsidRPr="00CF0370">
        <w:rPr>
          <w:rFonts w:asciiTheme="majorBidi" w:hAnsiTheme="majorBidi" w:cstheme="majorBidi"/>
          <w:sz w:val="32"/>
          <w:szCs w:val="32"/>
        </w:rPr>
        <w:t>.</w:t>
      </w:r>
    </w:p>
    <w:sectPr w:rsidR="00CF0370" w:rsidRPr="00CF0370" w:rsidSect="00762158">
      <w:pgSz w:w="14175" w:h="28350" w:code="9"/>
      <w:pgMar w:top="1418" w:right="1418" w:bottom="45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C25" w:rsidRDefault="00964C25" w:rsidP="00FA58C9">
      <w:pPr>
        <w:spacing w:after="0" w:line="240" w:lineRule="auto"/>
      </w:pPr>
      <w:r>
        <w:separator/>
      </w:r>
    </w:p>
  </w:endnote>
  <w:endnote w:type="continuationSeparator" w:id="0">
    <w:p w:rsidR="00964C25" w:rsidRDefault="00964C25" w:rsidP="00FA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C25" w:rsidRDefault="00964C25" w:rsidP="00FA58C9">
      <w:pPr>
        <w:spacing w:after="0" w:line="240" w:lineRule="auto"/>
      </w:pPr>
      <w:r>
        <w:separator/>
      </w:r>
    </w:p>
  </w:footnote>
  <w:footnote w:type="continuationSeparator" w:id="0">
    <w:p w:rsidR="00964C25" w:rsidRDefault="00964C25" w:rsidP="00FA5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158"/>
    <w:rsid w:val="00380617"/>
    <w:rsid w:val="004278A5"/>
    <w:rsid w:val="004A4C41"/>
    <w:rsid w:val="005E261F"/>
    <w:rsid w:val="00696837"/>
    <w:rsid w:val="0070216C"/>
    <w:rsid w:val="00762158"/>
    <w:rsid w:val="00964C25"/>
    <w:rsid w:val="0098385C"/>
    <w:rsid w:val="00CF0370"/>
    <w:rsid w:val="00DE7DC8"/>
    <w:rsid w:val="00E31512"/>
    <w:rsid w:val="00F80E3C"/>
    <w:rsid w:val="00FA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1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2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A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58C9"/>
  </w:style>
  <w:style w:type="paragraph" w:styleId="Pieddepage">
    <w:name w:val="footer"/>
    <w:basedOn w:val="Normal"/>
    <w:link w:val="PieddepageCar"/>
    <w:uiPriority w:val="99"/>
    <w:semiHidden/>
    <w:unhideWhenUsed/>
    <w:rsid w:val="00FA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5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2024-10-19T12:36:00Z</dcterms:created>
  <dcterms:modified xsi:type="dcterms:W3CDTF">2024-10-19T13:26:00Z</dcterms:modified>
</cp:coreProperties>
</file>