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0AD" w:rsidRPr="0075047D" w:rsidRDefault="00666E1F" w:rsidP="0075047D">
      <w:pPr>
        <w:jc w:val="center"/>
        <w:rPr>
          <w:rFonts w:asciiTheme="majorBidi" w:hAnsiTheme="majorBidi" w:cstheme="majorBidi"/>
          <w:b/>
          <w:bCs/>
          <w:sz w:val="36"/>
          <w:szCs w:val="36"/>
        </w:rPr>
      </w:pPr>
      <w:r w:rsidRPr="0075047D">
        <w:rPr>
          <w:rFonts w:asciiTheme="majorBidi" w:hAnsiTheme="majorBidi" w:cstheme="majorBidi"/>
          <w:b/>
          <w:bCs/>
          <w:sz w:val="36"/>
          <w:szCs w:val="36"/>
        </w:rPr>
        <w:t xml:space="preserve">Les </w:t>
      </w:r>
      <w:proofErr w:type="spellStart"/>
      <w:r w:rsidRPr="0075047D">
        <w:rPr>
          <w:rFonts w:asciiTheme="majorBidi" w:hAnsiTheme="majorBidi" w:cstheme="majorBidi"/>
          <w:b/>
          <w:bCs/>
          <w:sz w:val="36"/>
          <w:szCs w:val="36"/>
        </w:rPr>
        <w:t>recepteur</w:t>
      </w:r>
      <w:proofErr w:type="spellEnd"/>
      <w:r w:rsidRPr="0075047D">
        <w:rPr>
          <w:rFonts w:asciiTheme="majorBidi" w:hAnsiTheme="majorBidi" w:cstheme="majorBidi"/>
          <w:b/>
          <w:bCs/>
          <w:sz w:val="36"/>
          <w:szCs w:val="36"/>
        </w:rPr>
        <w:t xml:space="preserve">  membranaire</w:t>
      </w:r>
    </w:p>
    <w:p w:rsidR="00666E1F" w:rsidRPr="0075047D" w:rsidRDefault="00666E1F" w:rsidP="00666E1F">
      <w:pPr>
        <w:jc w:val="lowKashida"/>
        <w:rPr>
          <w:rFonts w:asciiTheme="majorBidi" w:hAnsiTheme="majorBidi" w:cstheme="majorBidi"/>
          <w:b/>
          <w:bCs/>
          <w:sz w:val="28"/>
          <w:szCs w:val="28"/>
        </w:rPr>
      </w:pPr>
      <w:proofErr w:type="spellStart"/>
      <w:r w:rsidRPr="0075047D">
        <w:rPr>
          <w:rFonts w:asciiTheme="majorBidi" w:hAnsiTheme="majorBidi" w:cstheme="majorBidi"/>
          <w:b/>
          <w:bCs/>
          <w:sz w:val="28"/>
          <w:szCs w:val="28"/>
        </w:rPr>
        <w:t>Dénition</w:t>
      </w:r>
      <w:proofErr w:type="spellEnd"/>
      <w:r w:rsidRPr="0075047D">
        <w:rPr>
          <w:rFonts w:asciiTheme="majorBidi" w:hAnsiTheme="majorBidi" w:cstheme="majorBidi"/>
          <w:b/>
          <w:bCs/>
          <w:sz w:val="28"/>
          <w:szCs w:val="28"/>
        </w:rPr>
        <w:t xml:space="preserve"> : </w:t>
      </w:r>
      <w:r w:rsidRPr="0075047D">
        <w:rPr>
          <w:rFonts w:asciiTheme="majorBidi" w:hAnsiTheme="majorBidi" w:cstheme="majorBidi"/>
          <w:sz w:val="28"/>
          <w:szCs w:val="28"/>
        </w:rPr>
        <w:t xml:space="preserve">Les récepteurs membranaires sont des glycoprotéines transmembranaires à 3 régions, une extracellulaire </w:t>
      </w:r>
      <w:proofErr w:type="spellStart"/>
      <w:r w:rsidRPr="0075047D">
        <w:rPr>
          <w:rFonts w:asciiTheme="majorBidi" w:hAnsiTheme="majorBidi" w:cstheme="majorBidi"/>
          <w:sz w:val="28"/>
          <w:szCs w:val="28"/>
        </w:rPr>
        <w:t>glycosylée</w:t>
      </w:r>
      <w:proofErr w:type="spellEnd"/>
      <w:r w:rsidRPr="0075047D">
        <w:rPr>
          <w:rFonts w:asciiTheme="majorBidi" w:hAnsiTheme="majorBidi" w:cstheme="majorBidi"/>
          <w:sz w:val="28"/>
          <w:szCs w:val="28"/>
        </w:rPr>
        <w:t xml:space="preserve"> reconnaissant et fixant la molécule, une transmembranaire (hydrophobe) ancrée dans la membrane et une intracellulaire responsable des événements biochimiques</w:t>
      </w:r>
    </w:p>
    <w:p w:rsidR="00666E1F" w:rsidRPr="0075047D" w:rsidRDefault="00666E1F" w:rsidP="0075047D">
      <w:pPr>
        <w:jc w:val="both"/>
        <w:rPr>
          <w:rFonts w:asciiTheme="majorBidi" w:hAnsiTheme="majorBidi" w:cstheme="majorBidi"/>
          <w:sz w:val="28"/>
          <w:szCs w:val="28"/>
        </w:rPr>
      </w:pPr>
      <w:r w:rsidRPr="0075047D">
        <w:rPr>
          <w:rFonts w:asciiTheme="majorBidi" w:hAnsiTheme="majorBidi" w:cstheme="majorBidi"/>
          <w:b/>
          <w:bCs/>
          <w:sz w:val="28"/>
          <w:szCs w:val="28"/>
        </w:rPr>
        <w:t>Classification des récepteurs membranaires</w:t>
      </w:r>
    </w:p>
    <w:p w:rsidR="0075047D" w:rsidRPr="0075047D" w:rsidRDefault="0075047D" w:rsidP="0075047D">
      <w:pPr>
        <w:pStyle w:val="Default"/>
        <w:jc w:val="both"/>
        <w:rPr>
          <w:rFonts w:asciiTheme="majorBidi" w:hAnsiTheme="majorBidi" w:cstheme="majorBidi"/>
          <w:sz w:val="28"/>
          <w:szCs w:val="28"/>
        </w:rPr>
      </w:pPr>
      <w:r w:rsidRPr="0075047D">
        <w:rPr>
          <w:rFonts w:asciiTheme="majorBidi" w:hAnsiTheme="majorBidi" w:cstheme="majorBidi"/>
          <w:b/>
          <w:bCs/>
          <w:sz w:val="28"/>
          <w:szCs w:val="28"/>
        </w:rPr>
        <w:t>Récepteurs canaux-ioniques</w:t>
      </w:r>
      <w:r w:rsidRPr="0075047D">
        <w:rPr>
          <w:rFonts w:asciiTheme="majorBidi" w:hAnsiTheme="majorBidi" w:cstheme="majorBidi"/>
          <w:sz w:val="28"/>
          <w:szCs w:val="28"/>
        </w:rPr>
        <w:t xml:space="preserve">, </w:t>
      </w:r>
      <w:proofErr w:type="spellStart"/>
      <w:r w:rsidRPr="0075047D">
        <w:rPr>
          <w:rFonts w:asciiTheme="majorBidi" w:hAnsiTheme="majorBidi" w:cstheme="majorBidi"/>
          <w:sz w:val="28"/>
          <w:szCs w:val="28"/>
        </w:rPr>
        <w:t>tansduisant</w:t>
      </w:r>
      <w:proofErr w:type="spellEnd"/>
      <w:r w:rsidRPr="0075047D">
        <w:rPr>
          <w:rFonts w:asciiTheme="majorBidi" w:hAnsiTheme="majorBidi" w:cstheme="majorBidi"/>
          <w:sz w:val="28"/>
          <w:szCs w:val="28"/>
        </w:rPr>
        <w:t xml:space="preserve"> eux-mêmes le signal ; </w:t>
      </w:r>
    </w:p>
    <w:p w:rsidR="0075047D" w:rsidRPr="0075047D" w:rsidRDefault="0075047D" w:rsidP="0075047D">
      <w:pPr>
        <w:pStyle w:val="Default"/>
        <w:jc w:val="both"/>
        <w:rPr>
          <w:rFonts w:asciiTheme="majorBidi" w:hAnsiTheme="majorBidi" w:cstheme="majorBidi"/>
          <w:sz w:val="28"/>
          <w:szCs w:val="28"/>
        </w:rPr>
      </w:pPr>
      <w:r w:rsidRPr="0075047D">
        <w:rPr>
          <w:rFonts w:asciiTheme="majorBidi" w:hAnsiTheme="majorBidi" w:cstheme="majorBidi"/>
          <w:b/>
          <w:bCs/>
          <w:sz w:val="28"/>
          <w:szCs w:val="28"/>
        </w:rPr>
        <w:t>Récepteurs enzymes</w:t>
      </w:r>
      <w:r w:rsidRPr="0075047D">
        <w:rPr>
          <w:rFonts w:asciiTheme="majorBidi" w:hAnsiTheme="majorBidi" w:cstheme="majorBidi"/>
          <w:sz w:val="28"/>
          <w:szCs w:val="28"/>
        </w:rPr>
        <w:t xml:space="preserve">, </w:t>
      </w:r>
      <w:proofErr w:type="spellStart"/>
      <w:r w:rsidRPr="0075047D">
        <w:rPr>
          <w:rFonts w:asciiTheme="majorBidi" w:hAnsiTheme="majorBidi" w:cstheme="majorBidi"/>
          <w:sz w:val="28"/>
          <w:szCs w:val="28"/>
        </w:rPr>
        <w:t>transduisant</w:t>
      </w:r>
      <w:proofErr w:type="spellEnd"/>
      <w:r w:rsidRPr="0075047D">
        <w:rPr>
          <w:rFonts w:asciiTheme="majorBidi" w:hAnsiTheme="majorBidi" w:cstheme="majorBidi"/>
          <w:sz w:val="28"/>
          <w:szCs w:val="28"/>
        </w:rPr>
        <w:t xml:space="preserve"> eux-mêmes le signal ; </w:t>
      </w:r>
    </w:p>
    <w:p w:rsidR="00666E1F" w:rsidRPr="0075047D" w:rsidRDefault="0075047D" w:rsidP="0075047D">
      <w:pPr>
        <w:jc w:val="both"/>
        <w:rPr>
          <w:rFonts w:asciiTheme="majorBidi" w:hAnsiTheme="majorBidi" w:cstheme="majorBidi"/>
          <w:sz w:val="28"/>
          <w:szCs w:val="28"/>
        </w:rPr>
      </w:pPr>
      <w:r w:rsidRPr="0075047D">
        <w:rPr>
          <w:rFonts w:asciiTheme="majorBidi" w:hAnsiTheme="majorBidi" w:cstheme="majorBidi"/>
          <w:b/>
          <w:bCs/>
          <w:sz w:val="28"/>
          <w:szCs w:val="28"/>
        </w:rPr>
        <w:t xml:space="preserve">Récepteurs couplés </w:t>
      </w:r>
      <w:r w:rsidRPr="0075047D">
        <w:rPr>
          <w:rFonts w:asciiTheme="majorBidi" w:hAnsiTheme="majorBidi" w:cstheme="majorBidi"/>
          <w:sz w:val="28"/>
          <w:szCs w:val="28"/>
        </w:rPr>
        <w:t>à des effecteurs distincts, nécessitant l'intervention d'autres protéines pour la transduction du signal.</w:t>
      </w:r>
    </w:p>
    <w:p w:rsidR="00666E1F" w:rsidRDefault="0075047D" w:rsidP="0075047D">
      <w:pPr>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403600" cy="3429000"/>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403600" cy="3429000"/>
                    </a:xfrm>
                    <a:prstGeom prst="rect">
                      <a:avLst/>
                    </a:prstGeom>
                    <a:noFill/>
                    <a:ln w="9525">
                      <a:noFill/>
                      <a:miter lim="800000"/>
                      <a:headEnd/>
                      <a:tailEnd/>
                    </a:ln>
                  </pic:spPr>
                </pic:pic>
              </a:graphicData>
            </a:graphic>
          </wp:inline>
        </w:drawing>
      </w:r>
    </w:p>
    <w:p w:rsidR="0075047D" w:rsidRPr="0075047D" w:rsidRDefault="0075047D" w:rsidP="0075047D">
      <w:pPr>
        <w:jc w:val="center"/>
        <w:rPr>
          <w:rFonts w:asciiTheme="majorBidi" w:hAnsiTheme="majorBidi" w:cstheme="majorBidi"/>
          <w:sz w:val="28"/>
          <w:szCs w:val="28"/>
        </w:rPr>
      </w:pPr>
      <w:r>
        <w:rPr>
          <w:b/>
          <w:bCs/>
          <w:sz w:val="23"/>
          <w:szCs w:val="23"/>
        </w:rPr>
        <w:t xml:space="preserve">Figure. 1: </w:t>
      </w:r>
      <w:r>
        <w:rPr>
          <w:sz w:val="23"/>
          <w:szCs w:val="23"/>
        </w:rPr>
        <w:t>Différents types de récepteurs membranaires.</w:t>
      </w:r>
    </w:p>
    <w:p w:rsidR="0075047D" w:rsidRDefault="0075047D" w:rsidP="00666E1F">
      <w:pPr>
        <w:tabs>
          <w:tab w:val="left" w:pos="5434"/>
        </w:tabs>
        <w:rPr>
          <w:rFonts w:asciiTheme="majorBidi" w:hAnsiTheme="majorBidi" w:cstheme="majorBidi"/>
          <w:b/>
          <w:bCs/>
          <w:sz w:val="32"/>
          <w:szCs w:val="32"/>
        </w:rPr>
      </w:pPr>
      <w:r w:rsidRPr="0075047D">
        <w:rPr>
          <w:rFonts w:asciiTheme="majorBidi" w:hAnsiTheme="majorBidi" w:cstheme="majorBidi"/>
          <w:b/>
          <w:bCs/>
          <w:sz w:val="32"/>
          <w:szCs w:val="32"/>
        </w:rPr>
        <w:t>II.1. Les récepteurs canaux-ioniques</w:t>
      </w:r>
    </w:p>
    <w:p w:rsidR="0012245E" w:rsidRDefault="0012245E" w:rsidP="001224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sont des protéines transmembranaires responsables des équilibres ioniques transmembranaires impliqués dans la </w:t>
      </w:r>
      <w:r w:rsidRPr="009B1E15">
        <w:rPr>
          <w:rFonts w:ascii="Times New Roman" w:hAnsi="Times New Roman" w:cs="Times New Roman"/>
          <w:b/>
          <w:bCs/>
          <w:sz w:val="24"/>
          <w:szCs w:val="24"/>
        </w:rPr>
        <w:t>transmission rapide</w:t>
      </w:r>
      <w:r>
        <w:rPr>
          <w:rFonts w:ascii="Times New Roman" w:hAnsi="Times New Roman" w:cs="Times New Roman"/>
          <w:sz w:val="24"/>
          <w:szCs w:val="24"/>
        </w:rPr>
        <w:t xml:space="preserve"> des signaux à travers la synapse entre deux cellules électriquement excitables comme les neurones ou les cellules musculaires.</w:t>
      </w:r>
    </w:p>
    <w:p w:rsidR="0012245E" w:rsidRDefault="0012245E" w:rsidP="001224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Ces récepteurs possèdent des sites de fixation du ligand avec une région d'ancrage hydrophobe dans la membrane délimité par les sous-unités.</w:t>
      </w:r>
    </w:p>
    <w:p w:rsidR="0012245E" w:rsidRDefault="0012245E" w:rsidP="001224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 type de transmission implique les neurotransmetteurs comme molécule informatives,</w:t>
      </w:r>
    </w:p>
    <w:p w:rsidR="0012245E" w:rsidRDefault="0012245E" w:rsidP="001224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exemple</w:t>
      </w:r>
      <w:proofErr w:type="gramEnd"/>
      <w:r>
        <w:rPr>
          <w:rFonts w:ascii="Times New Roman" w:hAnsi="Times New Roman" w:cs="Times New Roman"/>
          <w:sz w:val="24"/>
          <w:szCs w:val="24"/>
        </w:rPr>
        <w:t xml:space="preserve"> : ATP, glutamate, glycine, acétylcholine ou sérotonine).</w:t>
      </w:r>
    </w:p>
    <w:p w:rsidR="0012245E" w:rsidRPr="0077382E" w:rsidRDefault="0012245E" w:rsidP="0012245E">
      <w:pPr>
        <w:autoSpaceDE w:val="0"/>
        <w:autoSpaceDN w:val="0"/>
        <w:adjustRightInd w:val="0"/>
        <w:spacing w:after="0" w:line="360" w:lineRule="auto"/>
        <w:jc w:val="both"/>
        <w:rPr>
          <w:rFonts w:asciiTheme="majorBidi" w:hAnsiTheme="majorBidi" w:cstheme="majorBidi"/>
          <w:sz w:val="28"/>
          <w:szCs w:val="28"/>
        </w:rPr>
      </w:pPr>
      <w:r>
        <w:rPr>
          <w:rFonts w:ascii="Times New Roman" w:hAnsi="Times New Roman" w:cs="Times New Roman"/>
          <w:sz w:val="24"/>
          <w:szCs w:val="24"/>
        </w:rPr>
        <w:t xml:space="preserve">Passage de cations </w:t>
      </w:r>
      <w:r>
        <w:rPr>
          <w:rFonts w:ascii="TimesNewRomanPSMT" w:eastAsia="TimesNewRomanPSMT" w:hAnsi="Times New Roman" w:cs="TimesNewRomanPSMT" w:hint="eastAsia"/>
          <w:sz w:val="24"/>
          <w:szCs w:val="24"/>
        </w:rPr>
        <w:t>→</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 xml:space="preserve">Dépolarisation </w:t>
      </w:r>
      <w:r>
        <w:rPr>
          <w:rFonts w:ascii="TimesNewRomanPSMT" w:eastAsia="TimesNewRomanPSMT" w:hAnsi="Times New Roman" w:cs="TimesNewRomanPSMT" w:hint="eastAsia"/>
          <w:sz w:val="24"/>
          <w:szCs w:val="24"/>
        </w:rPr>
        <w:t>→</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Activation</w:t>
      </w:r>
      <w:r w:rsidR="0077382E">
        <w:rPr>
          <w:rFonts w:ascii="Times New Roman" w:hAnsi="Times New Roman" w:cs="Times New Roman"/>
          <w:sz w:val="24"/>
          <w:szCs w:val="24"/>
        </w:rPr>
        <w:t xml:space="preserve"> (ion </w:t>
      </w:r>
      <w:proofErr w:type="gramStart"/>
      <w:r w:rsidR="0077382E">
        <w:rPr>
          <w:rFonts w:ascii="Times New Roman" w:hAnsi="Times New Roman" w:cs="Times New Roman"/>
          <w:sz w:val="24"/>
          <w:szCs w:val="24"/>
        </w:rPr>
        <w:t>un</w:t>
      </w:r>
      <w:proofErr w:type="gramEnd"/>
      <w:r w:rsidR="0077382E">
        <w:rPr>
          <w:rFonts w:ascii="Times New Roman" w:hAnsi="Times New Roman" w:cs="Times New Roman"/>
          <w:sz w:val="24"/>
          <w:szCs w:val="24"/>
        </w:rPr>
        <w:t xml:space="preserve"> charge positive)  </w:t>
      </w:r>
      <w:r w:rsidR="0077382E" w:rsidRPr="0077382E">
        <w:rPr>
          <w:rFonts w:asciiTheme="majorBidi" w:hAnsiTheme="majorBidi" w:cstheme="majorBidi"/>
          <w:sz w:val="28"/>
          <w:szCs w:val="28"/>
        </w:rPr>
        <w:t>est un ion qui, ayant perdu un ou plusieurs électrons</w:t>
      </w:r>
    </w:p>
    <w:p w:rsidR="00666E1F" w:rsidRDefault="0012245E" w:rsidP="0077382E">
      <w:pPr>
        <w:tabs>
          <w:tab w:val="left" w:pos="5434"/>
        </w:tabs>
        <w:spacing w:line="360" w:lineRule="auto"/>
        <w:rPr>
          <w:rFonts w:asciiTheme="majorBidi" w:hAnsiTheme="majorBidi" w:cstheme="majorBidi"/>
          <w:sz w:val="28"/>
          <w:szCs w:val="28"/>
        </w:rPr>
      </w:pPr>
      <w:r w:rsidRPr="0077382E">
        <w:rPr>
          <w:rFonts w:asciiTheme="majorBidi" w:hAnsiTheme="majorBidi" w:cstheme="majorBidi"/>
          <w:sz w:val="28"/>
          <w:szCs w:val="28"/>
        </w:rPr>
        <w:t xml:space="preserve">Passage </w:t>
      </w:r>
      <w:r w:rsidRPr="0077382E">
        <w:rPr>
          <w:rFonts w:asciiTheme="majorBidi" w:eastAsia="TimesNewRomanPSMT" w:hAnsiTheme="majorBidi" w:cstheme="majorBidi"/>
          <w:sz w:val="28"/>
          <w:szCs w:val="28"/>
        </w:rPr>
        <w:t>d’</w:t>
      </w:r>
      <w:r w:rsidRPr="0077382E">
        <w:rPr>
          <w:rFonts w:asciiTheme="majorBidi" w:hAnsiTheme="majorBidi" w:cstheme="majorBidi"/>
          <w:sz w:val="28"/>
          <w:szCs w:val="28"/>
        </w:rPr>
        <w:t xml:space="preserve">anions </w:t>
      </w:r>
      <w:r w:rsidRPr="0077382E">
        <w:rPr>
          <w:rFonts w:asciiTheme="majorBidi" w:eastAsia="TimesNewRomanPSMT" w:hAnsiTheme="majorBidi" w:cstheme="majorBidi"/>
          <w:sz w:val="28"/>
          <w:szCs w:val="28"/>
        </w:rPr>
        <w:t xml:space="preserve">→ </w:t>
      </w:r>
      <w:r w:rsidRPr="0077382E">
        <w:rPr>
          <w:rFonts w:asciiTheme="majorBidi" w:hAnsiTheme="majorBidi" w:cstheme="majorBidi"/>
          <w:sz w:val="28"/>
          <w:szCs w:val="28"/>
        </w:rPr>
        <w:t xml:space="preserve">Polarisation </w:t>
      </w:r>
      <w:r w:rsidRPr="0077382E">
        <w:rPr>
          <w:rFonts w:asciiTheme="majorBidi" w:eastAsia="TimesNewRomanPSMT" w:hAnsiTheme="majorBidi" w:cstheme="majorBidi"/>
          <w:sz w:val="28"/>
          <w:szCs w:val="28"/>
        </w:rPr>
        <w:t xml:space="preserve">→ </w:t>
      </w:r>
      <w:r w:rsidRPr="0077382E">
        <w:rPr>
          <w:rFonts w:asciiTheme="majorBidi" w:hAnsiTheme="majorBidi" w:cstheme="majorBidi"/>
          <w:sz w:val="28"/>
          <w:szCs w:val="28"/>
        </w:rPr>
        <w:t>Inhibition</w:t>
      </w:r>
      <w:r w:rsidR="0077382E" w:rsidRPr="0077382E">
        <w:rPr>
          <w:rFonts w:asciiTheme="majorBidi" w:hAnsiTheme="majorBidi" w:cstheme="majorBidi"/>
          <w:sz w:val="28"/>
          <w:szCs w:val="28"/>
        </w:rPr>
        <w:t xml:space="preserve"> (ion   a </w:t>
      </w:r>
      <w:proofErr w:type="gramStart"/>
      <w:r w:rsidR="0077382E" w:rsidRPr="0077382E">
        <w:rPr>
          <w:rFonts w:asciiTheme="majorBidi" w:hAnsiTheme="majorBidi" w:cstheme="majorBidi"/>
          <w:sz w:val="28"/>
          <w:szCs w:val="28"/>
        </w:rPr>
        <w:t>un</w:t>
      </w:r>
      <w:proofErr w:type="gramEnd"/>
      <w:r w:rsidR="0077382E" w:rsidRPr="0077382E">
        <w:rPr>
          <w:rFonts w:asciiTheme="majorBidi" w:hAnsiTheme="majorBidi" w:cstheme="majorBidi"/>
          <w:sz w:val="28"/>
          <w:szCs w:val="28"/>
        </w:rPr>
        <w:t xml:space="preserve"> charge négative) </w:t>
      </w:r>
      <w:r w:rsidR="00666E1F" w:rsidRPr="0077382E">
        <w:rPr>
          <w:rFonts w:asciiTheme="majorBidi" w:hAnsiTheme="majorBidi" w:cstheme="majorBidi"/>
          <w:sz w:val="28"/>
          <w:szCs w:val="28"/>
        </w:rPr>
        <w:tab/>
      </w:r>
    </w:p>
    <w:p w:rsidR="0077382E" w:rsidRPr="0077382E" w:rsidRDefault="0077382E" w:rsidP="0077382E">
      <w:pPr>
        <w:pStyle w:val="Default"/>
        <w:spacing w:line="360" w:lineRule="auto"/>
        <w:jc w:val="both"/>
        <w:rPr>
          <w:rFonts w:asciiTheme="majorBidi" w:hAnsiTheme="majorBidi" w:cstheme="majorBidi"/>
          <w:sz w:val="28"/>
          <w:szCs w:val="28"/>
        </w:rPr>
      </w:pPr>
      <w:r w:rsidRPr="0077382E">
        <w:rPr>
          <w:rFonts w:asciiTheme="majorBidi" w:hAnsiTheme="majorBidi" w:cstheme="majorBidi"/>
          <w:b/>
          <w:bCs/>
          <w:sz w:val="28"/>
          <w:szCs w:val="28"/>
        </w:rPr>
        <w:t xml:space="preserve">II.1.1. Un récepteur activateur : le récepteur nicotinique de l'acétylcholine </w:t>
      </w:r>
    </w:p>
    <w:p w:rsidR="0077382E" w:rsidRDefault="0077382E" w:rsidP="0077382E">
      <w:pPr>
        <w:pStyle w:val="Default"/>
        <w:spacing w:line="360" w:lineRule="auto"/>
        <w:jc w:val="both"/>
        <w:rPr>
          <w:rFonts w:asciiTheme="majorBidi" w:hAnsiTheme="majorBidi" w:cstheme="majorBidi"/>
          <w:sz w:val="28"/>
          <w:szCs w:val="28"/>
        </w:rPr>
      </w:pPr>
      <w:r w:rsidRPr="0077382E">
        <w:rPr>
          <w:rFonts w:asciiTheme="majorBidi" w:hAnsiTheme="majorBidi" w:cstheme="majorBidi"/>
          <w:sz w:val="28"/>
          <w:szCs w:val="28"/>
        </w:rPr>
        <w:t xml:space="preserve">Il fonctionne par un canal cationique non sélectif faisant entrer Na+ et Ca2+ et laissant sortir K+. Il est </w:t>
      </w:r>
      <w:r w:rsidRPr="00DA247B">
        <w:rPr>
          <w:rFonts w:asciiTheme="majorBidi" w:hAnsiTheme="majorBidi" w:cstheme="majorBidi"/>
          <w:sz w:val="28"/>
          <w:szCs w:val="28"/>
        </w:rPr>
        <w:t>localisé sur les plaques motrices des jonctions, neuromusculaires</w:t>
      </w:r>
      <w:r w:rsidRPr="0077382E">
        <w:rPr>
          <w:rFonts w:asciiTheme="majorBidi" w:hAnsiTheme="majorBidi" w:cstheme="majorBidi"/>
          <w:sz w:val="28"/>
          <w:szCs w:val="28"/>
        </w:rPr>
        <w:t xml:space="preserve">. Son agoniste </w:t>
      </w:r>
      <w:r>
        <w:rPr>
          <w:rFonts w:asciiTheme="majorBidi" w:hAnsiTheme="majorBidi" w:cstheme="majorBidi"/>
          <w:sz w:val="28"/>
          <w:szCs w:val="28"/>
        </w:rPr>
        <w:t xml:space="preserve"> </w:t>
      </w:r>
      <w:r w:rsidRPr="0077382E">
        <w:rPr>
          <w:rFonts w:asciiTheme="majorBidi" w:hAnsiTheme="majorBidi" w:cstheme="majorBidi"/>
          <w:sz w:val="28"/>
          <w:szCs w:val="28"/>
        </w:rPr>
        <w:t xml:space="preserve">est la nicotine, son antagoniste est le curare. Il comporte 5 sous-unités protéiques </w:t>
      </w:r>
      <w:proofErr w:type="gramStart"/>
      <w:r w:rsidRPr="0077382E">
        <w:rPr>
          <w:rFonts w:asciiTheme="majorBidi" w:hAnsiTheme="majorBidi" w:cstheme="majorBidi"/>
          <w:sz w:val="28"/>
          <w:szCs w:val="28"/>
        </w:rPr>
        <w:t>différente</w:t>
      </w:r>
      <w:proofErr w:type="gramEnd"/>
      <w:r w:rsidRPr="0077382E">
        <w:rPr>
          <w:rFonts w:asciiTheme="majorBidi" w:hAnsiTheme="majorBidi" w:cstheme="majorBidi"/>
          <w:sz w:val="28"/>
          <w:szCs w:val="28"/>
        </w:rPr>
        <w:t xml:space="preserve"> s possédant chacune 4 segments transmembranaires. Ces sous-unités sont : 2 α, une β, une δ, une ε. Les parties COOH et NH2 6</w:t>
      </w:r>
    </w:p>
    <w:p w:rsidR="0077382E" w:rsidRDefault="0077382E" w:rsidP="0077382E">
      <w:pPr>
        <w:pStyle w:val="Default"/>
        <w:spacing w:line="360" w:lineRule="auto"/>
        <w:jc w:val="both"/>
        <w:rPr>
          <w:sz w:val="28"/>
          <w:szCs w:val="28"/>
        </w:rPr>
      </w:pPr>
      <w:proofErr w:type="gramStart"/>
      <w:r w:rsidRPr="0077382E">
        <w:rPr>
          <w:sz w:val="28"/>
          <w:szCs w:val="28"/>
        </w:rPr>
        <w:t>des</w:t>
      </w:r>
      <w:proofErr w:type="gramEnd"/>
      <w:r w:rsidRPr="0077382E">
        <w:rPr>
          <w:sz w:val="28"/>
          <w:szCs w:val="28"/>
        </w:rPr>
        <w:t xml:space="preserve"> sous-unités α sont extracellulaires. Ce sont les sous-unités α qui comportent </w:t>
      </w:r>
      <w:r w:rsidRPr="00DA247B">
        <w:rPr>
          <w:b/>
          <w:bCs/>
          <w:sz w:val="28"/>
          <w:szCs w:val="28"/>
        </w:rPr>
        <w:t>les sites de liaison de l'acétylcholine</w:t>
      </w:r>
      <w:r w:rsidRPr="0077382E">
        <w:rPr>
          <w:sz w:val="28"/>
          <w:szCs w:val="28"/>
        </w:rPr>
        <w:t xml:space="preserve"> (Fig. 8).</w:t>
      </w:r>
    </w:p>
    <w:p w:rsidR="0077382E" w:rsidRDefault="0077382E" w:rsidP="0077382E">
      <w:pPr>
        <w:pStyle w:val="Default"/>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4682066" cy="3538348"/>
            <wp:effectExtent l="19050" t="0" r="423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687553" cy="3542494"/>
                    </a:xfrm>
                    <a:prstGeom prst="rect">
                      <a:avLst/>
                    </a:prstGeom>
                    <a:noFill/>
                    <a:ln w="9525">
                      <a:noFill/>
                      <a:miter lim="800000"/>
                      <a:headEnd/>
                      <a:tailEnd/>
                    </a:ln>
                  </pic:spPr>
                </pic:pic>
              </a:graphicData>
            </a:graphic>
          </wp:inline>
        </w:drawing>
      </w:r>
    </w:p>
    <w:p w:rsidR="00E50C38" w:rsidRDefault="00E50C38" w:rsidP="00E50C38">
      <w:pPr>
        <w:pStyle w:val="Default"/>
        <w:spacing w:line="360" w:lineRule="auto"/>
        <w:jc w:val="center"/>
        <w:rPr>
          <w:sz w:val="23"/>
          <w:szCs w:val="23"/>
        </w:rPr>
      </w:pPr>
      <w:r>
        <w:rPr>
          <w:b/>
          <w:bCs/>
          <w:sz w:val="23"/>
          <w:szCs w:val="23"/>
        </w:rPr>
        <w:t xml:space="preserve">Figure. 2: </w:t>
      </w:r>
      <w:r>
        <w:rPr>
          <w:sz w:val="23"/>
          <w:szCs w:val="23"/>
        </w:rPr>
        <w:t>Récepteur nicotinique de l'acétylcholine</w:t>
      </w:r>
    </w:p>
    <w:p w:rsidR="00AE1B0B" w:rsidRPr="00AE1B0B" w:rsidRDefault="00AE1B0B" w:rsidP="00AE1B0B">
      <w:pPr>
        <w:autoSpaceDE w:val="0"/>
        <w:autoSpaceDN w:val="0"/>
        <w:adjustRightInd w:val="0"/>
        <w:spacing w:after="0" w:line="240" w:lineRule="auto"/>
        <w:jc w:val="both"/>
        <w:rPr>
          <w:rFonts w:asciiTheme="majorBidi" w:hAnsiTheme="majorBidi" w:cstheme="majorBidi"/>
          <w:b/>
          <w:bCs/>
          <w:sz w:val="28"/>
          <w:szCs w:val="28"/>
        </w:rPr>
      </w:pPr>
      <w:r w:rsidRPr="00AE1B0B">
        <w:rPr>
          <w:rFonts w:asciiTheme="majorBidi" w:hAnsiTheme="majorBidi" w:cstheme="majorBidi"/>
          <w:b/>
          <w:bCs/>
          <w:sz w:val="28"/>
          <w:szCs w:val="28"/>
        </w:rPr>
        <w:t>I.1.2. Récepteur anionique inhibiteur : le récepteur du GABA</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eastAsia="TimesNewRomanPSMT" w:hAnsiTheme="majorBidi" w:cstheme="majorBidi"/>
          <w:sz w:val="28"/>
          <w:szCs w:val="28"/>
        </w:rPr>
        <w:t>C’</w:t>
      </w:r>
      <w:r w:rsidRPr="00AE1B0B">
        <w:rPr>
          <w:rFonts w:asciiTheme="majorBidi" w:hAnsiTheme="majorBidi" w:cstheme="majorBidi"/>
          <w:sz w:val="28"/>
          <w:szCs w:val="28"/>
        </w:rPr>
        <w:t xml:space="preserve">est un canal </w:t>
      </w:r>
      <w:r w:rsidRPr="00AE1B0B">
        <w:rPr>
          <w:rFonts w:asciiTheme="majorBidi" w:hAnsiTheme="majorBidi" w:cstheme="majorBidi"/>
          <w:b/>
          <w:bCs/>
          <w:sz w:val="28"/>
          <w:szCs w:val="28"/>
        </w:rPr>
        <w:t xml:space="preserve">anionique sélectif </w:t>
      </w:r>
      <w:r w:rsidRPr="00AE1B0B">
        <w:rPr>
          <w:rFonts w:asciiTheme="majorBidi" w:hAnsiTheme="majorBidi" w:cstheme="majorBidi"/>
          <w:sz w:val="28"/>
          <w:szCs w:val="28"/>
        </w:rPr>
        <w:t>qui fait entrer le Cl-.</w:t>
      </w:r>
    </w:p>
    <w:p w:rsidR="00AE1B0B" w:rsidRPr="00AE1B0B" w:rsidRDefault="00AE1B0B" w:rsidP="00AE1B0B">
      <w:pPr>
        <w:autoSpaceDE w:val="0"/>
        <w:autoSpaceDN w:val="0"/>
        <w:adjustRightInd w:val="0"/>
        <w:spacing w:after="0" w:line="240" w:lineRule="auto"/>
        <w:jc w:val="both"/>
        <w:rPr>
          <w:rFonts w:asciiTheme="majorBidi" w:eastAsia="TimesNewRomanPSMT"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eastAsia="TimesNewRomanPSMT" w:hAnsiTheme="majorBidi" w:cstheme="majorBidi"/>
          <w:sz w:val="28"/>
          <w:szCs w:val="28"/>
        </w:rPr>
        <w:t>La fixation du GABA sur son site de reconnaissance provoque l’ouverture d’un canal</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proofErr w:type="gramStart"/>
      <w:r w:rsidRPr="00AE1B0B">
        <w:rPr>
          <w:rFonts w:asciiTheme="majorBidi" w:hAnsiTheme="majorBidi" w:cstheme="majorBidi"/>
          <w:sz w:val="28"/>
          <w:szCs w:val="28"/>
        </w:rPr>
        <w:lastRenderedPageBreak/>
        <w:t>chlore</w:t>
      </w:r>
      <w:proofErr w:type="gramEnd"/>
      <w:r w:rsidRPr="00AE1B0B">
        <w:rPr>
          <w:rFonts w:asciiTheme="majorBidi" w:hAnsiTheme="majorBidi" w:cstheme="majorBidi"/>
          <w:sz w:val="28"/>
          <w:szCs w:val="28"/>
        </w:rPr>
        <w:t xml:space="preserve"> (Cl-) qui laisse entrer les ions Cl- </w:t>
      </w:r>
      <w:r w:rsidRPr="00AE1B0B">
        <w:rPr>
          <w:rFonts w:asciiTheme="majorBidi" w:eastAsia="TimesNewRomanPSMT" w:hAnsiTheme="majorBidi" w:cstheme="majorBidi"/>
          <w:sz w:val="28"/>
          <w:szCs w:val="28"/>
        </w:rPr>
        <w:t>et produit l’hyperpolarisation de l</w:t>
      </w:r>
      <w:r w:rsidRPr="00AE1B0B">
        <w:rPr>
          <w:rFonts w:asciiTheme="majorBidi" w:hAnsiTheme="majorBidi" w:cstheme="majorBidi"/>
          <w:sz w:val="28"/>
          <w:szCs w:val="28"/>
        </w:rPr>
        <w:t>a cellule cible.</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hAnsiTheme="majorBidi" w:cstheme="majorBidi"/>
          <w:sz w:val="28"/>
          <w:szCs w:val="28"/>
        </w:rPr>
        <w:t>Il est exprimé au niveau du SNC.</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hAnsiTheme="majorBidi" w:cstheme="majorBidi"/>
          <w:sz w:val="28"/>
          <w:szCs w:val="28"/>
        </w:rPr>
        <w:t>Ses agonistes sont les benzodiazépines dont le valium.</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hAnsiTheme="majorBidi" w:cstheme="majorBidi"/>
          <w:sz w:val="28"/>
          <w:szCs w:val="28"/>
        </w:rPr>
        <w:t>La plupart des benzodiazépines (BZD) favorisent</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proofErr w:type="gramStart"/>
      <w:r w:rsidRPr="00AE1B0B">
        <w:rPr>
          <w:rFonts w:asciiTheme="majorBidi" w:hAnsiTheme="majorBidi" w:cstheme="majorBidi"/>
          <w:sz w:val="28"/>
          <w:szCs w:val="28"/>
        </w:rPr>
        <w:t>l'ouverture</w:t>
      </w:r>
      <w:proofErr w:type="gramEnd"/>
      <w:r w:rsidRPr="00AE1B0B">
        <w:rPr>
          <w:rFonts w:asciiTheme="majorBidi" w:hAnsiTheme="majorBidi" w:cstheme="majorBidi"/>
          <w:sz w:val="28"/>
          <w:szCs w:val="28"/>
        </w:rPr>
        <w:t xml:space="preserve"> du canal Cl- par le GABA et ont donc un effet</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proofErr w:type="gramStart"/>
      <w:r w:rsidRPr="00AE1B0B">
        <w:rPr>
          <w:rFonts w:asciiTheme="majorBidi" w:hAnsiTheme="majorBidi" w:cstheme="majorBidi"/>
          <w:sz w:val="28"/>
          <w:szCs w:val="28"/>
        </w:rPr>
        <w:t>inhibiteur</w:t>
      </w:r>
      <w:proofErr w:type="gramEnd"/>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r w:rsidRPr="00AE1B0B">
        <w:rPr>
          <w:rFonts w:asciiTheme="majorBidi" w:eastAsia="SymbolMT" w:hAnsiTheme="majorBidi" w:cstheme="majorBidi"/>
          <w:sz w:val="28"/>
          <w:szCs w:val="28"/>
        </w:rPr>
        <w:t xml:space="preserve">• </w:t>
      </w:r>
      <w:r w:rsidRPr="00AE1B0B">
        <w:rPr>
          <w:rFonts w:asciiTheme="majorBidi" w:hAnsiTheme="majorBidi" w:cstheme="majorBidi"/>
          <w:sz w:val="28"/>
          <w:szCs w:val="28"/>
        </w:rPr>
        <w:t>La structure de base est proche de celle du récepteur</w:t>
      </w:r>
    </w:p>
    <w:p w:rsidR="00AE1B0B" w:rsidRPr="00AE1B0B" w:rsidRDefault="00AE1B0B" w:rsidP="00AE1B0B">
      <w:pPr>
        <w:autoSpaceDE w:val="0"/>
        <w:autoSpaceDN w:val="0"/>
        <w:adjustRightInd w:val="0"/>
        <w:spacing w:after="0" w:line="240" w:lineRule="auto"/>
        <w:jc w:val="both"/>
        <w:rPr>
          <w:rFonts w:asciiTheme="majorBidi" w:hAnsiTheme="majorBidi" w:cstheme="majorBidi"/>
          <w:sz w:val="28"/>
          <w:szCs w:val="28"/>
        </w:rPr>
      </w:pPr>
      <w:proofErr w:type="gramStart"/>
      <w:r w:rsidRPr="00AE1B0B">
        <w:rPr>
          <w:rFonts w:asciiTheme="majorBidi" w:hAnsiTheme="majorBidi" w:cstheme="majorBidi"/>
          <w:sz w:val="28"/>
          <w:szCs w:val="28"/>
        </w:rPr>
        <w:t>nicotinique</w:t>
      </w:r>
      <w:proofErr w:type="gramEnd"/>
      <w:r w:rsidRPr="00AE1B0B">
        <w:rPr>
          <w:rFonts w:asciiTheme="majorBidi" w:hAnsiTheme="majorBidi" w:cstheme="majorBidi"/>
          <w:sz w:val="28"/>
          <w:szCs w:val="28"/>
        </w:rPr>
        <w:t xml:space="preserve"> : cinq sous-unités protéiques, chacune</w:t>
      </w:r>
    </w:p>
    <w:p w:rsidR="00E50C38" w:rsidRDefault="00AE1B0B" w:rsidP="00AE1B0B">
      <w:pPr>
        <w:pStyle w:val="Default"/>
        <w:spacing w:line="360" w:lineRule="auto"/>
        <w:jc w:val="both"/>
        <w:rPr>
          <w:rFonts w:asciiTheme="majorBidi" w:hAnsiTheme="majorBidi" w:cstheme="majorBidi"/>
          <w:sz w:val="28"/>
          <w:szCs w:val="28"/>
        </w:rPr>
      </w:pPr>
      <w:proofErr w:type="gramStart"/>
      <w:r w:rsidRPr="00AE1B0B">
        <w:rPr>
          <w:rFonts w:asciiTheme="majorBidi" w:hAnsiTheme="majorBidi" w:cstheme="majorBidi"/>
          <w:sz w:val="28"/>
          <w:szCs w:val="28"/>
        </w:rPr>
        <w:t>présentant</w:t>
      </w:r>
      <w:proofErr w:type="gramEnd"/>
      <w:r w:rsidRPr="00AE1B0B">
        <w:rPr>
          <w:rFonts w:asciiTheme="majorBidi" w:hAnsiTheme="majorBidi" w:cstheme="majorBidi"/>
          <w:sz w:val="28"/>
          <w:szCs w:val="28"/>
        </w:rPr>
        <w:t xml:space="preserve"> 4 segments transmembranaires (M1 à M4).</w:t>
      </w:r>
    </w:p>
    <w:p w:rsidR="00114AD0" w:rsidRDefault="00114AD0" w:rsidP="00114AD0">
      <w:pPr>
        <w:pStyle w:val="Default"/>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582545" cy="2667000"/>
            <wp:effectExtent l="1905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582545" cy="2667000"/>
                    </a:xfrm>
                    <a:prstGeom prst="rect">
                      <a:avLst/>
                    </a:prstGeom>
                    <a:noFill/>
                    <a:ln w="9525">
                      <a:noFill/>
                      <a:miter lim="800000"/>
                      <a:headEnd/>
                      <a:tailEnd/>
                    </a:ln>
                  </pic:spPr>
                </pic:pic>
              </a:graphicData>
            </a:graphic>
          </wp:inline>
        </w:drawing>
      </w:r>
    </w:p>
    <w:p w:rsidR="00114AD0" w:rsidRPr="00114AD0" w:rsidRDefault="00114AD0" w:rsidP="00114AD0">
      <w:pPr>
        <w:autoSpaceDE w:val="0"/>
        <w:autoSpaceDN w:val="0"/>
        <w:adjustRightInd w:val="0"/>
        <w:spacing w:after="0" w:line="240" w:lineRule="auto"/>
        <w:rPr>
          <w:rFonts w:asciiTheme="majorBidi" w:eastAsia="SymbolMT" w:hAnsiTheme="majorBidi" w:cstheme="majorBidi"/>
          <w:sz w:val="28"/>
          <w:szCs w:val="28"/>
        </w:rPr>
      </w:pPr>
      <w:r w:rsidRPr="00114AD0">
        <w:rPr>
          <w:rFonts w:asciiTheme="majorBidi" w:eastAsia="SymbolMT" w:hAnsiTheme="majorBidi" w:cstheme="majorBidi"/>
          <w:sz w:val="28"/>
          <w:szCs w:val="28"/>
        </w:rPr>
        <w:t>• Il existe plusieurs types de récepteurs GABA, qui se diffèrent par leurs sous-unités (sept</w:t>
      </w:r>
      <w:r>
        <w:rPr>
          <w:rFonts w:asciiTheme="majorBidi" w:eastAsia="SymbolMT" w:hAnsiTheme="majorBidi" w:cstheme="majorBidi"/>
          <w:sz w:val="28"/>
          <w:szCs w:val="28"/>
        </w:rPr>
        <w:t xml:space="preserve"> </w:t>
      </w:r>
      <w:r w:rsidRPr="00114AD0">
        <w:rPr>
          <w:rFonts w:asciiTheme="majorBidi" w:eastAsia="SymbolMT" w:hAnsiTheme="majorBidi" w:cstheme="majorBidi"/>
          <w:sz w:val="28"/>
          <w:szCs w:val="28"/>
        </w:rPr>
        <w:t xml:space="preserve">types de sous-unités sont possibles : </w:t>
      </w:r>
      <w:r w:rsidRPr="00114AD0">
        <w:rPr>
          <w:rFonts w:asciiTheme="majorBidi" w:eastAsia="TimesNewRomanPSMT" w:hAnsiTheme="majorBidi" w:cstheme="majorBidi"/>
          <w:sz w:val="28"/>
          <w:szCs w:val="28"/>
        </w:rPr>
        <w:t>α</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β</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γ</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δ</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π</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ρ</w:t>
      </w:r>
      <w:r w:rsidRPr="00114AD0">
        <w:rPr>
          <w:rFonts w:asciiTheme="majorBidi" w:eastAsia="SymbolMT" w:hAnsiTheme="majorBidi" w:cstheme="majorBidi"/>
          <w:sz w:val="28"/>
          <w:szCs w:val="28"/>
        </w:rPr>
        <w:t xml:space="preserve">, </w:t>
      </w:r>
      <w:r w:rsidRPr="00114AD0">
        <w:rPr>
          <w:rFonts w:asciiTheme="majorBidi" w:eastAsia="TimesNewRomanPSMT" w:hAnsiTheme="majorBidi" w:cstheme="majorBidi"/>
          <w:sz w:val="28"/>
          <w:szCs w:val="28"/>
        </w:rPr>
        <w:t>ε</w:t>
      </w:r>
      <w:r w:rsidRPr="00114AD0">
        <w:rPr>
          <w:rFonts w:asciiTheme="majorBidi" w:eastAsia="SymbolMT" w:hAnsiTheme="majorBidi" w:cstheme="majorBidi"/>
          <w:sz w:val="28"/>
          <w:szCs w:val="28"/>
        </w:rPr>
        <w:t>)</w:t>
      </w:r>
    </w:p>
    <w:p w:rsidR="00114AD0" w:rsidRDefault="00114AD0" w:rsidP="00114AD0">
      <w:pPr>
        <w:pStyle w:val="Default"/>
        <w:spacing w:line="360" w:lineRule="auto"/>
        <w:rPr>
          <w:rFonts w:asciiTheme="majorBidi" w:hAnsiTheme="majorBidi" w:cstheme="majorBidi"/>
          <w:sz w:val="28"/>
          <w:szCs w:val="28"/>
        </w:rPr>
      </w:pPr>
    </w:p>
    <w:p w:rsidR="00114AD0" w:rsidRDefault="00114AD0" w:rsidP="00114AD0">
      <w:pPr>
        <w:pStyle w:val="Default"/>
        <w:spacing w:line="360" w:lineRule="auto"/>
        <w:rPr>
          <w:rFonts w:asciiTheme="majorBidi" w:hAnsiTheme="majorBidi" w:cstheme="majorBidi"/>
          <w:sz w:val="28"/>
          <w:szCs w:val="28"/>
        </w:rPr>
      </w:pPr>
    </w:p>
    <w:p w:rsidR="00114AD0" w:rsidRDefault="00114AD0" w:rsidP="00114AD0">
      <w:pPr>
        <w:pStyle w:val="Default"/>
        <w:spacing w:line="360" w:lineRule="auto"/>
        <w:rPr>
          <w:rFonts w:asciiTheme="majorBidi" w:hAnsiTheme="majorBidi" w:cstheme="majorBidi"/>
          <w:sz w:val="28"/>
          <w:szCs w:val="28"/>
        </w:rPr>
      </w:pPr>
      <w:r>
        <w:rPr>
          <w:b/>
          <w:bCs/>
          <w:sz w:val="23"/>
          <w:szCs w:val="23"/>
        </w:rPr>
        <w:t>II.1.2. Les récepteurs enzymes</w:t>
      </w:r>
    </w:p>
    <w:p w:rsidR="00114AD0" w:rsidRDefault="00114AD0" w:rsidP="00114AD0">
      <w:pPr>
        <w:pStyle w:val="Default"/>
        <w:spacing w:line="360" w:lineRule="auto"/>
        <w:jc w:val="both"/>
        <w:rPr>
          <w:sz w:val="23"/>
          <w:szCs w:val="23"/>
        </w:rPr>
      </w:pPr>
      <w:r>
        <w:rPr>
          <w:sz w:val="23"/>
          <w:szCs w:val="23"/>
        </w:rPr>
        <w:t xml:space="preserve">Ces protéines transmembranaires existent sous forme de monomères, dimères, tétramères. Ils possèdent un seul domaine transmembranaire. Le NH2 sera dans la partie réceptrice extracellulaire et le COOH sera dans la partie intracellulaire. Ils possèdent une double fonction de reconnaissance du signal et d'effecteur. Leur domaine </w:t>
      </w:r>
      <w:proofErr w:type="spellStart"/>
      <w:r>
        <w:rPr>
          <w:sz w:val="23"/>
          <w:szCs w:val="23"/>
        </w:rPr>
        <w:t>cytosolique</w:t>
      </w:r>
      <w:proofErr w:type="spellEnd"/>
      <w:r>
        <w:rPr>
          <w:sz w:val="23"/>
          <w:szCs w:val="23"/>
        </w:rPr>
        <w:t xml:space="preserve"> possède une activité enzymatique intrinsèque, qui induit une cascade de phosphorylations de protéines membranaires ou </w:t>
      </w:r>
      <w:proofErr w:type="spellStart"/>
      <w:r>
        <w:rPr>
          <w:sz w:val="23"/>
          <w:szCs w:val="23"/>
        </w:rPr>
        <w:t>cytosoliques</w:t>
      </w:r>
      <w:proofErr w:type="spellEnd"/>
      <w:r>
        <w:rPr>
          <w:sz w:val="23"/>
          <w:szCs w:val="23"/>
        </w:rPr>
        <w:t>. Selon l'activité enzymatique de leur région cellulaire, trois familles se distinguent :</w:t>
      </w:r>
    </w:p>
    <w:p w:rsidR="00114AD0" w:rsidRPr="00114AD0" w:rsidRDefault="00114AD0" w:rsidP="00114AD0">
      <w:pPr>
        <w:pStyle w:val="Default"/>
        <w:rPr>
          <w:sz w:val="28"/>
          <w:szCs w:val="28"/>
        </w:rPr>
      </w:pPr>
      <w:proofErr w:type="gramStart"/>
      <w:r w:rsidRPr="00114AD0">
        <w:rPr>
          <w:sz w:val="28"/>
          <w:szCs w:val="28"/>
        </w:rPr>
        <w:t>récepteurs</w:t>
      </w:r>
      <w:proofErr w:type="gramEnd"/>
      <w:r w:rsidRPr="00114AD0">
        <w:rPr>
          <w:sz w:val="28"/>
          <w:szCs w:val="28"/>
        </w:rPr>
        <w:t xml:space="preserve"> à activité </w:t>
      </w:r>
      <w:r w:rsidRPr="00114AD0">
        <w:rPr>
          <w:b/>
          <w:bCs/>
          <w:sz w:val="28"/>
          <w:szCs w:val="28"/>
        </w:rPr>
        <w:t>tyrosine kinase</w:t>
      </w:r>
      <w:r w:rsidRPr="00114AD0">
        <w:rPr>
          <w:sz w:val="28"/>
          <w:szCs w:val="28"/>
        </w:rPr>
        <w:t xml:space="preserve">, </w:t>
      </w:r>
    </w:p>
    <w:p w:rsidR="00114AD0" w:rsidRPr="00114AD0" w:rsidRDefault="00114AD0" w:rsidP="00114AD0">
      <w:pPr>
        <w:pStyle w:val="Default"/>
        <w:rPr>
          <w:sz w:val="28"/>
          <w:szCs w:val="28"/>
        </w:rPr>
      </w:pPr>
      <w:proofErr w:type="gramStart"/>
      <w:r w:rsidRPr="00114AD0">
        <w:rPr>
          <w:sz w:val="28"/>
          <w:szCs w:val="28"/>
        </w:rPr>
        <w:t>récepteurs</w:t>
      </w:r>
      <w:proofErr w:type="gramEnd"/>
      <w:r w:rsidRPr="00114AD0">
        <w:rPr>
          <w:sz w:val="28"/>
          <w:szCs w:val="28"/>
        </w:rPr>
        <w:t xml:space="preserve"> à activité </w:t>
      </w:r>
      <w:r w:rsidRPr="00114AD0">
        <w:rPr>
          <w:b/>
          <w:bCs/>
          <w:sz w:val="28"/>
          <w:szCs w:val="28"/>
        </w:rPr>
        <w:t>sérine-thréonine kinase</w:t>
      </w:r>
      <w:r w:rsidRPr="00114AD0">
        <w:rPr>
          <w:sz w:val="28"/>
          <w:szCs w:val="28"/>
        </w:rPr>
        <w:t xml:space="preserve">, </w:t>
      </w:r>
    </w:p>
    <w:p w:rsidR="00114AD0" w:rsidRDefault="00114AD0" w:rsidP="00114AD0">
      <w:pPr>
        <w:pStyle w:val="Default"/>
        <w:spacing w:line="360" w:lineRule="auto"/>
        <w:jc w:val="both"/>
        <w:rPr>
          <w:sz w:val="28"/>
          <w:szCs w:val="28"/>
        </w:rPr>
      </w:pPr>
      <w:proofErr w:type="gramStart"/>
      <w:r w:rsidRPr="00114AD0">
        <w:rPr>
          <w:sz w:val="28"/>
          <w:szCs w:val="28"/>
        </w:rPr>
        <w:t>récepteurs</w:t>
      </w:r>
      <w:proofErr w:type="gramEnd"/>
      <w:r w:rsidRPr="00114AD0">
        <w:rPr>
          <w:sz w:val="28"/>
          <w:szCs w:val="28"/>
        </w:rPr>
        <w:t xml:space="preserve"> à activité </w:t>
      </w:r>
      <w:proofErr w:type="spellStart"/>
      <w:r w:rsidRPr="00114AD0">
        <w:rPr>
          <w:b/>
          <w:bCs/>
          <w:sz w:val="28"/>
          <w:szCs w:val="28"/>
        </w:rPr>
        <w:t>guanylate</w:t>
      </w:r>
      <w:proofErr w:type="spellEnd"/>
      <w:r w:rsidRPr="00114AD0">
        <w:rPr>
          <w:b/>
          <w:bCs/>
          <w:sz w:val="28"/>
          <w:szCs w:val="28"/>
        </w:rPr>
        <w:t xml:space="preserve"> </w:t>
      </w:r>
      <w:proofErr w:type="spellStart"/>
      <w:r w:rsidRPr="00114AD0">
        <w:rPr>
          <w:b/>
          <w:bCs/>
          <w:sz w:val="28"/>
          <w:szCs w:val="28"/>
        </w:rPr>
        <w:t>cyclase</w:t>
      </w:r>
      <w:proofErr w:type="spellEnd"/>
      <w:r w:rsidRPr="00114AD0">
        <w:rPr>
          <w:sz w:val="28"/>
          <w:szCs w:val="28"/>
        </w:rPr>
        <w:t>.</w:t>
      </w:r>
    </w:p>
    <w:p w:rsidR="00114AD0" w:rsidRDefault="00114AD0" w:rsidP="00114AD0">
      <w:pPr>
        <w:pStyle w:val="Default"/>
        <w:spacing w:line="360" w:lineRule="auto"/>
        <w:jc w:val="both"/>
        <w:rPr>
          <w:b/>
          <w:bCs/>
          <w:sz w:val="23"/>
          <w:szCs w:val="23"/>
        </w:rPr>
      </w:pPr>
    </w:p>
    <w:p w:rsidR="00114AD0" w:rsidRPr="00CF1834" w:rsidRDefault="00114AD0" w:rsidP="00114AD0">
      <w:pPr>
        <w:pStyle w:val="Default"/>
        <w:spacing w:line="360" w:lineRule="auto"/>
        <w:jc w:val="both"/>
        <w:rPr>
          <w:b/>
          <w:bCs/>
          <w:sz w:val="32"/>
          <w:szCs w:val="32"/>
        </w:rPr>
      </w:pPr>
      <w:r w:rsidRPr="00CF1834">
        <w:rPr>
          <w:b/>
          <w:bCs/>
          <w:sz w:val="32"/>
          <w:szCs w:val="32"/>
        </w:rPr>
        <w:lastRenderedPageBreak/>
        <w:t>II.1.2.1. Récepteurs à activité tyrosine kinase</w:t>
      </w:r>
    </w:p>
    <w:p w:rsidR="00114AD0" w:rsidRDefault="00114AD0" w:rsidP="00114AD0">
      <w:pPr>
        <w:pStyle w:val="Default"/>
        <w:spacing w:line="360" w:lineRule="auto"/>
        <w:jc w:val="both"/>
        <w:rPr>
          <w:sz w:val="23"/>
          <w:szCs w:val="23"/>
        </w:rPr>
      </w:pPr>
      <w:r>
        <w:rPr>
          <w:sz w:val="23"/>
          <w:szCs w:val="23"/>
        </w:rPr>
        <w:t xml:space="preserve">Deux exemples sont à </w:t>
      </w:r>
      <w:proofErr w:type="spellStart"/>
      <w:r>
        <w:rPr>
          <w:sz w:val="23"/>
          <w:szCs w:val="23"/>
        </w:rPr>
        <w:t>connaitre</w:t>
      </w:r>
      <w:proofErr w:type="spellEnd"/>
      <w:r>
        <w:rPr>
          <w:sz w:val="23"/>
          <w:szCs w:val="23"/>
        </w:rPr>
        <w:t xml:space="preserve"> : le </w:t>
      </w:r>
      <w:r>
        <w:rPr>
          <w:b/>
          <w:bCs/>
          <w:sz w:val="23"/>
          <w:szCs w:val="23"/>
        </w:rPr>
        <w:t xml:space="preserve">récepteur de plusieurs facteurs de croissance </w:t>
      </w:r>
      <w:r>
        <w:rPr>
          <w:sz w:val="23"/>
          <w:szCs w:val="23"/>
        </w:rPr>
        <w:t xml:space="preserve">et le </w:t>
      </w:r>
      <w:r>
        <w:rPr>
          <w:b/>
          <w:bCs/>
          <w:sz w:val="23"/>
          <w:szCs w:val="23"/>
        </w:rPr>
        <w:t xml:space="preserve">récepteur de l'insuline </w:t>
      </w:r>
      <w:r>
        <w:rPr>
          <w:sz w:val="23"/>
          <w:szCs w:val="23"/>
        </w:rPr>
        <w:t xml:space="preserve">(et donc également ceux de l'IGF : </w:t>
      </w:r>
      <w:proofErr w:type="spellStart"/>
      <w:r>
        <w:rPr>
          <w:b/>
          <w:bCs/>
          <w:sz w:val="23"/>
          <w:szCs w:val="23"/>
        </w:rPr>
        <w:t>insulin</w:t>
      </w:r>
      <w:proofErr w:type="spellEnd"/>
      <w:r>
        <w:rPr>
          <w:b/>
          <w:bCs/>
          <w:sz w:val="23"/>
          <w:szCs w:val="23"/>
        </w:rPr>
        <w:t>-</w:t>
      </w:r>
      <w:proofErr w:type="spellStart"/>
      <w:r>
        <w:rPr>
          <w:b/>
          <w:bCs/>
          <w:sz w:val="23"/>
          <w:szCs w:val="23"/>
        </w:rPr>
        <w:t>like</w:t>
      </w:r>
      <w:proofErr w:type="spellEnd"/>
      <w:r>
        <w:rPr>
          <w:b/>
          <w:bCs/>
          <w:sz w:val="23"/>
          <w:szCs w:val="23"/>
        </w:rPr>
        <w:t xml:space="preserve"> </w:t>
      </w:r>
      <w:proofErr w:type="spellStart"/>
      <w:r>
        <w:rPr>
          <w:b/>
          <w:bCs/>
          <w:sz w:val="23"/>
          <w:szCs w:val="23"/>
        </w:rPr>
        <w:t>growth</w:t>
      </w:r>
      <w:proofErr w:type="spellEnd"/>
      <w:r>
        <w:rPr>
          <w:b/>
          <w:bCs/>
          <w:sz w:val="23"/>
          <w:szCs w:val="23"/>
        </w:rPr>
        <w:t xml:space="preserve"> factor</w:t>
      </w:r>
      <w:r>
        <w:rPr>
          <w:sz w:val="23"/>
          <w:szCs w:val="23"/>
        </w:rPr>
        <w:t>)</w:t>
      </w:r>
    </w:p>
    <w:p w:rsidR="00671610" w:rsidRDefault="00671610" w:rsidP="00671610">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fibroblastes</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FGF</w:t>
      </w:r>
      <w:r>
        <w:rPr>
          <w:rFonts w:ascii="Times New Roman" w:hAnsi="Times New Roman" w:cs="Times New Roman"/>
          <w:sz w:val="24"/>
          <w:szCs w:val="24"/>
        </w:rPr>
        <w:t>), des cellules endothéliales (</w:t>
      </w:r>
      <w:r>
        <w:rPr>
          <w:rFonts w:ascii="Times New Roman" w:hAnsi="Times New Roman" w:cs="Times New Roman"/>
          <w:b/>
          <w:bCs/>
          <w:sz w:val="24"/>
          <w:szCs w:val="24"/>
        </w:rPr>
        <w:t>VEGF</w:t>
      </w:r>
      <w:r>
        <w:rPr>
          <w:rFonts w:ascii="Times New Roman" w:hAnsi="Times New Roman" w:cs="Times New Roman"/>
          <w:sz w:val="24"/>
          <w:szCs w:val="24"/>
        </w:rPr>
        <w:t>), des facteurs de croissance dérivés des</w:t>
      </w:r>
    </w:p>
    <w:p w:rsidR="00114AD0" w:rsidRDefault="00671610" w:rsidP="00671610">
      <w:pPr>
        <w:pStyle w:val="Default"/>
        <w:spacing w:line="360" w:lineRule="auto"/>
        <w:jc w:val="both"/>
      </w:pPr>
      <w:proofErr w:type="gramStart"/>
      <w:r>
        <w:t>plaquettes</w:t>
      </w:r>
      <w:proofErr w:type="gramEnd"/>
      <w:r>
        <w:t xml:space="preserve"> (</w:t>
      </w:r>
      <w:r>
        <w:rPr>
          <w:b/>
          <w:bCs/>
        </w:rPr>
        <w:t>PDGF</w:t>
      </w:r>
      <w:r>
        <w:t>), des cellules épithéliales (</w:t>
      </w:r>
      <w:r>
        <w:rPr>
          <w:b/>
          <w:bCs/>
        </w:rPr>
        <w:t>EGF</w:t>
      </w:r>
      <w:r>
        <w:t xml:space="preserve">), et </w:t>
      </w:r>
      <w:r>
        <w:rPr>
          <w:rFonts w:ascii="TimesNewRomanPS-BoldMT" w:hAnsi="TimesNewRomanPS-BoldMT" w:cs="TimesNewRomanPS-BoldMT"/>
          <w:b/>
          <w:bCs/>
        </w:rPr>
        <w:t>l’insuline</w:t>
      </w:r>
      <w:r>
        <w:t>.</w:t>
      </w:r>
    </w:p>
    <w:p w:rsidR="0029449B" w:rsidRDefault="0029449B" w:rsidP="00671610">
      <w:pPr>
        <w:pStyle w:val="Default"/>
        <w:spacing w:line="360" w:lineRule="auto"/>
        <w:jc w:val="both"/>
      </w:pPr>
    </w:p>
    <w:p w:rsidR="0029449B" w:rsidRPr="0029449B" w:rsidRDefault="0029449B" w:rsidP="0029449B">
      <w:pPr>
        <w:pStyle w:val="Default"/>
        <w:spacing w:line="360" w:lineRule="auto"/>
        <w:jc w:val="both"/>
        <w:rPr>
          <w:sz w:val="23"/>
          <w:szCs w:val="23"/>
        </w:rPr>
      </w:pPr>
      <w:r w:rsidRPr="0029449B">
        <w:rPr>
          <w:sz w:val="23"/>
          <w:szCs w:val="23"/>
        </w:rPr>
        <w:t xml:space="preserve">La fixation de deux molécules de ligand induit la </w:t>
      </w:r>
      <w:proofErr w:type="spellStart"/>
      <w:r w:rsidRPr="0029449B">
        <w:rPr>
          <w:sz w:val="23"/>
          <w:szCs w:val="23"/>
        </w:rPr>
        <w:t>dimérisation</w:t>
      </w:r>
      <w:proofErr w:type="spellEnd"/>
      <w:r w:rsidRPr="0029449B">
        <w:rPr>
          <w:sz w:val="23"/>
          <w:szCs w:val="23"/>
        </w:rPr>
        <w:t xml:space="preserve"> du récepteur (sauf pour le récepteur de l’insuline), suivi par l’autophosphorylation du récepteur qui devient capable de recruter des protéines associées, de </w:t>
      </w:r>
      <w:proofErr w:type="spellStart"/>
      <w:r w:rsidRPr="0029449B">
        <w:rPr>
          <w:sz w:val="23"/>
          <w:szCs w:val="23"/>
        </w:rPr>
        <w:t>phosphoryler</w:t>
      </w:r>
      <w:proofErr w:type="spellEnd"/>
      <w:r w:rsidRPr="0029449B">
        <w:rPr>
          <w:sz w:val="23"/>
          <w:szCs w:val="23"/>
        </w:rPr>
        <w:t xml:space="preserve"> plusieurs protéines cibles et d’induire des</w:t>
      </w:r>
      <w:r>
        <w:rPr>
          <w:sz w:val="23"/>
          <w:szCs w:val="23"/>
        </w:rPr>
        <w:t xml:space="preserve"> </w:t>
      </w:r>
      <w:r w:rsidRPr="0029449B">
        <w:rPr>
          <w:sz w:val="23"/>
          <w:szCs w:val="23"/>
        </w:rPr>
        <w:t>cascades de phosphorylation-déphosphorylation qui régulent la fonction de la protéine en aval</w:t>
      </w:r>
    </w:p>
    <w:p w:rsidR="00114AD0" w:rsidRDefault="0029449B" w:rsidP="00114AD0">
      <w:pPr>
        <w:pStyle w:val="Default"/>
        <w:spacing w:line="360" w:lineRule="auto"/>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6196361" cy="248073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99680" cy="2482062"/>
                    </a:xfrm>
                    <a:prstGeom prst="rect">
                      <a:avLst/>
                    </a:prstGeom>
                    <a:noFill/>
                    <a:ln w="9525">
                      <a:noFill/>
                      <a:miter lim="800000"/>
                      <a:headEnd/>
                      <a:tailEnd/>
                    </a:ln>
                  </pic:spPr>
                </pic:pic>
              </a:graphicData>
            </a:graphic>
          </wp:inline>
        </w:drawing>
      </w:r>
    </w:p>
    <w:p w:rsidR="0029449B" w:rsidRDefault="0029449B" w:rsidP="0029449B">
      <w:pPr>
        <w:pStyle w:val="Default"/>
        <w:spacing w:line="360" w:lineRule="auto"/>
        <w:jc w:val="center"/>
        <w:rPr>
          <w:sz w:val="23"/>
          <w:szCs w:val="23"/>
        </w:rPr>
      </w:pPr>
      <w:r>
        <w:rPr>
          <w:b/>
          <w:bCs/>
          <w:sz w:val="23"/>
          <w:szCs w:val="23"/>
        </w:rPr>
        <w:t xml:space="preserve">Figure.3: </w:t>
      </w:r>
      <w:r>
        <w:rPr>
          <w:sz w:val="23"/>
          <w:szCs w:val="23"/>
        </w:rPr>
        <w:t xml:space="preserve">Activation des récepteurs à activité tyrosine </w:t>
      </w:r>
      <w:proofErr w:type="gramStart"/>
      <w:r>
        <w:rPr>
          <w:sz w:val="23"/>
          <w:szCs w:val="23"/>
        </w:rPr>
        <w:t>kinase .</w:t>
      </w:r>
      <w:proofErr w:type="gramEnd"/>
    </w:p>
    <w:p w:rsidR="0029449B" w:rsidRDefault="0029449B" w:rsidP="0029449B">
      <w:pPr>
        <w:pStyle w:val="Default"/>
        <w:spacing w:line="360" w:lineRule="auto"/>
        <w:jc w:val="center"/>
        <w:rPr>
          <w:sz w:val="23"/>
          <w:szCs w:val="23"/>
        </w:rPr>
      </w:pPr>
    </w:p>
    <w:p w:rsidR="0029449B" w:rsidRDefault="0029449B" w:rsidP="0029449B">
      <w:pPr>
        <w:pStyle w:val="Default"/>
        <w:spacing w:line="360" w:lineRule="auto"/>
        <w:jc w:val="both"/>
        <w:rPr>
          <w:sz w:val="28"/>
          <w:szCs w:val="28"/>
        </w:rPr>
      </w:pPr>
      <w:r w:rsidRPr="0029449B">
        <w:rPr>
          <w:sz w:val="28"/>
          <w:szCs w:val="28"/>
        </w:rPr>
        <w:t xml:space="preserve">Les récepteurs tyrosine-kinase activent les protéines G monomériques Ras par une protéine intermédiaire qui est </w:t>
      </w:r>
      <w:proofErr w:type="spellStart"/>
      <w:r w:rsidRPr="0029449B">
        <w:rPr>
          <w:sz w:val="28"/>
          <w:szCs w:val="28"/>
        </w:rPr>
        <w:t>phosphorylée</w:t>
      </w:r>
      <w:proofErr w:type="spellEnd"/>
      <w:r w:rsidRPr="0029449B">
        <w:rPr>
          <w:sz w:val="28"/>
          <w:szCs w:val="28"/>
        </w:rPr>
        <w:t xml:space="preserve"> par le récepteur. Ce</w:t>
      </w:r>
      <w:r>
        <w:rPr>
          <w:sz w:val="28"/>
          <w:szCs w:val="28"/>
        </w:rPr>
        <w:t xml:space="preserve">tte protéine stimule l’échange  </w:t>
      </w:r>
      <w:r w:rsidRPr="0029449B">
        <w:rPr>
          <w:sz w:val="28"/>
          <w:szCs w:val="28"/>
        </w:rPr>
        <w:t>par Ras du GDP par le GTP. La Ras activé (Ras couplé</w:t>
      </w:r>
      <w:r>
        <w:rPr>
          <w:sz w:val="28"/>
          <w:szCs w:val="28"/>
        </w:rPr>
        <w:t xml:space="preserve"> au GTP) induit une cascade de  </w:t>
      </w:r>
      <w:r w:rsidRPr="0029449B">
        <w:rPr>
          <w:sz w:val="28"/>
          <w:szCs w:val="28"/>
        </w:rPr>
        <w:t>phosphorylations. Les dernières kinases de la cascade appa</w:t>
      </w:r>
      <w:r>
        <w:rPr>
          <w:sz w:val="28"/>
          <w:szCs w:val="28"/>
        </w:rPr>
        <w:t xml:space="preserve">rtiennent à la famille des MAP  </w:t>
      </w:r>
      <w:r w:rsidRPr="0029449B">
        <w:rPr>
          <w:sz w:val="28"/>
          <w:szCs w:val="28"/>
        </w:rPr>
        <w:t>Kinases (</w:t>
      </w:r>
      <w:proofErr w:type="spellStart"/>
      <w:r w:rsidRPr="0029449B">
        <w:rPr>
          <w:sz w:val="28"/>
          <w:szCs w:val="28"/>
        </w:rPr>
        <w:t>Mitogen</w:t>
      </w:r>
      <w:proofErr w:type="spellEnd"/>
      <w:r w:rsidRPr="0029449B">
        <w:rPr>
          <w:sz w:val="28"/>
          <w:szCs w:val="28"/>
        </w:rPr>
        <w:t>-</w:t>
      </w:r>
      <w:proofErr w:type="spellStart"/>
      <w:r w:rsidRPr="0029449B">
        <w:rPr>
          <w:sz w:val="28"/>
          <w:szCs w:val="28"/>
        </w:rPr>
        <w:t>Activated</w:t>
      </w:r>
      <w:proofErr w:type="spellEnd"/>
      <w:r w:rsidRPr="0029449B">
        <w:rPr>
          <w:sz w:val="28"/>
          <w:szCs w:val="28"/>
        </w:rPr>
        <w:t xml:space="preserve"> </w:t>
      </w:r>
      <w:proofErr w:type="spellStart"/>
      <w:r w:rsidRPr="0029449B">
        <w:rPr>
          <w:sz w:val="28"/>
          <w:szCs w:val="28"/>
        </w:rPr>
        <w:t>Protein</w:t>
      </w:r>
      <w:proofErr w:type="spellEnd"/>
      <w:r w:rsidRPr="0029449B">
        <w:rPr>
          <w:sz w:val="28"/>
          <w:szCs w:val="28"/>
        </w:rPr>
        <w:t xml:space="preserve"> kinase). La cascade réactionnelle aboutit à la modification d’activité de protéine </w:t>
      </w:r>
      <w:proofErr w:type="spellStart"/>
      <w:r w:rsidRPr="0029449B">
        <w:rPr>
          <w:sz w:val="28"/>
          <w:szCs w:val="28"/>
        </w:rPr>
        <w:t>cytosoliques</w:t>
      </w:r>
      <w:proofErr w:type="spellEnd"/>
      <w:r w:rsidRPr="0029449B">
        <w:rPr>
          <w:sz w:val="28"/>
          <w:szCs w:val="28"/>
        </w:rPr>
        <w:t xml:space="preserve"> qui seront </w:t>
      </w:r>
      <w:proofErr w:type="spellStart"/>
      <w:r w:rsidRPr="0029449B">
        <w:rPr>
          <w:sz w:val="28"/>
          <w:szCs w:val="28"/>
        </w:rPr>
        <w:t>transloquée</w:t>
      </w:r>
      <w:proofErr w:type="spellEnd"/>
      <w:r w:rsidRPr="0029449B">
        <w:rPr>
          <w:sz w:val="28"/>
          <w:szCs w:val="28"/>
        </w:rPr>
        <w:t xml:space="preserve"> dans le noyau et modifieront l’expression génique</w:t>
      </w:r>
    </w:p>
    <w:p w:rsidR="009B1E15" w:rsidRDefault="009B1E15" w:rsidP="0029449B">
      <w:pPr>
        <w:pStyle w:val="Default"/>
        <w:spacing w:line="360" w:lineRule="auto"/>
        <w:jc w:val="both"/>
        <w:rPr>
          <w:sz w:val="28"/>
          <w:szCs w:val="28"/>
        </w:rPr>
      </w:pPr>
    </w:p>
    <w:p w:rsidR="009B1E15" w:rsidRPr="009B1E15" w:rsidRDefault="009B1E15" w:rsidP="009B1E15">
      <w:pPr>
        <w:autoSpaceDE w:val="0"/>
        <w:autoSpaceDN w:val="0"/>
        <w:adjustRightInd w:val="0"/>
        <w:spacing w:after="0" w:line="240" w:lineRule="auto"/>
        <w:rPr>
          <w:rFonts w:ascii="TimesNewRomanPS-BoldMT" w:hAnsi="TimesNewRomanPS-BoldMT" w:cs="TimesNewRomanPS-BoldMT"/>
          <w:b/>
          <w:bCs/>
          <w:sz w:val="32"/>
          <w:szCs w:val="32"/>
        </w:rPr>
      </w:pPr>
      <w:r w:rsidRPr="009B1E15">
        <w:rPr>
          <w:rFonts w:ascii="Times New Roman" w:hAnsi="Times New Roman" w:cs="Times New Roman"/>
          <w:b/>
          <w:bCs/>
          <w:sz w:val="32"/>
          <w:szCs w:val="32"/>
        </w:rPr>
        <w:t xml:space="preserve">Récepteur </w:t>
      </w:r>
      <w:r w:rsidRPr="009B1E15">
        <w:rPr>
          <w:rFonts w:ascii="TimesNewRomanPS-BoldMT" w:hAnsi="TimesNewRomanPS-BoldMT" w:cs="TimesNewRomanPS-BoldMT"/>
          <w:b/>
          <w:bCs/>
          <w:sz w:val="32"/>
          <w:szCs w:val="32"/>
        </w:rPr>
        <w:t>de l’insuline</w:t>
      </w:r>
    </w:p>
    <w:p w:rsidR="009B1E15" w:rsidRDefault="009B1E15" w:rsidP="009B1E1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 xml:space="preserve">-Structure </w:t>
      </w:r>
      <w:r>
        <w:rPr>
          <w:rFonts w:ascii="Times New Roman" w:hAnsi="Times New Roman" w:cs="Times New Roman"/>
          <w:b/>
          <w:bCs/>
          <w:sz w:val="24"/>
          <w:szCs w:val="24"/>
        </w:rPr>
        <w:t>:</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proofErr w:type="gramStart"/>
      <w:r>
        <w:rPr>
          <w:rFonts w:ascii="SymbolMT" w:eastAsia="SymbolMT" w:hAnsi="Times New Roman" w:cs="SymbolMT" w:hint="eastAsia"/>
          <w:sz w:val="24"/>
          <w:szCs w:val="24"/>
        </w:rPr>
        <w:lastRenderedPageBreak/>
        <w:t>•</w:t>
      </w:r>
      <w:r>
        <w:rPr>
          <w:rFonts w:ascii="SymbolMT" w:eastAsia="SymbolMT" w:hAnsi="Times New Roman" w:cs="SymbolMT"/>
          <w:sz w:val="24"/>
          <w:szCs w:val="24"/>
        </w:rPr>
        <w:t xml:space="preserve"> </w:t>
      </w:r>
      <w:r>
        <w:rPr>
          <w:rFonts w:ascii="Times New Roman" w:hAnsi="Times New Roman" w:cs="Times New Roman"/>
          <w:sz w:val="24"/>
          <w:szCs w:val="24"/>
        </w:rPr>
        <w:t>Un</w:t>
      </w:r>
      <w:proofErr w:type="gramEnd"/>
      <w:r>
        <w:rPr>
          <w:rFonts w:ascii="Times New Roman" w:hAnsi="Times New Roman" w:cs="Times New Roman"/>
          <w:sz w:val="24"/>
          <w:szCs w:val="24"/>
        </w:rPr>
        <w:t xml:space="preserve"> tétramère formé de deux chaînes </w:t>
      </w:r>
      <w:r>
        <w:rPr>
          <w:rFonts w:ascii="TimesNewRomanPSMT" w:eastAsia="TimesNewRomanPSMT" w:hAnsi="Times New Roman" w:cs="TimesNewRomanPSMT" w:hint="eastAsia"/>
          <w:sz w:val="24"/>
          <w:szCs w:val="24"/>
        </w:rPr>
        <w:t>α</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extracellulaires reliées</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par</w:t>
      </w:r>
      <w:proofErr w:type="gramEnd"/>
      <w:r>
        <w:rPr>
          <w:rFonts w:ascii="Times New Roman" w:hAnsi="Times New Roman" w:cs="Times New Roman"/>
          <w:sz w:val="24"/>
          <w:szCs w:val="24"/>
        </w:rPr>
        <w:t xml:space="preserve"> des ponts disulfure à deux chaînes </w:t>
      </w:r>
      <w:r>
        <w:rPr>
          <w:rFonts w:ascii="TimesNewRomanPSMT" w:eastAsia="TimesNewRomanPSMT" w:hAnsi="Times New Roman" w:cs="TimesNewRomanPSMT" w:hint="eastAsia"/>
          <w:sz w:val="24"/>
          <w:szCs w:val="24"/>
        </w:rPr>
        <w:t>β</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transmembranaires.</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r>
        <w:rPr>
          <w:rFonts w:ascii="SymbolMT" w:eastAsia="SymbolMT" w:hAnsi="Times New Roman" w:cs="SymbolMT" w:hint="eastAsia"/>
          <w:sz w:val="24"/>
          <w:szCs w:val="24"/>
        </w:rPr>
        <w:t>•</w:t>
      </w:r>
      <w:r>
        <w:rPr>
          <w:rFonts w:ascii="SymbolMT" w:eastAsia="SymbolMT" w:hAnsi="Times New Roman" w:cs="SymbolMT"/>
          <w:sz w:val="24"/>
          <w:szCs w:val="24"/>
        </w:rPr>
        <w:t xml:space="preserve"> </w:t>
      </w:r>
      <w:r>
        <w:rPr>
          <w:rFonts w:ascii="Times New Roman" w:hAnsi="Times New Roman" w:cs="Times New Roman"/>
          <w:sz w:val="24"/>
          <w:szCs w:val="24"/>
        </w:rPr>
        <w:t xml:space="preserve">Les sous-unités </w:t>
      </w:r>
      <w:r>
        <w:rPr>
          <w:rFonts w:ascii="TimesNewRomanPSMT" w:eastAsia="TimesNewRomanPSMT" w:hAnsi="Times New Roman" w:cs="TimesNewRomanPSMT" w:hint="eastAsia"/>
          <w:sz w:val="24"/>
          <w:szCs w:val="24"/>
        </w:rPr>
        <w:t>α</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sont extra-membranaires permettent la</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liaison</w:t>
      </w:r>
      <w:proofErr w:type="gramEnd"/>
      <w:r>
        <w:rPr>
          <w:rFonts w:ascii="Times New Roman" w:hAnsi="Times New Roman" w:cs="Times New Roman"/>
          <w:sz w:val="24"/>
          <w:szCs w:val="24"/>
        </w:rPr>
        <w:t xml:space="preserve"> de l'insuline.</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r>
        <w:rPr>
          <w:rFonts w:ascii="SymbolMT" w:eastAsia="SymbolMT" w:hAnsi="Times New Roman" w:cs="SymbolMT" w:hint="eastAsia"/>
          <w:sz w:val="24"/>
          <w:szCs w:val="24"/>
        </w:rPr>
        <w:t>•</w:t>
      </w:r>
      <w:r>
        <w:rPr>
          <w:rFonts w:ascii="SymbolMT" w:eastAsia="SymbolMT" w:hAnsi="Times New Roman" w:cs="SymbolMT"/>
          <w:sz w:val="24"/>
          <w:szCs w:val="24"/>
        </w:rPr>
        <w:t xml:space="preserve"> </w:t>
      </w:r>
      <w:r>
        <w:rPr>
          <w:rFonts w:ascii="Times New Roman" w:hAnsi="Times New Roman" w:cs="Times New Roman"/>
          <w:sz w:val="24"/>
          <w:szCs w:val="24"/>
        </w:rPr>
        <w:t xml:space="preserve">La sous-unité </w:t>
      </w:r>
      <w:r>
        <w:rPr>
          <w:rFonts w:ascii="TimesNewRomanPSMT" w:eastAsia="TimesNewRomanPSMT" w:hAnsi="Times New Roman" w:cs="TimesNewRomanPSMT" w:hint="eastAsia"/>
          <w:sz w:val="24"/>
          <w:szCs w:val="24"/>
        </w:rPr>
        <w:t>β</w:t>
      </w:r>
      <w:r>
        <w:rPr>
          <w:rFonts w:ascii="TimesNewRomanPSMT" w:eastAsia="TimesNewRomanPSMT" w:hAnsi="Times New Roman" w:cs="TimesNewRomanPSMT"/>
          <w:sz w:val="24"/>
          <w:szCs w:val="24"/>
        </w:rPr>
        <w:t xml:space="preserve"> </w:t>
      </w:r>
      <w:r>
        <w:rPr>
          <w:rFonts w:ascii="Times New Roman" w:hAnsi="Times New Roman" w:cs="Times New Roman"/>
          <w:sz w:val="24"/>
          <w:szCs w:val="24"/>
        </w:rPr>
        <w:t xml:space="preserve">transmembranaire contient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domaine à</w:t>
      </w:r>
    </w:p>
    <w:p w:rsidR="009B1E15" w:rsidRDefault="009B1E15" w:rsidP="009B1E1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activité</w:t>
      </w:r>
      <w:proofErr w:type="gramEnd"/>
      <w:r>
        <w:rPr>
          <w:rFonts w:ascii="Times New Roman" w:hAnsi="Times New Roman" w:cs="Times New Roman"/>
          <w:sz w:val="24"/>
          <w:szCs w:val="24"/>
        </w:rPr>
        <w:t xml:space="preserve"> tyrosine kinase dans son domaine intracellulaire</w:t>
      </w:r>
    </w:p>
    <w:p w:rsidR="009B1E15" w:rsidRDefault="009B1E15" w:rsidP="009B1E15">
      <w:pPr>
        <w:pStyle w:val="Default"/>
        <w:spacing w:line="360" w:lineRule="auto"/>
        <w:jc w:val="both"/>
      </w:pPr>
      <w:proofErr w:type="gramStart"/>
      <w:r>
        <w:t>responsable</w:t>
      </w:r>
      <w:proofErr w:type="gramEnd"/>
      <w:r>
        <w:t xml:space="preserve"> de la transduction du message.</w:t>
      </w:r>
    </w:p>
    <w:p w:rsidR="00AF420C" w:rsidRDefault="00AF420C" w:rsidP="009B1E15">
      <w:pPr>
        <w:pStyle w:val="Default"/>
        <w:spacing w:line="360" w:lineRule="auto"/>
        <w:jc w:val="both"/>
      </w:pPr>
    </w:p>
    <w:p w:rsidR="00AF420C" w:rsidRDefault="00AF420C" w:rsidP="00AF420C">
      <w:pPr>
        <w:pStyle w:val="Default"/>
        <w:spacing w:line="360" w:lineRule="auto"/>
        <w:jc w:val="center"/>
        <w:rPr>
          <w:sz w:val="28"/>
          <w:szCs w:val="28"/>
        </w:rPr>
      </w:pPr>
      <w:r>
        <w:rPr>
          <w:noProof/>
          <w:sz w:val="28"/>
          <w:szCs w:val="28"/>
          <w:lang w:eastAsia="fr-FR"/>
        </w:rPr>
        <w:drawing>
          <wp:inline distT="0" distB="0" distL="0" distR="0">
            <wp:extent cx="2631016" cy="3971187"/>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632554" cy="3973508"/>
                    </a:xfrm>
                    <a:prstGeom prst="rect">
                      <a:avLst/>
                    </a:prstGeom>
                    <a:noFill/>
                    <a:ln w="9525">
                      <a:noFill/>
                      <a:miter lim="800000"/>
                      <a:headEnd/>
                      <a:tailEnd/>
                    </a:ln>
                  </pic:spPr>
                </pic:pic>
              </a:graphicData>
            </a:graphic>
          </wp:inline>
        </w:drawing>
      </w:r>
    </w:p>
    <w:p w:rsidR="00AF420C" w:rsidRPr="00AF420C" w:rsidRDefault="00AF420C" w:rsidP="00AF420C">
      <w:pPr>
        <w:autoSpaceDE w:val="0"/>
        <w:autoSpaceDN w:val="0"/>
        <w:adjustRightInd w:val="0"/>
        <w:spacing w:after="0" w:line="360" w:lineRule="auto"/>
        <w:rPr>
          <w:rFonts w:asciiTheme="majorBidi" w:hAnsiTheme="majorBidi" w:cstheme="majorBidi"/>
          <w:b/>
          <w:bCs/>
          <w:i/>
          <w:iCs/>
        </w:rPr>
      </w:pPr>
      <w:r w:rsidRPr="00AF420C">
        <w:rPr>
          <w:rFonts w:asciiTheme="majorBidi" w:hAnsiTheme="majorBidi" w:cstheme="majorBidi"/>
          <w:b/>
          <w:bCs/>
          <w:i/>
          <w:iCs/>
        </w:rPr>
        <w:t>Mécanisme d’action</w:t>
      </w:r>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r w:rsidRPr="00AF420C">
        <w:rPr>
          <w:rFonts w:asciiTheme="majorBidi" w:eastAsia="SymbolMT" w:hAnsiTheme="majorBidi" w:cstheme="majorBidi"/>
          <w:sz w:val="24"/>
          <w:szCs w:val="24"/>
        </w:rPr>
        <w:t xml:space="preserve">• </w:t>
      </w:r>
      <w:r w:rsidRPr="00AF420C">
        <w:rPr>
          <w:rFonts w:asciiTheme="majorBidi" w:eastAsia="TimesNewRomanPSMT" w:hAnsiTheme="majorBidi" w:cstheme="majorBidi"/>
          <w:sz w:val="24"/>
          <w:szCs w:val="24"/>
        </w:rPr>
        <w:t xml:space="preserve">Fixation de l’insuline </w:t>
      </w:r>
      <w:r w:rsidRPr="00AF420C">
        <w:rPr>
          <w:rFonts w:asciiTheme="majorBidi" w:hAnsiTheme="majorBidi" w:cstheme="majorBidi"/>
          <w:sz w:val="24"/>
          <w:szCs w:val="24"/>
        </w:rPr>
        <w:t xml:space="preserve">sur les sous-unités </w:t>
      </w:r>
      <w:r w:rsidRPr="00AF420C">
        <w:rPr>
          <w:rFonts w:asciiTheme="majorBidi" w:hAnsiTheme="majorBidi" w:cstheme="majorBidi"/>
          <w:b/>
          <w:bCs/>
          <w:sz w:val="24"/>
          <w:szCs w:val="24"/>
        </w:rPr>
        <w:t xml:space="preserve">α, </w:t>
      </w:r>
      <w:r w:rsidRPr="00AF420C">
        <w:rPr>
          <w:rFonts w:asciiTheme="majorBidi" w:hAnsiTheme="majorBidi" w:cstheme="majorBidi"/>
          <w:sz w:val="24"/>
          <w:szCs w:val="24"/>
        </w:rPr>
        <w:t>ce qui engendre le changement de conformation</w:t>
      </w:r>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proofErr w:type="gramStart"/>
      <w:r w:rsidRPr="00AF420C">
        <w:rPr>
          <w:rFonts w:asciiTheme="majorBidi" w:hAnsiTheme="majorBidi" w:cstheme="majorBidi"/>
          <w:sz w:val="24"/>
          <w:szCs w:val="24"/>
        </w:rPr>
        <w:t>spatiale</w:t>
      </w:r>
      <w:proofErr w:type="gramEnd"/>
      <w:r w:rsidRPr="00AF420C">
        <w:rPr>
          <w:rFonts w:asciiTheme="majorBidi" w:hAnsiTheme="majorBidi" w:cstheme="majorBidi"/>
          <w:sz w:val="24"/>
          <w:szCs w:val="24"/>
        </w:rPr>
        <w:t>.</w:t>
      </w:r>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r w:rsidRPr="00AF420C">
        <w:rPr>
          <w:rFonts w:asciiTheme="majorBidi" w:eastAsia="SymbolMT" w:hAnsiTheme="majorBidi" w:cstheme="majorBidi"/>
          <w:sz w:val="24"/>
          <w:szCs w:val="24"/>
        </w:rPr>
        <w:t xml:space="preserve">• </w:t>
      </w:r>
      <w:r w:rsidRPr="00AF420C">
        <w:rPr>
          <w:rFonts w:asciiTheme="majorBidi" w:hAnsiTheme="majorBidi" w:cstheme="majorBidi"/>
          <w:sz w:val="24"/>
          <w:szCs w:val="24"/>
        </w:rPr>
        <w:t xml:space="preserve">Activation du domaine </w:t>
      </w:r>
      <w:proofErr w:type="spellStart"/>
      <w:r w:rsidRPr="00AF420C">
        <w:rPr>
          <w:rFonts w:asciiTheme="majorBidi" w:hAnsiTheme="majorBidi" w:cstheme="majorBidi"/>
          <w:sz w:val="24"/>
          <w:szCs w:val="24"/>
        </w:rPr>
        <w:t>kinasique</w:t>
      </w:r>
      <w:proofErr w:type="spellEnd"/>
      <w:r w:rsidRPr="00AF420C">
        <w:rPr>
          <w:rFonts w:asciiTheme="majorBidi" w:hAnsiTheme="majorBidi" w:cstheme="majorBidi"/>
          <w:sz w:val="24"/>
          <w:szCs w:val="24"/>
        </w:rPr>
        <w:t xml:space="preserve"> des deux sous-unités </w:t>
      </w:r>
      <w:r w:rsidRPr="00AF420C">
        <w:rPr>
          <w:rFonts w:asciiTheme="majorBidi" w:hAnsiTheme="majorBidi" w:cstheme="majorBidi"/>
          <w:b/>
          <w:bCs/>
          <w:sz w:val="24"/>
          <w:szCs w:val="24"/>
        </w:rPr>
        <w:t>β</w:t>
      </w:r>
      <w:r w:rsidRPr="00AF420C">
        <w:rPr>
          <w:rFonts w:asciiTheme="majorBidi" w:hAnsiTheme="majorBidi" w:cstheme="majorBidi"/>
          <w:sz w:val="24"/>
          <w:szCs w:val="24"/>
        </w:rPr>
        <w:t>.</w:t>
      </w:r>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r w:rsidRPr="00AF420C">
        <w:rPr>
          <w:rFonts w:asciiTheme="majorBidi" w:eastAsia="SymbolMT" w:hAnsiTheme="majorBidi" w:cstheme="majorBidi"/>
          <w:sz w:val="24"/>
          <w:szCs w:val="24"/>
        </w:rPr>
        <w:t xml:space="preserve">• </w:t>
      </w:r>
      <w:r w:rsidRPr="00AF420C">
        <w:rPr>
          <w:rFonts w:asciiTheme="majorBidi" w:hAnsiTheme="majorBidi" w:cstheme="majorBidi"/>
          <w:sz w:val="24"/>
          <w:szCs w:val="24"/>
        </w:rPr>
        <w:t xml:space="preserve">Les tyrosines des sous-unités </w:t>
      </w:r>
      <w:r w:rsidRPr="00AF420C">
        <w:rPr>
          <w:rFonts w:asciiTheme="majorBidi" w:eastAsia="TimesNewRomanPSMT" w:hAnsiTheme="majorBidi" w:cstheme="majorBidi"/>
          <w:sz w:val="24"/>
          <w:szCs w:val="24"/>
        </w:rPr>
        <w:t xml:space="preserve">β </w:t>
      </w:r>
      <w:r w:rsidRPr="00AF420C">
        <w:rPr>
          <w:rFonts w:asciiTheme="majorBidi" w:hAnsiTheme="majorBidi" w:cstheme="majorBidi"/>
          <w:sz w:val="24"/>
          <w:szCs w:val="24"/>
        </w:rPr>
        <w:t xml:space="preserve">sont alors </w:t>
      </w:r>
      <w:proofErr w:type="spellStart"/>
      <w:r w:rsidRPr="00AF420C">
        <w:rPr>
          <w:rFonts w:asciiTheme="majorBidi" w:hAnsiTheme="majorBidi" w:cstheme="majorBidi"/>
          <w:sz w:val="24"/>
          <w:szCs w:val="24"/>
        </w:rPr>
        <w:t>phosphorylées</w:t>
      </w:r>
      <w:proofErr w:type="spellEnd"/>
      <w:r w:rsidRPr="00AF420C">
        <w:rPr>
          <w:rFonts w:asciiTheme="majorBidi" w:hAnsiTheme="majorBidi" w:cstheme="majorBidi"/>
          <w:sz w:val="24"/>
          <w:szCs w:val="24"/>
        </w:rPr>
        <w:t xml:space="preserve"> (autophosphorylation).</w:t>
      </w:r>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r w:rsidRPr="00AF420C">
        <w:rPr>
          <w:rFonts w:asciiTheme="majorBidi" w:eastAsia="SymbolMT" w:hAnsiTheme="majorBidi" w:cstheme="majorBidi"/>
          <w:sz w:val="24"/>
          <w:szCs w:val="24"/>
        </w:rPr>
        <w:t xml:space="preserve">• </w:t>
      </w:r>
      <w:r w:rsidRPr="00AF420C">
        <w:rPr>
          <w:rFonts w:asciiTheme="majorBidi" w:hAnsiTheme="majorBidi" w:cstheme="majorBidi"/>
          <w:sz w:val="24"/>
          <w:szCs w:val="24"/>
        </w:rPr>
        <w:t xml:space="preserve">Le récepteur </w:t>
      </w:r>
      <w:proofErr w:type="spellStart"/>
      <w:r w:rsidRPr="00AF420C">
        <w:rPr>
          <w:rFonts w:asciiTheme="majorBidi" w:hAnsiTheme="majorBidi" w:cstheme="majorBidi"/>
          <w:sz w:val="24"/>
          <w:szCs w:val="24"/>
        </w:rPr>
        <w:t>phosphorylé</w:t>
      </w:r>
      <w:proofErr w:type="spellEnd"/>
      <w:r w:rsidRPr="00AF420C">
        <w:rPr>
          <w:rFonts w:asciiTheme="majorBidi" w:hAnsiTheme="majorBidi" w:cstheme="majorBidi"/>
          <w:sz w:val="24"/>
          <w:szCs w:val="24"/>
        </w:rPr>
        <w:t xml:space="preserve"> recrute une protéine substrat du récepteur pour la </w:t>
      </w:r>
      <w:proofErr w:type="spellStart"/>
      <w:r w:rsidRPr="00AF420C">
        <w:rPr>
          <w:rFonts w:asciiTheme="majorBidi" w:hAnsiTheme="majorBidi" w:cstheme="majorBidi"/>
          <w:sz w:val="24"/>
          <w:szCs w:val="24"/>
        </w:rPr>
        <w:t>phosphoryler</w:t>
      </w:r>
      <w:proofErr w:type="spellEnd"/>
    </w:p>
    <w:p w:rsidR="00AF420C" w:rsidRPr="00AF420C" w:rsidRDefault="00AF420C" w:rsidP="00AF420C">
      <w:pPr>
        <w:autoSpaceDE w:val="0"/>
        <w:autoSpaceDN w:val="0"/>
        <w:adjustRightInd w:val="0"/>
        <w:spacing w:after="0" w:line="360" w:lineRule="auto"/>
        <w:rPr>
          <w:rFonts w:asciiTheme="majorBidi" w:hAnsiTheme="majorBidi" w:cstheme="majorBidi"/>
          <w:sz w:val="24"/>
          <w:szCs w:val="24"/>
        </w:rPr>
      </w:pPr>
      <w:r w:rsidRPr="00AF420C">
        <w:rPr>
          <w:rFonts w:asciiTheme="majorBidi" w:eastAsia="SymbolMT" w:hAnsiTheme="majorBidi" w:cstheme="majorBidi"/>
          <w:sz w:val="24"/>
          <w:szCs w:val="24"/>
        </w:rPr>
        <w:t xml:space="preserve">• </w:t>
      </w:r>
      <w:r w:rsidRPr="00AF420C">
        <w:rPr>
          <w:rFonts w:asciiTheme="majorBidi" w:hAnsiTheme="majorBidi" w:cstheme="majorBidi"/>
          <w:sz w:val="24"/>
          <w:szCs w:val="24"/>
        </w:rPr>
        <w:t xml:space="preserve">Déclenchement </w:t>
      </w:r>
      <w:r w:rsidRPr="00AF420C">
        <w:rPr>
          <w:rFonts w:asciiTheme="majorBidi" w:eastAsia="TimesNewRomanPSMT" w:hAnsiTheme="majorBidi" w:cstheme="majorBidi"/>
          <w:sz w:val="24"/>
          <w:szCs w:val="24"/>
        </w:rPr>
        <w:t>d’</w:t>
      </w:r>
      <w:r w:rsidRPr="00AF420C">
        <w:rPr>
          <w:rFonts w:asciiTheme="majorBidi" w:hAnsiTheme="majorBidi" w:cstheme="majorBidi"/>
          <w:sz w:val="24"/>
          <w:szCs w:val="24"/>
        </w:rPr>
        <w:t>une cascade d'événements biochimiques conduisant à la réponse</w:t>
      </w:r>
    </w:p>
    <w:p w:rsidR="00AF420C" w:rsidRDefault="00AF420C" w:rsidP="00AF420C">
      <w:pPr>
        <w:pStyle w:val="Default"/>
        <w:spacing w:line="360" w:lineRule="auto"/>
        <w:rPr>
          <w:rFonts w:asciiTheme="majorBidi" w:hAnsiTheme="majorBidi" w:cstheme="majorBidi"/>
        </w:rPr>
      </w:pPr>
      <w:r w:rsidRPr="00AF420C">
        <w:rPr>
          <w:rFonts w:asciiTheme="majorBidi" w:hAnsiTheme="majorBidi" w:cstheme="majorBidi"/>
        </w:rPr>
        <w:t>(</w:t>
      </w:r>
      <w:proofErr w:type="gramStart"/>
      <w:r w:rsidRPr="00AF420C">
        <w:rPr>
          <w:rFonts w:asciiTheme="majorBidi" w:hAnsiTheme="majorBidi" w:cstheme="majorBidi"/>
        </w:rPr>
        <w:t>réponse</w:t>
      </w:r>
      <w:proofErr w:type="gramEnd"/>
      <w:r w:rsidRPr="00AF420C">
        <w:rPr>
          <w:rFonts w:asciiTheme="majorBidi" w:hAnsiTheme="majorBidi" w:cstheme="majorBidi"/>
        </w:rPr>
        <w:t xml:space="preserve"> rapide).</w:t>
      </w:r>
    </w:p>
    <w:p w:rsidR="00AF420C" w:rsidRDefault="00AF420C" w:rsidP="00AF420C">
      <w:pPr>
        <w:pStyle w:val="Default"/>
        <w:spacing w:line="360" w:lineRule="auto"/>
        <w:rPr>
          <w:rFonts w:asciiTheme="majorBidi" w:hAnsiTheme="majorBidi" w:cstheme="majorBidi"/>
        </w:rPr>
      </w:pPr>
    </w:p>
    <w:p w:rsidR="00AF420C" w:rsidRDefault="00AF420C" w:rsidP="00AF420C">
      <w:pPr>
        <w:pStyle w:val="Default"/>
        <w:rPr>
          <w:b/>
          <w:bCs/>
          <w:sz w:val="23"/>
          <w:szCs w:val="23"/>
        </w:rPr>
      </w:pPr>
    </w:p>
    <w:p w:rsidR="00AF420C" w:rsidRDefault="00AF420C" w:rsidP="00AF420C">
      <w:pPr>
        <w:pStyle w:val="Default"/>
        <w:rPr>
          <w:b/>
          <w:bCs/>
          <w:sz w:val="23"/>
          <w:szCs w:val="23"/>
        </w:rPr>
      </w:pPr>
    </w:p>
    <w:p w:rsidR="00AF420C" w:rsidRDefault="00AF420C" w:rsidP="00AF420C">
      <w:pPr>
        <w:pStyle w:val="Default"/>
        <w:rPr>
          <w:b/>
          <w:bCs/>
          <w:sz w:val="23"/>
          <w:szCs w:val="23"/>
        </w:rPr>
      </w:pPr>
    </w:p>
    <w:p w:rsidR="00AF420C" w:rsidRDefault="00AF420C" w:rsidP="00AF420C">
      <w:pPr>
        <w:pStyle w:val="Default"/>
        <w:rPr>
          <w:sz w:val="23"/>
          <w:szCs w:val="23"/>
        </w:rPr>
      </w:pPr>
      <w:r>
        <w:rPr>
          <w:b/>
          <w:bCs/>
          <w:sz w:val="23"/>
          <w:szCs w:val="23"/>
        </w:rPr>
        <w:lastRenderedPageBreak/>
        <w:t xml:space="preserve">II.1.2.2. Récepteurs à activité sérine -thréonine kinase </w:t>
      </w:r>
    </w:p>
    <w:p w:rsidR="00AF420C" w:rsidRDefault="00AF420C" w:rsidP="00AF420C">
      <w:pPr>
        <w:pStyle w:val="Default"/>
        <w:spacing w:line="360" w:lineRule="auto"/>
        <w:rPr>
          <w:sz w:val="23"/>
          <w:szCs w:val="23"/>
        </w:rPr>
      </w:pPr>
    </w:p>
    <w:p w:rsidR="00AF420C" w:rsidRDefault="00AF420C" w:rsidP="0038154A">
      <w:pPr>
        <w:pStyle w:val="Default"/>
        <w:spacing w:line="360" w:lineRule="auto"/>
        <w:rPr>
          <w:sz w:val="23"/>
          <w:szCs w:val="23"/>
        </w:rPr>
      </w:pPr>
      <w:r>
        <w:rPr>
          <w:sz w:val="23"/>
          <w:szCs w:val="23"/>
        </w:rPr>
        <w:t xml:space="preserve">Là aussi le tétramère est formé de quatre sous -unités transmembranaires (deux types : RI et RII) chacune ayant une activité sérine -thréonine kinase. On observe le même phénomène d'autophosphorylation des régions intracellulaires suivi de la phosphorylation des facteurs protéiques de transcription (Fig. </w:t>
      </w:r>
      <w:r w:rsidR="0038154A">
        <w:rPr>
          <w:sz w:val="23"/>
          <w:szCs w:val="23"/>
        </w:rPr>
        <w:t>04</w:t>
      </w:r>
      <w:r>
        <w:rPr>
          <w:sz w:val="23"/>
          <w:szCs w:val="23"/>
        </w:rPr>
        <w:t>).</w:t>
      </w:r>
    </w:p>
    <w:p w:rsidR="0038154A" w:rsidRDefault="0038154A" w:rsidP="00AF420C">
      <w:pPr>
        <w:pStyle w:val="Default"/>
        <w:spacing w:line="360" w:lineRule="auto"/>
        <w:rPr>
          <w:sz w:val="23"/>
          <w:szCs w:val="23"/>
        </w:rPr>
      </w:pPr>
    </w:p>
    <w:p w:rsidR="0038154A" w:rsidRDefault="0038154A" w:rsidP="00AF420C">
      <w:pPr>
        <w:pStyle w:val="Default"/>
        <w:spacing w:line="360" w:lineRule="auto"/>
        <w:rPr>
          <w:sz w:val="23"/>
          <w:szCs w:val="23"/>
        </w:rPr>
      </w:pPr>
      <w:r>
        <w:rPr>
          <w:noProof/>
          <w:sz w:val="23"/>
          <w:szCs w:val="23"/>
          <w:lang w:eastAsia="fr-FR"/>
        </w:rPr>
        <w:drawing>
          <wp:inline distT="0" distB="0" distL="0" distR="0">
            <wp:extent cx="5760720" cy="4841087"/>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720" cy="4841087"/>
                    </a:xfrm>
                    <a:prstGeom prst="rect">
                      <a:avLst/>
                    </a:prstGeom>
                    <a:noFill/>
                    <a:ln w="9525">
                      <a:noFill/>
                      <a:miter lim="800000"/>
                      <a:headEnd/>
                      <a:tailEnd/>
                    </a:ln>
                  </pic:spPr>
                </pic:pic>
              </a:graphicData>
            </a:graphic>
          </wp:inline>
        </w:drawing>
      </w:r>
    </w:p>
    <w:p w:rsidR="0038154A" w:rsidRDefault="0038154A" w:rsidP="00407B63">
      <w:pPr>
        <w:pStyle w:val="Default"/>
        <w:spacing w:line="360" w:lineRule="auto"/>
        <w:jc w:val="center"/>
        <w:rPr>
          <w:sz w:val="23"/>
          <w:szCs w:val="23"/>
        </w:rPr>
      </w:pPr>
      <w:r>
        <w:rPr>
          <w:b/>
          <w:bCs/>
          <w:sz w:val="23"/>
          <w:szCs w:val="23"/>
        </w:rPr>
        <w:t xml:space="preserve">Figure. </w:t>
      </w:r>
      <w:r w:rsidR="002922A0">
        <w:rPr>
          <w:b/>
          <w:bCs/>
          <w:sz w:val="23"/>
          <w:szCs w:val="23"/>
        </w:rPr>
        <w:t>04</w:t>
      </w:r>
      <w:r>
        <w:rPr>
          <w:b/>
          <w:bCs/>
          <w:sz w:val="23"/>
          <w:szCs w:val="23"/>
        </w:rPr>
        <w:t xml:space="preserve">: </w:t>
      </w:r>
      <w:r>
        <w:rPr>
          <w:sz w:val="23"/>
          <w:szCs w:val="23"/>
        </w:rPr>
        <w:t>Récepteurs à activité sérine -thréonine kinase</w:t>
      </w:r>
    </w:p>
    <w:p w:rsidR="00407B63" w:rsidRPr="00407B63" w:rsidRDefault="00407B63" w:rsidP="00407B63">
      <w:pPr>
        <w:pStyle w:val="Default"/>
        <w:spacing w:line="360" w:lineRule="auto"/>
        <w:jc w:val="center"/>
        <w:rPr>
          <w:sz w:val="32"/>
          <w:szCs w:val="32"/>
        </w:rPr>
      </w:pPr>
    </w:p>
    <w:p w:rsidR="0038154A" w:rsidRDefault="00407B63" w:rsidP="00AF420C">
      <w:pPr>
        <w:pStyle w:val="Default"/>
        <w:spacing w:line="360" w:lineRule="auto"/>
        <w:rPr>
          <w:b/>
          <w:bCs/>
          <w:sz w:val="32"/>
          <w:szCs w:val="32"/>
        </w:rPr>
      </w:pPr>
      <w:r w:rsidRPr="00407B63">
        <w:rPr>
          <w:b/>
          <w:bCs/>
          <w:sz w:val="32"/>
          <w:szCs w:val="32"/>
        </w:rPr>
        <w:t xml:space="preserve">II.1.2.3. Récepteurs à activité </w:t>
      </w:r>
      <w:proofErr w:type="spellStart"/>
      <w:r w:rsidRPr="00407B63">
        <w:rPr>
          <w:b/>
          <w:bCs/>
          <w:sz w:val="32"/>
          <w:szCs w:val="32"/>
        </w:rPr>
        <w:t>guanylate</w:t>
      </w:r>
      <w:proofErr w:type="spellEnd"/>
      <w:r w:rsidRPr="00407B63">
        <w:rPr>
          <w:b/>
          <w:bCs/>
          <w:sz w:val="32"/>
          <w:szCs w:val="32"/>
        </w:rPr>
        <w:t xml:space="preserve"> </w:t>
      </w:r>
      <w:proofErr w:type="spellStart"/>
      <w:r w:rsidRPr="00407B63">
        <w:rPr>
          <w:b/>
          <w:bCs/>
          <w:sz w:val="32"/>
          <w:szCs w:val="32"/>
        </w:rPr>
        <w:t>cyclase</w:t>
      </w:r>
      <w:proofErr w:type="spellEnd"/>
    </w:p>
    <w:p w:rsidR="00407B63" w:rsidRPr="00407B63" w:rsidRDefault="00407B63" w:rsidP="00407B63">
      <w:pPr>
        <w:autoSpaceDE w:val="0"/>
        <w:autoSpaceDN w:val="0"/>
        <w:adjustRightInd w:val="0"/>
        <w:spacing w:after="0" w:line="360" w:lineRule="auto"/>
        <w:rPr>
          <w:rFonts w:asciiTheme="majorBidi" w:eastAsia="TimesNewRomanPSMT" w:hAnsiTheme="majorBidi" w:cstheme="majorBidi"/>
          <w:sz w:val="28"/>
          <w:szCs w:val="28"/>
        </w:rPr>
      </w:pPr>
      <w:r w:rsidRPr="00407B63">
        <w:rPr>
          <w:rFonts w:asciiTheme="majorBidi" w:eastAsia="TimesNewRomanPSMT" w:hAnsiTheme="majorBidi" w:cstheme="majorBidi"/>
          <w:sz w:val="28"/>
          <w:szCs w:val="28"/>
        </w:rPr>
        <w:t xml:space="preserve">– Exemples : récepteurs du TGF </w:t>
      </w:r>
      <w:r w:rsidRPr="00407B63">
        <w:rPr>
          <w:rFonts w:asciiTheme="majorBidi" w:eastAsia="SymbolMT" w:hAnsiTheme="majorBidi" w:cstheme="majorBidi"/>
          <w:sz w:val="28"/>
          <w:szCs w:val="28"/>
        </w:rPr>
        <w:t xml:space="preserve"> </w:t>
      </w:r>
      <w:r w:rsidRPr="00407B63">
        <w:rPr>
          <w:rFonts w:asciiTheme="majorBidi" w:eastAsia="TimesNewRomanPSMT" w:hAnsiTheme="majorBidi" w:cstheme="majorBidi"/>
          <w:sz w:val="28"/>
          <w:szCs w:val="28"/>
        </w:rPr>
        <w:t>et des BMP…</w:t>
      </w:r>
    </w:p>
    <w:p w:rsidR="00407B63" w:rsidRPr="00407B63" w:rsidRDefault="00407B63" w:rsidP="00407B63">
      <w:pPr>
        <w:autoSpaceDE w:val="0"/>
        <w:autoSpaceDN w:val="0"/>
        <w:adjustRightInd w:val="0"/>
        <w:spacing w:after="0" w:line="360" w:lineRule="auto"/>
        <w:rPr>
          <w:rFonts w:asciiTheme="majorBidi" w:eastAsia="TimesNewRomanPSMT" w:hAnsiTheme="majorBidi" w:cstheme="majorBidi"/>
          <w:sz w:val="28"/>
          <w:szCs w:val="28"/>
        </w:rPr>
      </w:pPr>
      <w:r w:rsidRPr="00407B63">
        <w:rPr>
          <w:rFonts w:asciiTheme="majorBidi" w:eastAsia="TimesNewRomanPSMT" w:hAnsiTheme="majorBidi" w:cstheme="majorBidi"/>
          <w:sz w:val="28"/>
          <w:szCs w:val="28"/>
        </w:rPr>
        <w:t xml:space="preserve">La fixation du ligand sur ce récepteur-enzyme provoque la formation, à partir de la </w:t>
      </w:r>
      <w:proofErr w:type="spellStart"/>
      <w:r w:rsidRPr="00407B63">
        <w:rPr>
          <w:rFonts w:asciiTheme="majorBidi" w:eastAsia="TimesNewRomanPSMT" w:hAnsiTheme="majorBidi" w:cstheme="majorBidi"/>
          <w:sz w:val="28"/>
          <w:szCs w:val="28"/>
        </w:rPr>
        <w:t>guanosine</w:t>
      </w:r>
      <w:proofErr w:type="spellEnd"/>
      <w:r>
        <w:rPr>
          <w:rFonts w:asciiTheme="majorBidi" w:eastAsia="TimesNewRomanPSMT" w:hAnsiTheme="majorBidi" w:cstheme="majorBidi"/>
          <w:sz w:val="28"/>
          <w:szCs w:val="28"/>
        </w:rPr>
        <w:t xml:space="preserve"> </w:t>
      </w:r>
      <w:r w:rsidRPr="00407B63">
        <w:rPr>
          <w:rFonts w:asciiTheme="majorBidi" w:eastAsia="TimesNewRomanPSMT" w:hAnsiTheme="majorBidi" w:cstheme="majorBidi"/>
          <w:sz w:val="28"/>
          <w:szCs w:val="28"/>
        </w:rPr>
        <w:t xml:space="preserve">triphosphate (GTP), de </w:t>
      </w:r>
      <w:proofErr w:type="spellStart"/>
      <w:r w:rsidRPr="00407B63">
        <w:rPr>
          <w:rFonts w:asciiTheme="majorBidi" w:eastAsia="TimesNewRomanPSMT" w:hAnsiTheme="majorBidi" w:cstheme="majorBidi"/>
          <w:sz w:val="28"/>
          <w:szCs w:val="28"/>
        </w:rPr>
        <w:t>g</w:t>
      </w:r>
      <w:r>
        <w:rPr>
          <w:rFonts w:asciiTheme="majorBidi" w:eastAsia="TimesNewRomanPSMT" w:hAnsiTheme="majorBidi" w:cstheme="majorBidi"/>
          <w:sz w:val="28"/>
          <w:szCs w:val="28"/>
        </w:rPr>
        <w:t>uanosine</w:t>
      </w:r>
      <w:proofErr w:type="spellEnd"/>
      <w:r>
        <w:rPr>
          <w:rFonts w:asciiTheme="majorBidi" w:eastAsia="TimesNewRomanPSMT" w:hAnsiTheme="majorBidi" w:cstheme="majorBidi"/>
          <w:sz w:val="28"/>
          <w:szCs w:val="28"/>
        </w:rPr>
        <w:t xml:space="preserve"> </w:t>
      </w:r>
      <w:proofErr w:type="spellStart"/>
      <w:r>
        <w:rPr>
          <w:rFonts w:asciiTheme="majorBidi" w:eastAsia="TimesNewRomanPSMT" w:hAnsiTheme="majorBidi" w:cstheme="majorBidi"/>
          <w:sz w:val="28"/>
          <w:szCs w:val="28"/>
        </w:rPr>
        <w:t>monophosphate</w:t>
      </w:r>
      <w:proofErr w:type="spellEnd"/>
      <w:r>
        <w:rPr>
          <w:rFonts w:asciiTheme="majorBidi" w:eastAsia="TimesNewRomanPSMT" w:hAnsiTheme="majorBidi" w:cstheme="majorBidi"/>
          <w:sz w:val="28"/>
          <w:szCs w:val="28"/>
        </w:rPr>
        <w:t xml:space="preserve"> cyclique </w:t>
      </w:r>
      <w:r w:rsidRPr="00407B63">
        <w:rPr>
          <w:rFonts w:asciiTheme="majorBidi" w:eastAsia="TimesNewRomanPSMT" w:hAnsiTheme="majorBidi" w:cstheme="majorBidi"/>
          <w:sz w:val="28"/>
          <w:szCs w:val="28"/>
        </w:rPr>
        <w:t>(</w:t>
      </w:r>
      <w:proofErr w:type="spellStart"/>
      <w:r w:rsidRPr="00407B63">
        <w:rPr>
          <w:rFonts w:asciiTheme="majorBidi" w:eastAsia="TimesNewRomanPSMT" w:hAnsiTheme="majorBidi" w:cstheme="majorBidi"/>
          <w:sz w:val="28"/>
          <w:szCs w:val="28"/>
        </w:rPr>
        <w:t>GMPc</w:t>
      </w:r>
      <w:proofErr w:type="spellEnd"/>
      <w:r w:rsidRPr="00407B63">
        <w:rPr>
          <w:rFonts w:asciiTheme="majorBidi" w:eastAsia="TimesNewRomanPSMT" w:hAnsiTheme="majorBidi" w:cstheme="majorBidi"/>
          <w:sz w:val="28"/>
          <w:szCs w:val="28"/>
        </w:rPr>
        <w:t xml:space="preserve">) qui active des </w:t>
      </w:r>
      <w:proofErr w:type="spellStart"/>
      <w:r w:rsidRPr="00407B63">
        <w:rPr>
          <w:rFonts w:asciiTheme="majorBidi" w:eastAsia="TimesNewRomanPSMT" w:hAnsiTheme="majorBidi" w:cstheme="majorBidi"/>
          <w:sz w:val="28"/>
          <w:szCs w:val="28"/>
        </w:rPr>
        <w:t>protéineskinases</w:t>
      </w:r>
      <w:proofErr w:type="spellEnd"/>
      <w:r>
        <w:rPr>
          <w:rFonts w:asciiTheme="majorBidi" w:eastAsia="TimesNewRomanPSMT" w:hAnsiTheme="majorBidi" w:cstheme="majorBidi"/>
          <w:sz w:val="28"/>
          <w:szCs w:val="28"/>
        </w:rPr>
        <w:t xml:space="preserve"> </w:t>
      </w:r>
      <w:r w:rsidRPr="00407B63">
        <w:rPr>
          <w:rFonts w:asciiTheme="majorBidi" w:eastAsia="TimesNewRomanPSMT" w:hAnsiTheme="majorBidi" w:cstheme="majorBidi"/>
          <w:sz w:val="28"/>
          <w:szCs w:val="28"/>
        </w:rPr>
        <w:t>spécifiques (PKG)</w:t>
      </w:r>
    </w:p>
    <w:p w:rsidR="00407B63" w:rsidRPr="00407B63" w:rsidRDefault="00407B63" w:rsidP="00407B63">
      <w:pPr>
        <w:pStyle w:val="Default"/>
        <w:spacing w:line="480" w:lineRule="auto"/>
        <w:jc w:val="both"/>
        <w:rPr>
          <w:sz w:val="28"/>
          <w:szCs w:val="28"/>
        </w:rPr>
      </w:pPr>
      <w:r w:rsidRPr="00407B63">
        <w:rPr>
          <w:sz w:val="28"/>
          <w:szCs w:val="28"/>
        </w:rPr>
        <w:lastRenderedPageBreak/>
        <w:t xml:space="preserve">Les récepteurs à activité </w:t>
      </w:r>
      <w:proofErr w:type="spellStart"/>
      <w:r w:rsidRPr="00407B63">
        <w:rPr>
          <w:sz w:val="28"/>
          <w:szCs w:val="28"/>
        </w:rPr>
        <w:t>guanylate</w:t>
      </w:r>
      <w:proofErr w:type="spellEnd"/>
      <w:r w:rsidRPr="00407B63">
        <w:rPr>
          <w:sz w:val="28"/>
          <w:szCs w:val="28"/>
        </w:rPr>
        <w:t xml:space="preserve"> </w:t>
      </w:r>
      <w:proofErr w:type="spellStart"/>
      <w:r w:rsidRPr="00407B63">
        <w:rPr>
          <w:sz w:val="28"/>
          <w:szCs w:val="28"/>
        </w:rPr>
        <w:t>cyclase</w:t>
      </w:r>
      <w:proofErr w:type="spellEnd"/>
      <w:r w:rsidRPr="00407B63">
        <w:rPr>
          <w:sz w:val="28"/>
          <w:szCs w:val="28"/>
        </w:rPr>
        <w:t xml:space="preserve"> sont l</w:t>
      </w:r>
      <w:r>
        <w:rPr>
          <w:sz w:val="28"/>
          <w:szCs w:val="28"/>
        </w:rPr>
        <w:t xml:space="preserve">es récepteurs des peptides </w:t>
      </w:r>
      <w:proofErr w:type="spellStart"/>
      <w:r w:rsidRPr="00407B63">
        <w:rPr>
          <w:sz w:val="28"/>
          <w:szCs w:val="28"/>
        </w:rPr>
        <w:t>natriurétiques</w:t>
      </w:r>
      <w:proofErr w:type="spellEnd"/>
      <w:r w:rsidRPr="00407B63">
        <w:rPr>
          <w:sz w:val="28"/>
          <w:szCs w:val="28"/>
        </w:rPr>
        <w:t xml:space="preserve">. Il s'agit d'un homo-dimère transmembranaire. L'activation de la </w:t>
      </w:r>
      <w:proofErr w:type="spellStart"/>
      <w:r w:rsidRPr="00407B63">
        <w:rPr>
          <w:sz w:val="28"/>
          <w:szCs w:val="28"/>
        </w:rPr>
        <w:t>guanylate</w:t>
      </w:r>
      <w:proofErr w:type="spellEnd"/>
      <w:r w:rsidRPr="00407B63">
        <w:rPr>
          <w:sz w:val="28"/>
          <w:szCs w:val="28"/>
        </w:rPr>
        <w:t xml:space="preserve"> </w:t>
      </w:r>
      <w:proofErr w:type="spellStart"/>
      <w:r w:rsidRPr="00407B63">
        <w:rPr>
          <w:sz w:val="28"/>
          <w:szCs w:val="28"/>
        </w:rPr>
        <w:t>cyclase</w:t>
      </w:r>
      <w:proofErr w:type="spellEnd"/>
      <w:r w:rsidRPr="00407B63">
        <w:rPr>
          <w:sz w:val="28"/>
          <w:szCs w:val="28"/>
        </w:rPr>
        <w:t xml:space="preserve"> en intracellulaire par la fixation du peptide en extracellulaire induit la synthèse d'un second messager, le GMP cyclique (</w:t>
      </w:r>
      <w:proofErr w:type="spellStart"/>
      <w:r w:rsidRPr="00407B63">
        <w:rPr>
          <w:sz w:val="28"/>
          <w:szCs w:val="28"/>
        </w:rPr>
        <w:t>guanosine</w:t>
      </w:r>
      <w:proofErr w:type="spellEnd"/>
      <w:r w:rsidRPr="00407B63">
        <w:rPr>
          <w:sz w:val="28"/>
          <w:szCs w:val="28"/>
        </w:rPr>
        <w:t>-3',5'-</w:t>
      </w:r>
      <w:proofErr w:type="spellStart"/>
      <w:r w:rsidRPr="00407B63">
        <w:rPr>
          <w:sz w:val="28"/>
          <w:szCs w:val="28"/>
        </w:rPr>
        <w:t>monophosphate</w:t>
      </w:r>
      <w:proofErr w:type="spellEnd"/>
      <w:r w:rsidRPr="00407B63">
        <w:rPr>
          <w:sz w:val="28"/>
          <w:szCs w:val="28"/>
        </w:rPr>
        <w:t xml:space="preserve">) à partir de GTP (Fig. 13). </w:t>
      </w:r>
    </w:p>
    <w:p w:rsidR="00407B63" w:rsidRDefault="00407B63" w:rsidP="00407B63">
      <w:pPr>
        <w:pStyle w:val="Default"/>
        <w:spacing w:line="480" w:lineRule="auto"/>
        <w:jc w:val="both"/>
        <w:rPr>
          <w:sz w:val="28"/>
          <w:szCs w:val="28"/>
        </w:rPr>
      </w:pPr>
      <w:r w:rsidRPr="00407B63">
        <w:rPr>
          <w:sz w:val="28"/>
          <w:szCs w:val="28"/>
        </w:rPr>
        <w:t>10</w:t>
      </w:r>
    </w:p>
    <w:p w:rsidR="00BF4E4C" w:rsidRDefault="00BF4E4C" w:rsidP="00BF4E4C">
      <w:pPr>
        <w:rPr>
          <w:rFonts w:asciiTheme="majorBidi" w:hAnsiTheme="majorBidi" w:cstheme="majorBidi"/>
          <w:b/>
          <w:bCs/>
          <w:sz w:val="32"/>
          <w:szCs w:val="32"/>
        </w:rPr>
      </w:pPr>
      <w:r w:rsidRPr="00762158">
        <w:rPr>
          <w:rFonts w:asciiTheme="majorBidi" w:hAnsiTheme="majorBidi" w:cstheme="majorBidi"/>
          <w:b/>
          <w:bCs/>
          <w:sz w:val="32"/>
          <w:szCs w:val="32"/>
        </w:rPr>
        <w:t xml:space="preserve">Récepteurs à activité </w:t>
      </w:r>
      <w:proofErr w:type="spellStart"/>
      <w:r w:rsidRPr="00762158">
        <w:rPr>
          <w:rFonts w:asciiTheme="majorBidi" w:hAnsiTheme="majorBidi" w:cstheme="majorBidi"/>
          <w:b/>
          <w:bCs/>
          <w:sz w:val="32"/>
          <w:szCs w:val="32"/>
        </w:rPr>
        <w:t>guanylate</w:t>
      </w:r>
      <w:proofErr w:type="spellEnd"/>
      <w:r w:rsidRPr="00762158">
        <w:rPr>
          <w:rFonts w:asciiTheme="majorBidi" w:hAnsiTheme="majorBidi" w:cstheme="majorBidi"/>
          <w:b/>
          <w:bCs/>
          <w:sz w:val="32"/>
          <w:szCs w:val="32"/>
        </w:rPr>
        <w:t xml:space="preserve"> </w:t>
      </w:r>
      <w:proofErr w:type="spellStart"/>
      <w:r w:rsidRPr="00762158">
        <w:rPr>
          <w:rFonts w:asciiTheme="majorBidi" w:hAnsiTheme="majorBidi" w:cstheme="majorBidi"/>
          <w:b/>
          <w:bCs/>
          <w:sz w:val="32"/>
          <w:szCs w:val="32"/>
        </w:rPr>
        <w:t>cyclase</w:t>
      </w:r>
      <w:proofErr w:type="spellEnd"/>
    </w:p>
    <w:p w:rsidR="00BF4E4C" w:rsidRDefault="00BF4E4C" w:rsidP="00BF4E4C">
      <w:pPr>
        <w:jc w:val="both"/>
        <w:rPr>
          <w:rFonts w:asciiTheme="majorBidi" w:hAnsiTheme="majorBidi" w:cstheme="majorBidi"/>
          <w:sz w:val="28"/>
          <w:szCs w:val="28"/>
        </w:rPr>
      </w:pPr>
      <w:r w:rsidRPr="00762158">
        <w:rPr>
          <w:rFonts w:asciiTheme="majorBidi" w:hAnsiTheme="majorBidi" w:cstheme="majorBidi"/>
          <w:sz w:val="28"/>
          <w:szCs w:val="28"/>
        </w:rPr>
        <w:t xml:space="preserve">Les récepteurs à activité </w:t>
      </w:r>
      <w:proofErr w:type="spellStart"/>
      <w:r w:rsidRPr="00762158">
        <w:rPr>
          <w:rFonts w:asciiTheme="majorBidi" w:hAnsiTheme="majorBidi" w:cstheme="majorBidi"/>
          <w:sz w:val="28"/>
          <w:szCs w:val="28"/>
        </w:rPr>
        <w:t>guanylate</w:t>
      </w:r>
      <w:proofErr w:type="spellEnd"/>
      <w:r w:rsidRPr="00762158">
        <w:rPr>
          <w:rFonts w:asciiTheme="majorBidi" w:hAnsiTheme="majorBidi" w:cstheme="majorBidi"/>
          <w:sz w:val="28"/>
          <w:szCs w:val="28"/>
        </w:rPr>
        <w:t xml:space="preserve"> </w:t>
      </w:r>
      <w:proofErr w:type="spellStart"/>
      <w:r w:rsidRPr="00762158">
        <w:rPr>
          <w:rFonts w:asciiTheme="majorBidi" w:hAnsiTheme="majorBidi" w:cstheme="majorBidi"/>
          <w:sz w:val="28"/>
          <w:szCs w:val="28"/>
        </w:rPr>
        <w:t>cyclase</w:t>
      </w:r>
      <w:proofErr w:type="spellEnd"/>
      <w:r w:rsidRPr="00762158">
        <w:rPr>
          <w:rFonts w:asciiTheme="majorBidi" w:hAnsiTheme="majorBidi" w:cstheme="majorBidi"/>
          <w:sz w:val="28"/>
          <w:szCs w:val="28"/>
        </w:rPr>
        <w:t xml:space="preserve"> sont les récepteurs des peptides </w:t>
      </w:r>
      <w:proofErr w:type="spellStart"/>
      <w:r w:rsidRPr="00762158">
        <w:rPr>
          <w:rFonts w:asciiTheme="majorBidi" w:hAnsiTheme="majorBidi" w:cstheme="majorBidi"/>
          <w:sz w:val="28"/>
          <w:szCs w:val="28"/>
        </w:rPr>
        <w:t>natriurétiques</w:t>
      </w:r>
      <w:proofErr w:type="spellEnd"/>
      <w:r w:rsidRPr="00762158">
        <w:rPr>
          <w:rFonts w:asciiTheme="majorBidi" w:hAnsiTheme="majorBidi" w:cstheme="majorBidi"/>
          <w:sz w:val="28"/>
          <w:szCs w:val="28"/>
        </w:rPr>
        <w:t xml:space="preserve">. Il s'agit d'un homo-dimère transmembranaire. L'activation de la </w:t>
      </w:r>
      <w:proofErr w:type="spellStart"/>
      <w:r w:rsidRPr="00762158">
        <w:rPr>
          <w:rFonts w:asciiTheme="majorBidi" w:hAnsiTheme="majorBidi" w:cstheme="majorBidi"/>
          <w:sz w:val="28"/>
          <w:szCs w:val="28"/>
        </w:rPr>
        <w:t>guanylate</w:t>
      </w:r>
      <w:proofErr w:type="spellEnd"/>
      <w:r w:rsidRPr="00762158">
        <w:rPr>
          <w:rFonts w:asciiTheme="majorBidi" w:hAnsiTheme="majorBidi" w:cstheme="majorBidi"/>
          <w:sz w:val="28"/>
          <w:szCs w:val="28"/>
        </w:rPr>
        <w:t xml:space="preserve"> </w:t>
      </w:r>
      <w:proofErr w:type="spellStart"/>
      <w:r w:rsidRPr="00762158">
        <w:rPr>
          <w:rFonts w:asciiTheme="majorBidi" w:hAnsiTheme="majorBidi" w:cstheme="majorBidi"/>
          <w:sz w:val="28"/>
          <w:szCs w:val="28"/>
        </w:rPr>
        <w:t>cyclase</w:t>
      </w:r>
      <w:proofErr w:type="spellEnd"/>
      <w:r w:rsidRPr="00762158">
        <w:rPr>
          <w:rFonts w:asciiTheme="majorBidi" w:hAnsiTheme="majorBidi" w:cstheme="majorBidi"/>
          <w:sz w:val="28"/>
          <w:szCs w:val="28"/>
        </w:rPr>
        <w:t xml:space="preserve"> en intracellulaire par la fixation du peptide en extracellulaire induit la synthèse d'un second messager, le GMP cyclique (</w:t>
      </w:r>
      <w:proofErr w:type="spellStart"/>
      <w:r w:rsidRPr="00762158">
        <w:rPr>
          <w:rFonts w:asciiTheme="majorBidi" w:hAnsiTheme="majorBidi" w:cstheme="majorBidi"/>
          <w:sz w:val="28"/>
          <w:szCs w:val="28"/>
        </w:rPr>
        <w:t>guanosine</w:t>
      </w:r>
      <w:proofErr w:type="spellEnd"/>
      <w:r w:rsidRPr="00762158">
        <w:rPr>
          <w:rFonts w:asciiTheme="majorBidi" w:hAnsiTheme="majorBidi" w:cstheme="majorBidi"/>
          <w:sz w:val="28"/>
          <w:szCs w:val="28"/>
        </w:rPr>
        <w:t>-3',5'-</w:t>
      </w:r>
      <w:proofErr w:type="spellStart"/>
      <w:r w:rsidRPr="00762158">
        <w:rPr>
          <w:rFonts w:asciiTheme="majorBidi" w:hAnsiTheme="majorBidi" w:cstheme="majorBidi"/>
          <w:sz w:val="28"/>
          <w:szCs w:val="28"/>
        </w:rPr>
        <w:t>monophosphate</w:t>
      </w:r>
      <w:proofErr w:type="spellEnd"/>
      <w:r w:rsidRPr="00762158">
        <w:rPr>
          <w:rFonts w:asciiTheme="majorBidi" w:hAnsiTheme="majorBidi" w:cstheme="majorBidi"/>
          <w:sz w:val="28"/>
          <w:szCs w:val="28"/>
        </w:rPr>
        <w:t>) à partir de GTP</w:t>
      </w:r>
    </w:p>
    <w:p w:rsidR="00BF4E4C" w:rsidRDefault="00BF4E4C" w:rsidP="00BF4E4C">
      <w:pPr>
        <w:jc w:val="cente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3309438" cy="4746171"/>
            <wp:effectExtent l="19050" t="0" r="5262"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11300" cy="4748841"/>
                    </a:xfrm>
                    <a:prstGeom prst="rect">
                      <a:avLst/>
                    </a:prstGeom>
                    <a:noFill/>
                    <a:ln w="9525">
                      <a:noFill/>
                      <a:miter lim="800000"/>
                      <a:headEnd/>
                      <a:tailEnd/>
                    </a:ln>
                  </pic:spPr>
                </pic:pic>
              </a:graphicData>
            </a:graphic>
          </wp:inline>
        </w:drawing>
      </w:r>
    </w:p>
    <w:p w:rsidR="00BF4E4C" w:rsidRDefault="00BF4E4C" w:rsidP="00BF4E4C">
      <w:pPr>
        <w:jc w:val="center"/>
        <w:rPr>
          <w:rFonts w:asciiTheme="majorBidi" w:hAnsiTheme="majorBidi" w:cstheme="majorBidi"/>
          <w:sz w:val="28"/>
          <w:szCs w:val="28"/>
        </w:rPr>
      </w:pPr>
      <w:r w:rsidRPr="00762158">
        <w:rPr>
          <w:rFonts w:asciiTheme="majorBidi" w:hAnsiTheme="majorBidi" w:cstheme="majorBidi"/>
          <w:b/>
          <w:bCs/>
          <w:sz w:val="28"/>
          <w:szCs w:val="28"/>
        </w:rPr>
        <w:t xml:space="preserve">Figure. 05 </w:t>
      </w:r>
      <w:r w:rsidRPr="00762158">
        <w:rPr>
          <w:rFonts w:asciiTheme="majorBidi" w:hAnsiTheme="majorBidi" w:cstheme="majorBidi"/>
          <w:sz w:val="28"/>
          <w:szCs w:val="28"/>
        </w:rPr>
        <w:t xml:space="preserve">Récepteurs à activité </w:t>
      </w:r>
      <w:proofErr w:type="spellStart"/>
      <w:r w:rsidRPr="00762158">
        <w:rPr>
          <w:rFonts w:asciiTheme="majorBidi" w:hAnsiTheme="majorBidi" w:cstheme="majorBidi"/>
          <w:sz w:val="28"/>
          <w:szCs w:val="28"/>
        </w:rPr>
        <w:t>guanylate</w:t>
      </w:r>
      <w:proofErr w:type="spellEnd"/>
      <w:r w:rsidRPr="00762158">
        <w:rPr>
          <w:rFonts w:asciiTheme="majorBidi" w:hAnsiTheme="majorBidi" w:cstheme="majorBidi"/>
          <w:sz w:val="28"/>
          <w:szCs w:val="28"/>
        </w:rPr>
        <w:t xml:space="preserve"> </w:t>
      </w:r>
      <w:proofErr w:type="spellStart"/>
      <w:proofErr w:type="gramStart"/>
      <w:r w:rsidRPr="00762158">
        <w:rPr>
          <w:rFonts w:asciiTheme="majorBidi" w:hAnsiTheme="majorBidi" w:cstheme="majorBidi"/>
          <w:sz w:val="28"/>
          <w:szCs w:val="28"/>
        </w:rPr>
        <w:t>cyclase</w:t>
      </w:r>
      <w:proofErr w:type="spellEnd"/>
      <w:r w:rsidRPr="00762158">
        <w:rPr>
          <w:rFonts w:asciiTheme="majorBidi" w:hAnsiTheme="majorBidi" w:cstheme="majorBidi"/>
          <w:sz w:val="28"/>
          <w:szCs w:val="28"/>
        </w:rPr>
        <w:t xml:space="preserve"> .</w:t>
      </w:r>
      <w:proofErr w:type="gramEnd"/>
    </w:p>
    <w:p w:rsidR="00BF4E4C" w:rsidRPr="00762158" w:rsidRDefault="00BF4E4C" w:rsidP="00BF4E4C">
      <w:pPr>
        <w:pStyle w:val="Default"/>
        <w:spacing w:line="360" w:lineRule="auto"/>
        <w:rPr>
          <w:rFonts w:asciiTheme="majorBidi" w:hAnsiTheme="majorBidi" w:cstheme="majorBidi"/>
          <w:sz w:val="32"/>
          <w:szCs w:val="32"/>
        </w:rPr>
      </w:pPr>
      <w:r w:rsidRPr="00762158">
        <w:rPr>
          <w:rFonts w:asciiTheme="majorBidi" w:hAnsiTheme="majorBidi" w:cstheme="majorBidi"/>
          <w:b/>
          <w:bCs/>
          <w:sz w:val="32"/>
          <w:szCs w:val="32"/>
        </w:rPr>
        <w:t xml:space="preserve">3. Les récepteurs couplés à des effecteurs distincts </w:t>
      </w:r>
    </w:p>
    <w:p w:rsidR="00BF4E4C" w:rsidRPr="00762158" w:rsidRDefault="00BF4E4C" w:rsidP="00BF4E4C">
      <w:pPr>
        <w:pStyle w:val="Default"/>
        <w:spacing w:line="360" w:lineRule="auto"/>
        <w:rPr>
          <w:rFonts w:asciiTheme="majorBidi" w:hAnsiTheme="majorBidi" w:cstheme="majorBidi"/>
          <w:sz w:val="32"/>
          <w:szCs w:val="32"/>
        </w:rPr>
      </w:pPr>
      <w:r w:rsidRPr="00762158">
        <w:rPr>
          <w:rFonts w:asciiTheme="majorBidi" w:hAnsiTheme="majorBidi" w:cstheme="majorBidi"/>
          <w:sz w:val="32"/>
          <w:szCs w:val="32"/>
        </w:rPr>
        <w:t xml:space="preserve">Ils n'exercent que la fonction de réception du signal et vont nécessiter l'action d'autres </w:t>
      </w:r>
    </w:p>
    <w:p w:rsidR="00BF4E4C" w:rsidRPr="00762158" w:rsidRDefault="00BF4E4C" w:rsidP="00BF4E4C">
      <w:pPr>
        <w:pStyle w:val="Default"/>
        <w:spacing w:line="360" w:lineRule="auto"/>
        <w:rPr>
          <w:rFonts w:asciiTheme="majorBidi" w:hAnsiTheme="majorBidi" w:cstheme="majorBidi"/>
          <w:sz w:val="32"/>
          <w:szCs w:val="32"/>
        </w:rPr>
      </w:pPr>
      <w:proofErr w:type="gramStart"/>
      <w:r w:rsidRPr="00762158">
        <w:rPr>
          <w:rFonts w:asciiTheme="majorBidi" w:hAnsiTheme="majorBidi" w:cstheme="majorBidi"/>
          <w:sz w:val="32"/>
          <w:szCs w:val="32"/>
        </w:rPr>
        <w:t>protéines</w:t>
      </w:r>
      <w:proofErr w:type="gramEnd"/>
      <w:r w:rsidRPr="00762158">
        <w:rPr>
          <w:rFonts w:asciiTheme="majorBidi" w:hAnsiTheme="majorBidi" w:cstheme="majorBidi"/>
          <w:sz w:val="32"/>
          <w:szCs w:val="32"/>
        </w:rPr>
        <w:t xml:space="preserve"> pour la transduction du signal. </w:t>
      </w:r>
    </w:p>
    <w:p w:rsidR="00BF4E4C" w:rsidRPr="00762158" w:rsidRDefault="00BF4E4C" w:rsidP="00BF4E4C">
      <w:pPr>
        <w:pStyle w:val="Default"/>
        <w:spacing w:line="360" w:lineRule="auto"/>
        <w:jc w:val="both"/>
        <w:rPr>
          <w:rFonts w:asciiTheme="majorBidi" w:hAnsiTheme="majorBidi" w:cstheme="majorBidi"/>
          <w:sz w:val="32"/>
          <w:szCs w:val="32"/>
        </w:rPr>
      </w:pPr>
      <w:r w:rsidRPr="00762158">
        <w:rPr>
          <w:rFonts w:asciiTheme="majorBidi" w:hAnsiTheme="majorBidi" w:cstheme="majorBidi"/>
          <w:b/>
          <w:bCs/>
          <w:sz w:val="32"/>
          <w:szCs w:val="32"/>
        </w:rPr>
        <w:t xml:space="preserve">3.1. Récepteurs couplés à des protéines G </w:t>
      </w:r>
    </w:p>
    <w:p w:rsidR="00BF4E4C" w:rsidRDefault="00BF4E4C" w:rsidP="00BF4E4C">
      <w:pPr>
        <w:pStyle w:val="Default"/>
        <w:spacing w:line="360" w:lineRule="auto"/>
        <w:jc w:val="both"/>
        <w:rPr>
          <w:rFonts w:asciiTheme="majorBidi" w:hAnsiTheme="majorBidi" w:cstheme="majorBidi"/>
          <w:sz w:val="32"/>
          <w:szCs w:val="32"/>
        </w:rPr>
      </w:pPr>
      <w:r w:rsidRPr="00762158">
        <w:rPr>
          <w:rFonts w:asciiTheme="majorBidi" w:hAnsiTheme="majorBidi" w:cstheme="majorBidi"/>
          <w:sz w:val="32"/>
          <w:szCs w:val="32"/>
        </w:rPr>
        <w:t xml:space="preserve">Ils représentent la plus grande famille de récepteurs. Ils participent aux réponses cellulaires provenant de molécules informatives très diverses (Hormones, Peptides, </w:t>
      </w:r>
      <w:r>
        <w:rPr>
          <w:rFonts w:asciiTheme="majorBidi" w:hAnsiTheme="majorBidi" w:cstheme="majorBidi"/>
          <w:sz w:val="32"/>
          <w:szCs w:val="32"/>
        </w:rPr>
        <w:t>d</w:t>
      </w:r>
      <w:r w:rsidRPr="00762158">
        <w:rPr>
          <w:rFonts w:asciiTheme="majorBidi" w:hAnsiTheme="majorBidi" w:cstheme="majorBidi"/>
          <w:sz w:val="32"/>
          <w:szCs w:val="32"/>
        </w:rPr>
        <w:t xml:space="preserve">érivés d'acides aminés et d'acides gras ....). Ils contrôlent indirectement l’activité d’une protéine </w:t>
      </w:r>
      <w:r>
        <w:rPr>
          <w:rFonts w:asciiTheme="majorBidi" w:hAnsiTheme="majorBidi" w:cstheme="majorBidi"/>
          <w:sz w:val="32"/>
          <w:szCs w:val="32"/>
        </w:rPr>
        <w:t xml:space="preserve"> </w:t>
      </w:r>
      <w:r w:rsidRPr="00762158">
        <w:rPr>
          <w:rFonts w:asciiTheme="majorBidi" w:hAnsiTheme="majorBidi" w:cstheme="majorBidi"/>
          <w:sz w:val="32"/>
          <w:szCs w:val="32"/>
        </w:rPr>
        <w:t xml:space="preserve">cible par l’intermédiaire d’une protéine G hétérométrique qui joue le rôle de </w:t>
      </w:r>
      <w:r w:rsidRPr="00762158">
        <w:rPr>
          <w:rFonts w:asciiTheme="majorBidi" w:hAnsiTheme="majorBidi" w:cstheme="majorBidi"/>
          <w:sz w:val="32"/>
          <w:szCs w:val="32"/>
        </w:rPr>
        <w:lastRenderedPageBreak/>
        <w:t xml:space="preserve">transducteur. Les </w:t>
      </w:r>
      <w:proofErr w:type="spellStart"/>
      <w:r w:rsidRPr="00762158">
        <w:rPr>
          <w:rFonts w:asciiTheme="majorBidi" w:hAnsiTheme="majorBidi" w:cstheme="majorBidi"/>
          <w:sz w:val="32"/>
          <w:szCs w:val="32"/>
        </w:rPr>
        <w:t>RCPGs</w:t>
      </w:r>
      <w:proofErr w:type="spellEnd"/>
      <w:r w:rsidRPr="00762158">
        <w:rPr>
          <w:rFonts w:asciiTheme="majorBidi" w:hAnsiTheme="majorBidi" w:cstheme="majorBidi"/>
          <w:sz w:val="32"/>
          <w:szCs w:val="32"/>
        </w:rPr>
        <w:t xml:space="preserve"> ont en commun l’existence de sept domaines transmembranaires (élément structural </w:t>
      </w:r>
      <w:r>
        <w:rPr>
          <w:rFonts w:asciiTheme="majorBidi" w:hAnsiTheme="majorBidi" w:cstheme="majorBidi"/>
          <w:sz w:val="32"/>
          <w:szCs w:val="32"/>
        </w:rPr>
        <w:t xml:space="preserve"> </w:t>
      </w:r>
      <w:r w:rsidRPr="00762158">
        <w:rPr>
          <w:rFonts w:asciiTheme="majorBidi" w:hAnsiTheme="majorBidi" w:cstheme="majorBidi"/>
          <w:sz w:val="32"/>
          <w:szCs w:val="32"/>
        </w:rPr>
        <w:t xml:space="preserve">central), une portion N-terminale extracellulaire, une portion C-terminale intracellulaire, trois </w:t>
      </w:r>
      <w:r>
        <w:rPr>
          <w:rFonts w:asciiTheme="majorBidi" w:hAnsiTheme="majorBidi" w:cstheme="majorBidi"/>
          <w:sz w:val="32"/>
          <w:szCs w:val="32"/>
        </w:rPr>
        <w:t xml:space="preserve"> </w:t>
      </w:r>
      <w:r w:rsidRPr="00762158">
        <w:rPr>
          <w:rFonts w:asciiTheme="majorBidi" w:hAnsiTheme="majorBidi" w:cstheme="majorBidi"/>
          <w:sz w:val="32"/>
          <w:szCs w:val="32"/>
        </w:rPr>
        <w:t xml:space="preserve">boucles intracellulaires et trois boucles extracellulaires. La taille de ces protéines est très </w:t>
      </w:r>
      <w:r>
        <w:rPr>
          <w:rFonts w:asciiTheme="majorBidi" w:hAnsiTheme="majorBidi" w:cstheme="majorBidi"/>
          <w:sz w:val="32"/>
          <w:szCs w:val="32"/>
        </w:rPr>
        <w:t xml:space="preserve"> </w:t>
      </w:r>
      <w:r w:rsidRPr="00762158">
        <w:rPr>
          <w:rFonts w:asciiTheme="majorBidi" w:hAnsiTheme="majorBidi" w:cstheme="majorBidi"/>
          <w:sz w:val="32"/>
          <w:szCs w:val="32"/>
        </w:rPr>
        <w:t>variable (de 200 à 1 500 acides aminés)</w:t>
      </w:r>
    </w:p>
    <w:p w:rsidR="00BF4E4C" w:rsidRDefault="00BF4E4C" w:rsidP="00BF4E4C">
      <w:pPr>
        <w:pStyle w:val="Default"/>
        <w:spacing w:line="360" w:lineRule="auto"/>
        <w:jc w:val="center"/>
        <w:rPr>
          <w:rFonts w:asciiTheme="majorBidi" w:hAnsiTheme="majorBidi" w:cstheme="majorBidi"/>
          <w:sz w:val="32"/>
          <w:szCs w:val="32"/>
        </w:rPr>
      </w:pPr>
      <w:r>
        <w:rPr>
          <w:rFonts w:asciiTheme="majorBidi" w:hAnsiTheme="majorBidi" w:cstheme="majorBidi"/>
          <w:noProof/>
          <w:sz w:val="32"/>
          <w:szCs w:val="32"/>
          <w:lang w:eastAsia="fr-FR"/>
        </w:rPr>
        <w:drawing>
          <wp:inline distT="0" distB="0" distL="0" distR="0">
            <wp:extent cx="3954236" cy="2013857"/>
            <wp:effectExtent l="19050" t="0" r="8164"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56954" cy="2015241"/>
                    </a:xfrm>
                    <a:prstGeom prst="rect">
                      <a:avLst/>
                    </a:prstGeom>
                    <a:noFill/>
                    <a:ln w="9525">
                      <a:noFill/>
                      <a:miter lim="800000"/>
                      <a:headEnd/>
                      <a:tailEnd/>
                    </a:ln>
                  </pic:spPr>
                </pic:pic>
              </a:graphicData>
            </a:graphic>
          </wp:inline>
        </w:drawing>
      </w:r>
    </w:p>
    <w:p w:rsidR="00BF4E4C" w:rsidRDefault="00BF4E4C" w:rsidP="00BF4E4C">
      <w:pPr>
        <w:pStyle w:val="Default"/>
        <w:spacing w:line="360" w:lineRule="auto"/>
        <w:jc w:val="center"/>
        <w:rPr>
          <w:sz w:val="32"/>
          <w:szCs w:val="32"/>
        </w:rPr>
      </w:pPr>
      <w:r w:rsidRPr="00FA58C9">
        <w:rPr>
          <w:b/>
          <w:bCs/>
          <w:sz w:val="32"/>
          <w:szCs w:val="32"/>
        </w:rPr>
        <w:t xml:space="preserve">Figure. 06: </w:t>
      </w:r>
      <w:r w:rsidRPr="00FA58C9">
        <w:rPr>
          <w:sz w:val="32"/>
          <w:szCs w:val="32"/>
        </w:rPr>
        <w:t>Structure des récepteurs couplés à des protéines G.</w:t>
      </w:r>
    </w:p>
    <w:p w:rsidR="00BF4E4C" w:rsidRDefault="00BF4E4C" w:rsidP="00BF4E4C">
      <w:pPr>
        <w:pStyle w:val="Default"/>
        <w:spacing w:line="360" w:lineRule="auto"/>
        <w:jc w:val="center"/>
        <w:rPr>
          <w:sz w:val="32"/>
          <w:szCs w:val="32"/>
        </w:rPr>
      </w:pPr>
    </w:p>
    <w:p w:rsidR="00BF4E4C" w:rsidRDefault="00BF4E4C" w:rsidP="00BF4E4C">
      <w:pPr>
        <w:pStyle w:val="Default"/>
        <w:spacing w:line="360" w:lineRule="auto"/>
        <w:jc w:val="both"/>
        <w:rPr>
          <w:rFonts w:asciiTheme="majorBidi" w:hAnsiTheme="majorBidi" w:cstheme="majorBidi"/>
          <w:sz w:val="32"/>
          <w:szCs w:val="32"/>
        </w:rPr>
      </w:pPr>
      <w:r w:rsidRPr="0070216C">
        <w:rPr>
          <w:rFonts w:asciiTheme="majorBidi" w:hAnsiTheme="majorBidi" w:cstheme="majorBidi"/>
          <w:sz w:val="32"/>
          <w:szCs w:val="32"/>
        </w:rPr>
        <w:t xml:space="preserve">Une protéine G est un </w:t>
      </w:r>
      <w:proofErr w:type="spellStart"/>
      <w:r w:rsidRPr="0070216C">
        <w:rPr>
          <w:rFonts w:asciiTheme="majorBidi" w:hAnsiTheme="majorBidi" w:cstheme="majorBidi"/>
          <w:sz w:val="32"/>
          <w:szCs w:val="32"/>
        </w:rPr>
        <w:t>hétérodimère</w:t>
      </w:r>
      <w:proofErr w:type="spellEnd"/>
      <w:r w:rsidRPr="0070216C">
        <w:rPr>
          <w:rFonts w:asciiTheme="majorBidi" w:hAnsiTheme="majorBidi" w:cstheme="majorBidi"/>
          <w:sz w:val="32"/>
          <w:szCs w:val="32"/>
        </w:rPr>
        <w:t xml:space="preserve"> pouvant fixer du GTP. Elle est constituée de trois sous-unités α, β, γ. α et β étant ancrées à la membrane. La sous -unité α </w:t>
      </w:r>
      <w:proofErr w:type="spellStart"/>
      <w:r w:rsidRPr="0070216C">
        <w:rPr>
          <w:rFonts w:asciiTheme="majorBidi" w:hAnsiTheme="majorBidi" w:cstheme="majorBidi"/>
          <w:sz w:val="32"/>
          <w:szCs w:val="32"/>
        </w:rPr>
        <w:t>posséde</w:t>
      </w:r>
      <w:proofErr w:type="spellEnd"/>
      <w:r w:rsidRPr="0070216C">
        <w:rPr>
          <w:rFonts w:asciiTheme="majorBidi" w:hAnsiTheme="majorBidi" w:cstheme="majorBidi"/>
          <w:sz w:val="32"/>
          <w:szCs w:val="32"/>
        </w:rPr>
        <w:t xml:space="preserve"> une activité </w:t>
      </w:r>
      <w:proofErr w:type="spellStart"/>
      <w:r w:rsidRPr="0070216C">
        <w:rPr>
          <w:rFonts w:asciiTheme="majorBidi" w:hAnsiTheme="majorBidi" w:cstheme="majorBidi"/>
          <w:sz w:val="32"/>
          <w:szCs w:val="32"/>
        </w:rPr>
        <w:t>GTPasique</w:t>
      </w:r>
      <w:proofErr w:type="spellEnd"/>
      <w:r w:rsidRPr="0070216C">
        <w:rPr>
          <w:rFonts w:asciiTheme="majorBidi" w:hAnsiTheme="majorBidi" w:cstheme="majorBidi"/>
          <w:sz w:val="32"/>
          <w:szCs w:val="32"/>
        </w:rPr>
        <w:t xml:space="preserve"> lente. La protéine G est activée par fixation d'un G TP sur sa sous-unité α (</w:t>
      </w:r>
      <w:proofErr w:type="spellStart"/>
      <w:r w:rsidRPr="0070216C">
        <w:rPr>
          <w:rFonts w:asciiTheme="majorBidi" w:hAnsiTheme="majorBidi" w:cstheme="majorBidi"/>
          <w:sz w:val="32"/>
          <w:szCs w:val="32"/>
        </w:rPr>
        <w:t>Gα</w:t>
      </w:r>
      <w:proofErr w:type="spellEnd"/>
      <w:r w:rsidRPr="0070216C">
        <w:rPr>
          <w:rFonts w:asciiTheme="majorBidi" w:hAnsiTheme="majorBidi" w:cstheme="majorBidi"/>
          <w:sz w:val="32"/>
          <w:szCs w:val="32"/>
        </w:rPr>
        <w:t>-GTP) et s'inactive par hydrolyse du GTP en GDP (</w:t>
      </w:r>
      <w:proofErr w:type="spellStart"/>
      <w:r w:rsidRPr="0070216C">
        <w:rPr>
          <w:rFonts w:asciiTheme="majorBidi" w:hAnsiTheme="majorBidi" w:cstheme="majorBidi"/>
          <w:sz w:val="32"/>
          <w:szCs w:val="32"/>
        </w:rPr>
        <w:t>Gα</w:t>
      </w:r>
      <w:proofErr w:type="spellEnd"/>
      <w:r w:rsidRPr="0070216C">
        <w:rPr>
          <w:rFonts w:asciiTheme="majorBidi" w:hAnsiTheme="majorBidi" w:cstheme="majorBidi"/>
          <w:sz w:val="32"/>
          <w:szCs w:val="32"/>
        </w:rPr>
        <w:t xml:space="preserve">-GDP). Quand il y a fixation de la molécule informative le changement de conformation spatiale se transmet à la sous -unité Gα. Celle-ci échange GDP contre GTP et simultanément </w:t>
      </w:r>
      <w:proofErr w:type="spellStart"/>
      <w:r w:rsidRPr="0070216C">
        <w:rPr>
          <w:rFonts w:asciiTheme="majorBidi" w:hAnsiTheme="majorBidi" w:cstheme="majorBidi"/>
          <w:sz w:val="32"/>
          <w:szCs w:val="32"/>
        </w:rPr>
        <w:t>ell</w:t>
      </w:r>
      <w:proofErr w:type="spellEnd"/>
      <w:r w:rsidRPr="0070216C">
        <w:rPr>
          <w:rFonts w:asciiTheme="majorBidi" w:hAnsiTheme="majorBidi" w:cstheme="majorBidi"/>
          <w:sz w:val="32"/>
          <w:szCs w:val="32"/>
        </w:rPr>
        <w:t xml:space="preserve"> e se dissocie du dimère Gβγ. Elle va </w:t>
      </w:r>
      <w:r>
        <w:rPr>
          <w:rFonts w:asciiTheme="majorBidi" w:hAnsiTheme="majorBidi" w:cstheme="majorBidi"/>
          <w:sz w:val="32"/>
          <w:szCs w:val="32"/>
        </w:rPr>
        <w:t xml:space="preserve"> </w:t>
      </w:r>
      <w:r w:rsidRPr="0070216C">
        <w:rPr>
          <w:rFonts w:asciiTheme="majorBidi" w:hAnsiTheme="majorBidi" w:cstheme="majorBidi"/>
          <w:sz w:val="32"/>
          <w:szCs w:val="32"/>
        </w:rPr>
        <w:t xml:space="preserve">alors activer la protéine enzymatique effectrice. Après phosphorylation et retour à la forme inactive le complexe </w:t>
      </w:r>
      <w:proofErr w:type="spellStart"/>
      <w:r w:rsidRPr="0070216C">
        <w:rPr>
          <w:rFonts w:asciiTheme="majorBidi" w:hAnsiTheme="majorBidi" w:cstheme="majorBidi"/>
          <w:sz w:val="32"/>
          <w:szCs w:val="32"/>
        </w:rPr>
        <w:t>hétérodimérique</w:t>
      </w:r>
      <w:proofErr w:type="spellEnd"/>
      <w:r w:rsidRPr="0070216C">
        <w:rPr>
          <w:rFonts w:asciiTheme="majorBidi" w:hAnsiTheme="majorBidi" w:cstheme="majorBidi"/>
          <w:sz w:val="32"/>
          <w:szCs w:val="32"/>
        </w:rPr>
        <w:t xml:space="preserve"> G α-GDP/</w:t>
      </w:r>
      <w:proofErr w:type="spellStart"/>
      <w:r w:rsidRPr="0070216C">
        <w:rPr>
          <w:rFonts w:asciiTheme="majorBidi" w:hAnsiTheme="majorBidi" w:cstheme="majorBidi"/>
          <w:sz w:val="32"/>
          <w:szCs w:val="32"/>
        </w:rPr>
        <w:t>Gβγ</w:t>
      </w:r>
      <w:proofErr w:type="spellEnd"/>
      <w:r w:rsidRPr="0070216C">
        <w:rPr>
          <w:rFonts w:asciiTheme="majorBidi" w:hAnsiTheme="majorBidi" w:cstheme="majorBidi"/>
          <w:sz w:val="32"/>
          <w:szCs w:val="32"/>
        </w:rPr>
        <w:t xml:space="preserve"> se reforme, la transduction s'arrête. Ils existent plusieurs protéines G. Les </w:t>
      </w:r>
      <w:proofErr w:type="spellStart"/>
      <w:r w:rsidRPr="0070216C">
        <w:rPr>
          <w:rFonts w:asciiTheme="majorBidi" w:hAnsiTheme="majorBidi" w:cstheme="majorBidi"/>
          <w:sz w:val="32"/>
          <w:szCs w:val="32"/>
        </w:rPr>
        <w:t>Gαs</w:t>
      </w:r>
      <w:proofErr w:type="spellEnd"/>
      <w:r w:rsidRPr="0070216C">
        <w:rPr>
          <w:rFonts w:asciiTheme="majorBidi" w:hAnsiTheme="majorBidi" w:cstheme="majorBidi"/>
          <w:sz w:val="32"/>
          <w:szCs w:val="32"/>
        </w:rPr>
        <w:t xml:space="preserve"> activent l'</w:t>
      </w:r>
      <w:proofErr w:type="spellStart"/>
      <w:r w:rsidRPr="0070216C">
        <w:rPr>
          <w:rFonts w:asciiTheme="majorBidi" w:hAnsiTheme="majorBidi" w:cstheme="majorBidi"/>
          <w:sz w:val="32"/>
          <w:szCs w:val="32"/>
        </w:rPr>
        <w:t>adénylate</w:t>
      </w:r>
      <w:proofErr w:type="spellEnd"/>
      <w:r w:rsidRPr="0070216C">
        <w:rPr>
          <w:rFonts w:asciiTheme="majorBidi" w:hAnsiTheme="majorBidi" w:cstheme="majorBidi"/>
          <w:sz w:val="32"/>
          <w:szCs w:val="32"/>
        </w:rPr>
        <w:t xml:space="preserve"> </w:t>
      </w:r>
      <w:proofErr w:type="spellStart"/>
      <w:r w:rsidRPr="0070216C">
        <w:rPr>
          <w:rFonts w:asciiTheme="majorBidi" w:hAnsiTheme="majorBidi" w:cstheme="majorBidi"/>
          <w:sz w:val="32"/>
          <w:szCs w:val="32"/>
        </w:rPr>
        <w:t>cyclase</w:t>
      </w:r>
      <w:proofErr w:type="spellEnd"/>
      <w:r w:rsidRPr="0070216C">
        <w:rPr>
          <w:rFonts w:asciiTheme="majorBidi" w:hAnsiTheme="majorBidi" w:cstheme="majorBidi"/>
          <w:sz w:val="32"/>
          <w:szCs w:val="32"/>
        </w:rPr>
        <w:t xml:space="preserve">, </w:t>
      </w:r>
      <w:r w:rsidRPr="0070216C">
        <w:rPr>
          <w:rFonts w:asciiTheme="majorBidi" w:hAnsiTheme="majorBidi" w:cstheme="majorBidi"/>
          <w:sz w:val="32"/>
          <w:szCs w:val="32"/>
        </w:rPr>
        <w:lastRenderedPageBreak/>
        <w:t xml:space="preserve">les </w:t>
      </w:r>
      <w:proofErr w:type="spellStart"/>
      <w:r w:rsidRPr="0070216C">
        <w:rPr>
          <w:rFonts w:asciiTheme="majorBidi" w:hAnsiTheme="majorBidi" w:cstheme="majorBidi"/>
          <w:sz w:val="32"/>
          <w:szCs w:val="32"/>
        </w:rPr>
        <w:t>Gαi</w:t>
      </w:r>
      <w:proofErr w:type="spellEnd"/>
      <w:r w:rsidRPr="0070216C">
        <w:rPr>
          <w:rFonts w:asciiTheme="majorBidi" w:hAnsiTheme="majorBidi" w:cstheme="majorBidi"/>
          <w:sz w:val="32"/>
          <w:szCs w:val="32"/>
        </w:rPr>
        <w:t xml:space="preserve"> l'inhibent, les </w:t>
      </w:r>
      <w:proofErr w:type="spellStart"/>
      <w:r w:rsidRPr="0070216C">
        <w:rPr>
          <w:rFonts w:asciiTheme="majorBidi" w:hAnsiTheme="majorBidi" w:cstheme="majorBidi"/>
          <w:sz w:val="32"/>
          <w:szCs w:val="32"/>
        </w:rPr>
        <w:t>Gαq</w:t>
      </w:r>
      <w:proofErr w:type="spellEnd"/>
      <w:r w:rsidRPr="0070216C">
        <w:rPr>
          <w:rFonts w:asciiTheme="majorBidi" w:hAnsiTheme="majorBidi" w:cstheme="majorBidi"/>
          <w:sz w:val="32"/>
          <w:szCs w:val="32"/>
        </w:rPr>
        <w:t xml:space="preserve"> activent la </w:t>
      </w:r>
      <w:proofErr w:type="spellStart"/>
      <w:r w:rsidRPr="0070216C">
        <w:rPr>
          <w:rFonts w:asciiTheme="majorBidi" w:hAnsiTheme="majorBidi" w:cstheme="majorBidi"/>
          <w:sz w:val="32"/>
          <w:szCs w:val="32"/>
        </w:rPr>
        <w:t>phospholipase</w:t>
      </w:r>
      <w:proofErr w:type="spellEnd"/>
      <w:r w:rsidRPr="0070216C">
        <w:rPr>
          <w:rFonts w:asciiTheme="majorBidi" w:hAnsiTheme="majorBidi" w:cstheme="majorBidi"/>
          <w:sz w:val="32"/>
          <w:szCs w:val="32"/>
        </w:rPr>
        <w:t xml:space="preserve"> C. le complexe </w:t>
      </w:r>
      <w:proofErr w:type="spellStart"/>
      <w:r w:rsidRPr="0070216C">
        <w:rPr>
          <w:rFonts w:asciiTheme="majorBidi" w:hAnsiTheme="majorBidi" w:cstheme="majorBidi"/>
          <w:sz w:val="32"/>
          <w:szCs w:val="32"/>
        </w:rPr>
        <w:t>Gβγ</w:t>
      </w:r>
      <w:proofErr w:type="spellEnd"/>
      <w:r w:rsidRPr="0070216C">
        <w:rPr>
          <w:rFonts w:asciiTheme="majorBidi" w:hAnsiTheme="majorBidi" w:cstheme="majorBidi"/>
          <w:sz w:val="32"/>
          <w:szCs w:val="32"/>
        </w:rPr>
        <w:t xml:space="preserve"> peut également moduler l'activité </w:t>
      </w:r>
      <w:r>
        <w:rPr>
          <w:rFonts w:asciiTheme="majorBidi" w:hAnsiTheme="majorBidi" w:cstheme="majorBidi"/>
          <w:sz w:val="32"/>
          <w:szCs w:val="32"/>
        </w:rPr>
        <w:t xml:space="preserve"> </w:t>
      </w:r>
      <w:r w:rsidRPr="0070216C">
        <w:rPr>
          <w:rFonts w:asciiTheme="majorBidi" w:hAnsiTheme="majorBidi" w:cstheme="majorBidi"/>
          <w:sz w:val="32"/>
          <w:szCs w:val="32"/>
        </w:rPr>
        <w:t xml:space="preserve">d'effecteurs au moins aussi nombreux que ceux contrôlés par les G α. Par exemple, les sous-unités </w:t>
      </w:r>
      <w:proofErr w:type="spellStart"/>
      <w:r w:rsidRPr="0070216C">
        <w:rPr>
          <w:rFonts w:asciiTheme="majorBidi" w:hAnsiTheme="majorBidi" w:cstheme="majorBidi"/>
          <w:sz w:val="32"/>
          <w:szCs w:val="32"/>
        </w:rPr>
        <w:t>Gβγ</w:t>
      </w:r>
      <w:proofErr w:type="spellEnd"/>
      <w:r w:rsidRPr="0070216C">
        <w:rPr>
          <w:rFonts w:asciiTheme="majorBidi" w:hAnsiTheme="majorBidi" w:cstheme="majorBidi"/>
          <w:sz w:val="32"/>
          <w:szCs w:val="32"/>
        </w:rPr>
        <w:t xml:space="preserve"> ralentissent le rythme cardiaque via leur association avec les canaux potassiques à </w:t>
      </w:r>
      <w:r>
        <w:rPr>
          <w:rFonts w:asciiTheme="majorBidi" w:hAnsiTheme="majorBidi" w:cstheme="majorBidi"/>
          <w:sz w:val="32"/>
          <w:szCs w:val="32"/>
        </w:rPr>
        <w:t xml:space="preserve"> </w:t>
      </w:r>
      <w:r w:rsidRPr="0070216C">
        <w:rPr>
          <w:rFonts w:asciiTheme="majorBidi" w:hAnsiTheme="majorBidi" w:cstheme="majorBidi"/>
          <w:sz w:val="32"/>
          <w:szCs w:val="32"/>
        </w:rPr>
        <w:t xml:space="preserve">rectification entrante ("GIRK: G </w:t>
      </w:r>
      <w:proofErr w:type="spellStart"/>
      <w:r w:rsidRPr="0070216C">
        <w:rPr>
          <w:rFonts w:asciiTheme="majorBidi" w:hAnsiTheme="majorBidi" w:cstheme="majorBidi"/>
          <w:sz w:val="32"/>
          <w:szCs w:val="32"/>
        </w:rPr>
        <w:t>protein</w:t>
      </w:r>
      <w:proofErr w:type="spellEnd"/>
      <w:r w:rsidRPr="0070216C">
        <w:rPr>
          <w:rFonts w:asciiTheme="majorBidi" w:hAnsiTheme="majorBidi" w:cstheme="majorBidi"/>
          <w:sz w:val="32"/>
          <w:szCs w:val="32"/>
        </w:rPr>
        <w:t>-</w:t>
      </w:r>
      <w:proofErr w:type="spellStart"/>
      <w:r w:rsidRPr="0070216C">
        <w:rPr>
          <w:rFonts w:asciiTheme="majorBidi" w:hAnsiTheme="majorBidi" w:cstheme="majorBidi"/>
          <w:sz w:val="32"/>
          <w:szCs w:val="32"/>
        </w:rPr>
        <w:t>coupled</w:t>
      </w:r>
      <w:proofErr w:type="spellEnd"/>
      <w:r w:rsidRPr="0070216C">
        <w:rPr>
          <w:rFonts w:asciiTheme="majorBidi" w:hAnsiTheme="majorBidi" w:cstheme="majorBidi"/>
          <w:sz w:val="32"/>
          <w:szCs w:val="32"/>
        </w:rPr>
        <w:t xml:space="preserve"> </w:t>
      </w:r>
      <w:proofErr w:type="spellStart"/>
      <w:r w:rsidRPr="0070216C">
        <w:rPr>
          <w:rFonts w:asciiTheme="majorBidi" w:hAnsiTheme="majorBidi" w:cstheme="majorBidi"/>
          <w:sz w:val="32"/>
          <w:szCs w:val="32"/>
        </w:rPr>
        <w:t>inwardly</w:t>
      </w:r>
      <w:proofErr w:type="spellEnd"/>
      <w:r w:rsidRPr="0070216C">
        <w:rPr>
          <w:rFonts w:asciiTheme="majorBidi" w:hAnsiTheme="majorBidi" w:cstheme="majorBidi"/>
          <w:sz w:val="32"/>
          <w:szCs w:val="32"/>
        </w:rPr>
        <w:t xml:space="preserve"> </w:t>
      </w:r>
      <w:proofErr w:type="spellStart"/>
      <w:r w:rsidRPr="0070216C">
        <w:rPr>
          <w:rFonts w:asciiTheme="majorBidi" w:hAnsiTheme="majorBidi" w:cstheme="majorBidi"/>
          <w:sz w:val="32"/>
          <w:szCs w:val="32"/>
        </w:rPr>
        <w:t>rectifying</w:t>
      </w:r>
      <w:proofErr w:type="spellEnd"/>
      <w:r w:rsidRPr="0070216C">
        <w:rPr>
          <w:rFonts w:asciiTheme="majorBidi" w:hAnsiTheme="majorBidi" w:cstheme="majorBidi"/>
          <w:sz w:val="32"/>
          <w:szCs w:val="32"/>
        </w:rPr>
        <w:t xml:space="preserve"> K+") (Fig. </w:t>
      </w:r>
      <w:r>
        <w:rPr>
          <w:rFonts w:asciiTheme="majorBidi" w:hAnsiTheme="majorBidi" w:cstheme="majorBidi"/>
          <w:sz w:val="32"/>
          <w:szCs w:val="32"/>
        </w:rPr>
        <w:t>7</w:t>
      </w:r>
      <w:r w:rsidRPr="0070216C">
        <w:rPr>
          <w:rFonts w:asciiTheme="majorBidi" w:hAnsiTheme="majorBidi" w:cstheme="majorBidi"/>
          <w:sz w:val="32"/>
          <w:szCs w:val="32"/>
        </w:rPr>
        <w:t>).</w:t>
      </w:r>
    </w:p>
    <w:p w:rsidR="00BF4E4C" w:rsidRDefault="00BF4E4C" w:rsidP="00BF4E4C">
      <w:pPr>
        <w:pStyle w:val="Default"/>
        <w:spacing w:line="360" w:lineRule="auto"/>
        <w:jc w:val="both"/>
        <w:rPr>
          <w:rFonts w:asciiTheme="majorBidi" w:hAnsiTheme="majorBidi" w:cstheme="majorBidi"/>
          <w:sz w:val="32"/>
          <w:szCs w:val="32"/>
        </w:rPr>
      </w:pPr>
      <w:r>
        <w:rPr>
          <w:rFonts w:asciiTheme="majorBidi" w:hAnsiTheme="majorBidi" w:cstheme="majorBidi"/>
          <w:noProof/>
          <w:sz w:val="32"/>
          <w:szCs w:val="32"/>
          <w:lang w:eastAsia="fr-FR"/>
        </w:rPr>
        <w:drawing>
          <wp:inline distT="0" distB="0" distL="0" distR="0">
            <wp:extent cx="7706885" cy="4691743"/>
            <wp:effectExtent l="19050" t="0" r="836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709799" cy="4693517"/>
                    </a:xfrm>
                    <a:prstGeom prst="rect">
                      <a:avLst/>
                    </a:prstGeom>
                    <a:noFill/>
                    <a:ln w="9525">
                      <a:noFill/>
                      <a:miter lim="800000"/>
                      <a:headEnd/>
                      <a:tailEnd/>
                    </a:ln>
                  </pic:spPr>
                </pic:pic>
              </a:graphicData>
            </a:graphic>
          </wp:inline>
        </w:drawing>
      </w:r>
    </w:p>
    <w:p w:rsidR="00BF4E4C" w:rsidRDefault="00BF4E4C" w:rsidP="00BF4E4C">
      <w:pPr>
        <w:pStyle w:val="Default"/>
        <w:spacing w:line="360" w:lineRule="auto"/>
        <w:jc w:val="center"/>
        <w:rPr>
          <w:sz w:val="32"/>
          <w:szCs w:val="32"/>
        </w:rPr>
      </w:pPr>
      <w:r w:rsidRPr="0070216C">
        <w:rPr>
          <w:b/>
          <w:bCs/>
          <w:sz w:val="32"/>
          <w:szCs w:val="32"/>
        </w:rPr>
        <w:t xml:space="preserve">Figure. </w:t>
      </w:r>
      <w:r>
        <w:rPr>
          <w:b/>
          <w:bCs/>
          <w:sz w:val="32"/>
          <w:szCs w:val="32"/>
        </w:rPr>
        <w:t>07</w:t>
      </w:r>
      <w:r w:rsidRPr="0070216C">
        <w:rPr>
          <w:b/>
          <w:bCs/>
          <w:sz w:val="32"/>
          <w:szCs w:val="32"/>
        </w:rPr>
        <w:t xml:space="preserve">: </w:t>
      </w:r>
      <w:r w:rsidRPr="0070216C">
        <w:rPr>
          <w:sz w:val="32"/>
          <w:szCs w:val="32"/>
        </w:rPr>
        <w:t>Activation des sous-unités de la protéine G.</w:t>
      </w:r>
    </w:p>
    <w:p w:rsidR="00BF4E4C" w:rsidRPr="00CF0370" w:rsidRDefault="00BF4E4C" w:rsidP="00BF4E4C">
      <w:pPr>
        <w:pStyle w:val="Default"/>
        <w:spacing w:line="360" w:lineRule="auto"/>
        <w:rPr>
          <w:rFonts w:asciiTheme="majorBidi" w:hAnsiTheme="majorBidi" w:cstheme="majorBidi"/>
          <w:sz w:val="32"/>
          <w:szCs w:val="32"/>
        </w:rPr>
      </w:pPr>
      <w:r w:rsidRPr="00CF0370">
        <w:rPr>
          <w:rFonts w:asciiTheme="majorBidi" w:hAnsiTheme="majorBidi" w:cstheme="majorBidi"/>
          <w:sz w:val="32"/>
          <w:szCs w:val="32"/>
        </w:rPr>
        <w:t xml:space="preserve">Trois exemples de l’action de la protéine G via l’activation de la sous-unité </w:t>
      </w:r>
      <w:proofErr w:type="spellStart"/>
      <w:r w:rsidRPr="00CF0370">
        <w:rPr>
          <w:rFonts w:asciiTheme="majorBidi" w:hAnsiTheme="majorBidi" w:cstheme="majorBidi"/>
          <w:sz w:val="32"/>
          <w:szCs w:val="32"/>
        </w:rPr>
        <w:t>Gα</w:t>
      </w:r>
      <w:proofErr w:type="spellEnd"/>
      <w:r w:rsidRPr="00CF0370">
        <w:rPr>
          <w:rFonts w:asciiTheme="majorBidi" w:hAnsiTheme="majorBidi" w:cstheme="majorBidi"/>
          <w:sz w:val="32"/>
          <w:szCs w:val="32"/>
        </w:rPr>
        <w:t xml:space="preserve"> sur des effecteurs enzymatiques seront traités, la voie </w:t>
      </w:r>
      <w:proofErr w:type="spellStart"/>
      <w:r w:rsidRPr="00CF0370">
        <w:rPr>
          <w:rFonts w:asciiTheme="majorBidi" w:hAnsiTheme="majorBidi" w:cstheme="majorBidi"/>
          <w:sz w:val="32"/>
          <w:szCs w:val="32"/>
        </w:rPr>
        <w:t>adénylcyclase</w:t>
      </w:r>
      <w:proofErr w:type="spellEnd"/>
      <w:r w:rsidRPr="00CF0370">
        <w:rPr>
          <w:rFonts w:asciiTheme="majorBidi" w:hAnsiTheme="majorBidi" w:cstheme="majorBidi"/>
          <w:sz w:val="32"/>
          <w:szCs w:val="32"/>
        </w:rPr>
        <w:t xml:space="preserve"> avec l’</w:t>
      </w:r>
      <w:proofErr w:type="spellStart"/>
      <w:r w:rsidRPr="00CF0370">
        <w:rPr>
          <w:rFonts w:asciiTheme="majorBidi" w:hAnsiTheme="majorBidi" w:cstheme="majorBidi"/>
          <w:sz w:val="32"/>
          <w:szCs w:val="32"/>
        </w:rPr>
        <w:t>AMPc</w:t>
      </w:r>
      <w:proofErr w:type="spellEnd"/>
      <w:r w:rsidRPr="00CF0370">
        <w:rPr>
          <w:rFonts w:asciiTheme="majorBidi" w:hAnsiTheme="majorBidi" w:cstheme="majorBidi"/>
          <w:sz w:val="32"/>
          <w:szCs w:val="32"/>
        </w:rPr>
        <w:t xml:space="preserve">, la voie </w:t>
      </w:r>
    </w:p>
    <w:p w:rsidR="00BF4E4C" w:rsidRPr="00CF0370" w:rsidRDefault="00BF4E4C" w:rsidP="00BF4E4C">
      <w:pPr>
        <w:pStyle w:val="Default"/>
        <w:spacing w:line="360" w:lineRule="auto"/>
        <w:rPr>
          <w:rFonts w:asciiTheme="majorBidi" w:hAnsiTheme="majorBidi" w:cstheme="majorBidi"/>
          <w:sz w:val="32"/>
          <w:szCs w:val="32"/>
        </w:rPr>
      </w:pPr>
      <w:proofErr w:type="spellStart"/>
      <w:proofErr w:type="gramStart"/>
      <w:r w:rsidRPr="00CF0370">
        <w:rPr>
          <w:rFonts w:asciiTheme="majorBidi" w:hAnsiTheme="majorBidi" w:cstheme="majorBidi"/>
          <w:sz w:val="32"/>
          <w:szCs w:val="32"/>
        </w:rPr>
        <w:t>phospholipase</w:t>
      </w:r>
      <w:proofErr w:type="spellEnd"/>
      <w:proofErr w:type="gramEnd"/>
      <w:r w:rsidRPr="00CF0370">
        <w:rPr>
          <w:rFonts w:asciiTheme="majorBidi" w:hAnsiTheme="majorBidi" w:cstheme="majorBidi"/>
          <w:sz w:val="32"/>
          <w:szCs w:val="32"/>
        </w:rPr>
        <w:t xml:space="preserve"> C et la voie </w:t>
      </w:r>
      <w:proofErr w:type="spellStart"/>
      <w:r w:rsidRPr="00CF0370">
        <w:rPr>
          <w:rFonts w:asciiTheme="majorBidi" w:hAnsiTheme="majorBidi" w:cstheme="majorBidi"/>
          <w:sz w:val="32"/>
          <w:szCs w:val="32"/>
        </w:rPr>
        <w:t>transducine</w:t>
      </w:r>
      <w:proofErr w:type="spellEnd"/>
      <w:r w:rsidRPr="00CF0370">
        <w:rPr>
          <w:rFonts w:asciiTheme="majorBidi" w:hAnsiTheme="majorBidi" w:cstheme="majorBidi"/>
          <w:sz w:val="32"/>
          <w:szCs w:val="32"/>
        </w:rPr>
        <w:t>-</w:t>
      </w:r>
      <w:proofErr w:type="spellStart"/>
      <w:r w:rsidRPr="00CF0370">
        <w:rPr>
          <w:rFonts w:asciiTheme="majorBidi" w:hAnsiTheme="majorBidi" w:cstheme="majorBidi"/>
          <w:sz w:val="32"/>
          <w:szCs w:val="32"/>
        </w:rPr>
        <w:t>phosphodiestérase</w:t>
      </w:r>
      <w:proofErr w:type="spellEnd"/>
      <w:r w:rsidRPr="00CF0370">
        <w:rPr>
          <w:rFonts w:asciiTheme="majorBidi" w:hAnsiTheme="majorBidi" w:cstheme="majorBidi"/>
          <w:sz w:val="32"/>
          <w:szCs w:val="32"/>
        </w:rPr>
        <w:t>.</w:t>
      </w:r>
    </w:p>
    <w:p w:rsidR="00BF4E4C" w:rsidRPr="00407B63" w:rsidRDefault="00BF4E4C" w:rsidP="00407B63">
      <w:pPr>
        <w:pStyle w:val="Default"/>
        <w:spacing w:line="480" w:lineRule="auto"/>
        <w:jc w:val="both"/>
        <w:rPr>
          <w:rFonts w:asciiTheme="majorBidi" w:hAnsiTheme="majorBidi" w:cstheme="majorBidi"/>
          <w:sz w:val="28"/>
          <w:szCs w:val="28"/>
        </w:rPr>
      </w:pPr>
    </w:p>
    <w:sectPr w:rsidR="00BF4E4C" w:rsidRPr="00407B63" w:rsidSect="008650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PSMT"/>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666E1F"/>
    <w:rsid w:val="00114AD0"/>
    <w:rsid w:val="0012245E"/>
    <w:rsid w:val="002922A0"/>
    <w:rsid w:val="0029449B"/>
    <w:rsid w:val="0038154A"/>
    <w:rsid w:val="00407B63"/>
    <w:rsid w:val="004936B5"/>
    <w:rsid w:val="00666E1F"/>
    <w:rsid w:val="00671610"/>
    <w:rsid w:val="0075047D"/>
    <w:rsid w:val="0077382E"/>
    <w:rsid w:val="008650AD"/>
    <w:rsid w:val="009B1E15"/>
    <w:rsid w:val="00AE1B0B"/>
    <w:rsid w:val="00AF420C"/>
    <w:rsid w:val="00B10F96"/>
    <w:rsid w:val="00BF4E4C"/>
    <w:rsid w:val="00CF1834"/>
    <w:rsid w:val="00DA247B"/>
    <w:rsid w:val="00E50C38"/>
    <w:rsid w:val="00FD192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0A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5047D"/>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504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047D"/>
    <w:rPr>
      <w:rFonts w:ascii="Tahoma" w:hAnsi="Tahoma" w:cs="Tahoma"/>
      <w:sz w:val="16"/>
      <w:szCs w:val="16"/>
    </w:rPr>
  </w:style>
  <w:style w:type="paragraph" w:styleId="Paragraphedeliste">
    <w:name w:val="List Paragraph"/>
    <w:basedOn w:val="Normal"/>
    <w:uiPriority w:val="34"/>
    <w:qFormat/>
    <w:rsid w:val="0012245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1523</Words>
  <Characters>8378</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2024-10-10T13:36:00Z</dcterms:created>
  <dcterms:modified xsi:type="dcterms:W3CDTF">2024-10-19T14:11:00Z</dcterms:modified>
</cp:coreProperties>
</file>