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2DC" w:rsidRDefault="00FB6B88">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i/>
          <w:sz w:val="32"/>
        </w:rPr>
        <w:t>Chapitre II : Types de la thérapie génique</w:t>
      </w:r>
    </w:p>
    <w:p w:rsidR="003702DC" w:rsidRDefault="00FB6B88" w:rsidP="00411A49">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411A49" w:rsidRPr="00411A49" w:rsidRDefault="00411A49" w:rsidP="00411A49">
      <w:pPr>
        <w:pStyle w:val="Paragraphedeliste"/>
        <w:numPr>
          <w:ilvl w:val="0"/>
          <w:numId w:val="1"/>
        </w:num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Historique </w:t>
      </w:r>
    </w:p>
    <w:p w:rsidR="003702DC" w:rsidRDefault="00FB6B88" w:rsidP="00DA1113">
      <w:pPr>
        <w:spacing w:after="92" w:line="360" w:lineRule="auto"/>
        <w:jc w:val="both"/>
        <w:rPr>
          <w:rFonts w:ascii="Times New Roman" w:eastAsia="Times New Roman" w:hAnsi="Times New Roman" w:cs="Times New Roman"/>
          <w:color w:val="1D1D1D"/>
          <w:sz w:val="24"/>
        </w:rPr>
      </w:pPr>
      <w:r>
        <w:rPr>
          <w:rFonts w:ascii="Times New Roman" w:eastAsia="Times New Roman" w:hAnsi="Times New Roman" w:cs="Times New Roman"/>
          <w:color w:val="1D1D1D"/>
          <w:sz w:val="24"/>
        </w:rPr>
        <w:tab/>
        <w:t>La thérapie génique a été appliquée pour la première fois à l'homme en 1989, aux États-Unis, mais c'est en 1990 seulement que la première expérience à visée véritablement thérapeutique a eu lieu, dans le même pays, au bénéfice d'un enfant atteint d'une maladie héréditaire rarissime, le déficit en adénosine désaminase. Peu après, cette nouvelle méthode gagne. Plus de 80 % des recherches menées actuellement concernent le traitement du cancer. Les tentatives de thérapie génique de maladies héréditaires sont moins nombreuses</w:t>
      </w:r>
    </w:p>
    <w:p w:rsidR="00DA1113" w:rsidRPr="00DA1113" w:rsidRDefault="00DA1113" w:rsidP="00DA1113">
      <w:pPr>
        <w:pStyle w:val="Paragraphedeliste"/>
        <w:numPr>
          <w:ilvl w:val="0"/>
          <w:numId w:val="1"/>
        </w:numPr>
        <w:spacing w:after="92" w:line="360" w:lineRule="auto"/>
        <w:jc w:val="both"/>
        <w:rPr>
          <w:rFonts w:ascii="Times New Roman" w:eastAsia="Times New Roman" w:hAnsi="Times New Roman" w:cs="Times New Roman"/>
          <w:b/>
          <w:bCs/>
          <w:color w:val="1D1D1D"/>
          <w:sz w:val="24"/>
        </w:rPr>
      </w:pPr>
      <w:r w:rsidRPr="00DA1113">
        <w:rPr>
          <w:rFonts w:ascii="Times New Roman" w:eastAsia="Times New Roman" w:hAnsi="Times New Roman" w:cs="Times New Roman"/>
          <w:b/>
          <w:bCs/>
          <w:color w:val="1D1D1D"/>
          <w:sz w:val="24"/>
        </w:rPr>
        <w:t xml:space="preserve">Indications </w:t>
      </w:r>
    </w:p>
    <w:p w:rsidR="000B2EC5" w:rsidRDefault="00FB6B88">
      <w:pPr>
        <w:spacing w:after="92" w:line="360" w:lineRule="auto"/>
        <w:jc w:val="both"/>
        <w:rPr>
          <w:rFonts w:ascii="Times New Roman" w:eastAsia="Times New Roman" w:hAnsi="Times New Roman" w:cs="Times New Roman"/>
          <w:color w:val="1D1D1D"/>
          <w:sz w:val="24"/>
        </w:rPr>
      </w:pPr>
      <w:r>
        <w:rPr>
          <w:rFonts w:ascii="Times New Roman" w:eastAsia="Times New Roman" w:hAnsi="Times New Roman" w:cs="Times New Roman"/>
          <w:color w:val="1D1D1D"/>
          <w:sz w:val="24"/>
        </w:rPr>
        <w:tab/>
        <w:t xml:space="preserve">La thérapie génique n'a pas d'indications, au sens habituel du terme, puisqu'elle n'est encore qu'au début de sa phase expérimentale : un médecin qui ne participe pas à un travail de recherche ne peut proposer à ses patients de les soigner par thérapie génique. On peut cependant citer les maladies qui ont donné lieu à des expériences thérapeutiques chez l'homme ou qui semblent sur le point d'en faire l'objet : </w:t>
      </w:r>
    </w:p>
    <w:p w:rsidR="000B2EC5" w:rsidRDefault="00FB6B88" w:rsidP="000B2EC5">
      <w:pPr>
        <w:pStyle w:val="Paragraphedeliste"/>
        <w:numPr>
          <w:ilvl w:val="0"/>
          <w:numId w:val="2"/>
        </w:numPr>
        <w:spacing w:after="92" w:line="360" w:lineRule="auto"/>
        <w:jc w:val="both"/>
        <w:rPr>
          <w:rFonts w:ascii="Times New Roman" w:eastAsia="Times New Roman" w:hAnsi="Times New Roman" w:cs="Times New Roman"/>
          <w:color w:val="1D1D1D"/>
          <w:sz w:val="24"/>
        </w:rPr>
      </w:pPr>
      <w:r w:rsidRPr="000B2EC5">
        <w:rPr>
          <w:rFonts w:ascii="Times New Roman" w:eastAsia="Times New Roman" w:hAnsi="Times New Roman" w:cs="Times New Roman"/>
          <w:color w:val="1D1D1D"/>
          <w:sz w:val="24"/>
        </w:rPr>
        <w:t xml:space="preserve">maladies héréditaires (déficit en adénosine désaminase, hémophilie, hypercholestérolémie familiale, mucoviscidose), </w:t>
      </w:r>
    </w:p>
    <w:p w:rsidR="000B2EC5" w:rsidRDefault="00FB6B88" w:rsidP="000B2EC5">
      <w:pPr>
        <w:pStyle w:val="Paragraphedeliste"/>
        <w:numPr>
          <w:ilvl w:val="0"/>
          <w:numId w:val="2"/>
        </w:numPr>
        <w:spacing w:after="92" w:line="360" w:lineRule="auto"/>
        <w:jc w:val="both"/>
        <w:rPr>
          <w:rFonts w:ascii="Times New Roman" w:eastAsia="Times New Roman" w:hAnsi="Times New Roman" w:cs="Times New Roman"/>
          <w:color w:val="1D1D1D"/>
          <w:sz w:val="24"/>
        </w:rPr>
      </w:pPr>
      <w:r w:rsidRPr="000B2EC5">
        <w:rPr>
          <w:rFonts w:ascii="Times New Roman" w:eastAsia="Times New Roman" w:hAnsi="Times New Roman" w:cs="Times New Roman"/>
          <w:color w:val="1D1D1D"/>
          <w:sz w:val="24"/>
        </w:rPr>
        <w:t xml:space="preserve">cancers (leucémie, mélanome malin, cancer des bronches, du cerveau, du côlon, de l'ovaire, du rein, du sein), </w:t>
      </w:r>
    </w:p>
    <w:p w:rsidR="000B2EC5" w:rsidRDefault="00FB6B88" w:rsidP="000B2EC5">
      <w:pPr>
        <w:pStyle w:val="Paragraphedeliste"/>
        <w:numPr>
          <w:ilvl w:val="0"/>
          <w:numId w:val="2"/>
        </w:numPr>
        <w:spacing w:after="92" w:line="360" w:lineRule="auto"/>
        <w:jc w:val="both"/>
        <w:rPr>
          <w:rFonts w:ascii="Times New Roman" w:eastAsia="Times New Roman" w:hAnsi="Times New Roman" w:cs="Times New Roman"/>
          <w:color w:val="1D1D1D"/>
          <w:sz w:val="24"/>
        </w:rPr>
      </w:pPr>
      <w:r w:rsidRPr="000B2EC5">
        <w:rPr>
          <w:rFonts w:ascii="Times New Roman" w:eastAsia="Times New Roman" w:hAnsi="Times New Roman" w:cs="Times New Roman"/>
          <w:color w:val="1D1D1D"/>
          <w:sz w:val="24"/>
        </w:rPr>
        <w:t xml:space="preserve">maladies infectieuses (hépatite virale grave, sida), </w:t>
      </w:r>
    </w:p>
    <w:p w:rsidR="003702DC" w:rsidRPr="000B2EC5" w:rsidRDefault="00FB6B88" w:rsidP="000B2EC5">
      <w:pPr>
        <w:pStyle w:val="Paragraphedeliste"/>
        <w:numPr>
          <w:ilvl w:val="0"/>
          <w:numId w:val="2"/>
        </w:numPr>
        <w:spacing w:after="92" w:line="360" w:lineRule="auto"/>
        <w:jc w:val="both"/>
        <w:rPr>
          <w:rFonts w:ascii="Times New Roman" w:eastAsia="Times New Roman" w:hAnsi="Times New Roman" w:cs="Times New Roman"/>
          <w:color w:val="1D1D1D"/>
          <w:sz w:val="24"/>
        </w:rPr>
      </w:pPr>
      <w:r w:rsidRPr="000B2EC5">
        <w:rPr>
          <w:rFonts w:ascii="Times New Roman" w:eastAsia="Times New Roman" w:hAnsi="Times New Roman" w:cs="Times New Roman"/>
          <w:color w:val="1D1D1D"/>
          <w:sz w:val="24"/>
        </w:rPr>
        <w:t>maladie de Parkinson</w:t>
      </w:r>
      <w:r w:rsidR="000B2EC5">
        <w:rPr>
          <w:rFonts w:ascii="Times New Roman" w:eastAsia="Times New Roman" w:hAnsi="Times New Roman" w:cs="Times New Roman"/>
          <w:color w:val="1D1D1D"/>
          <w:sz w:val="24"/>
        </w:rPr>
        <w:t xml:space="preserve"> </w:t>
      </w:r>
      <w:r w:rsidRPr="000B2EC5">
        <w:rPr>
          <w:rFonts w:ascii="Times New Roman" w:eastAsia="Times New Roman" w:hAnsi="Times New Roman" w:cs="Times New Roman"/>
          <w:color w:val="1D1D1D"/>
          <w:sz w:val="24"/>
        </w:rPr>
        <w:t>etc.</w:t>
      </w:r>
    </w:p>
    <w:p w:rsidR="003702DC" w:rsidRDefault="00FB6B88" w:rsidP="005D2F1B">
      <w:pPr>
        <w:spacing w:line="360" w:lineRule="auto"/>
        <w:jc w:val="both"/>
        <w:rPr>
          <w:rFonts w:ascii="Times New Roman" w:eastAsia="Times New Roman" w:hAnsi="Times New Roman" w:cs="Times New Roman"/>
          <w:color w:val="1D1D1D"/>
          <w:sz w:val="24"/>
        </w:rPr>
      </w:pPr>
      <w:r>
        <w:rPr>
          <w:rFonts w:ascii="Times New Roman" w:eastAsia="Times New Roman" w:hAnsi="Times New Roman" w:cs="Times New Roman"/>
          <w:color w:val="1D1D1D"/>
          <w:sz w:val="24"/>
        </w:rPr>
        <w:t>Des essais sont également engagés de stimulation du développement du circuit vasculaire par thérapie génique, ceci afin de contrebalancer les effets ischémiques de l'athérosclérose coronaire sur le myocarde. D'autres tentatives sont menées dans le traitement de certaines affections hématologiques touchant les cellules circulantes, ainsi que dans celui de certains déficits immunitaires chez l'enfant.</w:t>
      </w:r>
    </w:p>
    <w:p w:rsidR="00EB39CA" w:rsidRPr="00EB39CA" w:rsidRDefault="00444CFB" w:rsidP="008A257F">
      <w:pPr>
        <w:pStyle w:val="Paragraphedeliste"/>
        <w:numPr>
          <w:ilvl w:val="0"/>
          <w:numId w:val="1"/>
        </w:numPr>
        <w:spacing w:after="0" w:line="360" w:lineRule="auto"/>
        <w:jc w:val="both"/>
        <w:rPr>
          <w:rFonts w:ascii="Times New Roman" w:eastAsia="Times New Roman" w:hAnsi="Times New Roman" w:cs="Times New Roman"/>
          <w:b/>
          <w:bCs/>
          <w:color w:val="1D1D1D"/>
          <w:sz w:val="24"/>
        </w:rPr>
      </w:pPr>
      <w:r>
        <w:rPr>
          <w:rFonts w:ascii="Times New Roman" w:eastAsia="Times New Roman" w:hAnsi="Times New Roman" w:cs="Times New Roman"/>
          <w:b/>
          <w:bCs/>
          <w:color w:val="1D1D1D"/>
          <w:sz w:val="24"/>
        </w:rPr>
        <w:t>T</w:t>
      </w:r>
      <w:r w:rsidR="00EB39CA" w:rsidRPr="00EB39CA">
        <w:rPr>
          <w:rFonts w:ascii="Times New Roman" w:eastAsia="Times New Roman" w:hAnsi="Times New Roman" w:cs="Times New Roman"/>
          <w:b/>
          <w:bCs/>
          <w:color w:val="1D1D1D"/>
          <w:sz w:val="24"/>
        </w:rPr>
        <w:t>ypes de thérapie génique</w:t>
      </w:r>
    </w:p>
    <w:p w:rsidR="005D2F1B" w:rsidRPr="005D2F1B" w:rsidRDefault="00FB6B88" w:rsidP="008A257F">
      <w:pPr>
        <w:pStyle w:val="NormalWeb"/>
        <w:spacing w:before="0" w:beforeAutospacing="0" w:after="0" w:afterAutospacing="0" w:line="360" w:lineRule="auto"/>
        <w:ind w:firstLine="360"/>
        <w:jc w:val="both"/>
      </w:pPr>
      <w:r>
        <w:rPr>
          <w:color w:val="1D1D1D"/>
        </w:rPr>
        <w:tab/>
      </w:r>
      <w:r w:rsidRPr="005D2F1B">
        <w:rPr>
          <w:color w:val="1D1D1D"/>
        </w:rPr>
        <w:t xml:space="preserve">La thérapie génique </w:t>
      </w:r>
      <w:r w:rsidR="003F705D">
        <w:t xml:space="preserve">consiste à  </w:t>
      </w:r>
      <w:r w:rsidRPr="005D2F1B">
        <w:t xml:space="preserve"> introdui</w:t>
      </w:r>
      <w:r w:rsidR="003F705D">
        <w:t>re</w:t>
      </w:r>
      <w:r w:rsidRPr="005D2F1B">
        <w:t xml:space="preserve"> </w:t>
      </w:r>
      <w:r w:rsidR="008A257F">
        <w:t>un gène dans des cellules du malade ; et s</w:t>
      </w:r>
      <w:r w:rsidR="005D2F1B" w:rsidRPr="005D2F1B">
        <w:t xml:space="preserve">elon la </w:t>
      </w:r>
      <w:r w:rsidR="005D2F1B" w:rsidRPr="005D2F1B">
        <w:rPr>
          <w:rStyle w:val="lev"/>
          <w:b w:val="0"/>
          <w:bCs w:val="0"/>
        </w:rPr>
        <w:t>nature des cellules ciblées</w:t>
      </w:r>
      <w:r w:rsidR="005D2F1B" w:rsidRPr="005D2F1B">
        <w:t>, on distingue deux grands types de thérapie génique :</w:t>
      </w:r>
    </w:p>
    <w:p w:rsidR="005D2F1B" w:rsidRPr="005D2F1B" w:rsidRDefault="005D2F1B" w:rsidP="005D2F1B">
      <w:pPr>
        <w:pStyle w:val="NormalWeb"/>
        <w:numPr>
          <w:ilvl w:val="0"/>
          <w:numId w:val="3"/>
        </w:numPr>
        <w:spacing w:before="0" w:beforeAutospacing="0" w:line="360" w:lineRule="auto"/>
      </w:pPr>
      <w:r w:rsidRPr="005D2F1B">
        <w:t xml:space="preserve">la </w:t>
      </w:r>
      <w:r w:rsidRPr="005D2F1B">
        <w:rPr>
          <w:rStyle w:val="lev"/>
          <w:b w:val="0"/>
          <w:bCs w:val="0"/>
        </w:rPr>
        <w:t>thérapie génique somatique</w:t>
      </w:r>
      <w:r w:rsidRPr="005D2F1B">
        <w:rPr>
          <w:b/>
          <w:bCs/>
        </w:rPr>
        <w:t>,</w:t>
      </w:r>
    </w:p>
    <w:p w:rsidR="005D2F1B" w:rsidRPr="005D2F1B" w:rsidRDefault="005D2F1B" w:rsidP="005D2F1B">
      <w:pPr>
        <w:pStyle w:val="NormalWeb"/>
        <w:numPr>
          <w:ilvl w:val="0"/>
          <w:numId w:val="3"/>
        </w:numPr>
        <w:spacing w:line="360" w:lineRule="auto"/>
        <w:rPr>
          <w:b/>
          <w:bCs/>
        </w:rPr>
      </w:pPr>
      <w:r w:rsidRPr="005D2F1B">
        <w:t xml:space="preserve">la </w:t>
      </w:r>
      <w:r w:rsidRPr="005D2F1B">
        <w:rPr>
          <w:rStyle w:val="lev"/>
          <w:b w:val="0"/>
          <w:bCs w:val="0"/>
        </w:rPr>
        <w:t>thérapie génique germinale</w:t>
      </w:r>
      <w:r w:rsidRPr="005D2F1B">
        <w:rPr>
          <w:b/>
          <w:bCs/>
        </w:rPr>
        <w:t>.</w:t>
      </w:r>
    </w:p>
    <w:p w:rsidR="003702DC" w:rsidRPr="004B4536" w:rsidRDefault="00FB6B88" w:rsidP="005D2F1B">
      <w:pPr>
        <w:spacing w:after="92" w:line="360" w:lineRule="auto"/>
        <w:jc w:val="both"/>
        <w:rPr>
          <w:rFonts w:ascii="Times New Roman" w:eastAsia="Times New Roman" w:hAnsi="Times New Roman" w:cs="Times New Roman"/>
          <w:b/>
          <w:sz w:val="24"/>
        </w:rPr>
      </w:pPr>
      <w:r w:rsidRPr="004B4536">
        <w:rPr>
          <w:rFonts w:ascii="Times New Roman" w:eastAsia="Times New Roman" w:hAnsi="Times New Roman" w:cs="Times New Roman"/>
          <w:b/>
          <w:sz w:val="24"/>
        </w:rPr>
        <w:lastRenderedPageBreak/>
        <w:t>3-1 La thérapie génique germinale (thérapie génique sexuelle)</w:t>
      </w:r>
    </w:p>
    <w:p w:rsidR="003702DC" w:rsidRDefault="00FB6B88" w:rsidP="00E57079">
      <w:pPr>
        <w:spacing w:after="0" w:line="360" w:lineRule="auto"/>
        <w:jc w:val="both"/>
        <w:rPr>
          <w:rFonts w:ascii="Times New Roman" w:eastAsia="Times New Roman" w:hAnsi="Times New Roman" w:cs="Times New Roman"/>
          <w:color w:val="1D1D1D"/>
          <w:sz w:val="24"/>
        </w:rPr>
      </w:pPr>
      <w:r>
        <w:rPr>
          <w:rFonts w:ascii="Times New Roman" w:eastAsia="Times New Roman" w:hAnsi="Times New Roman" w:cs="Times New Roman"/>
          <w:b/>
          <w:color w:val="2C3336"/>
          <w:sz w:val="24"/>
        </w:rPr>
        <w:tab/>
      </w:r>
      <w:r>
        <w:rPr>
          <w:rFonts w:ascii="Times New Roman" w:eastAsia="Times New Roman" w:hAnsi="Times New Roman" w:cs="Times New Roman"/>
          <w:color w:val="1D1D1D"/>
          <w:sz w:val="24"/>
        </w:rPr>
        <w:t> </w:t>
      </w:r>
      <w:r w:rsidR="004B4536">
        <w:rPr>
          <w:rFonts w:ascii="Times New Roman" w:eastAsia="Times New Roman" w:hAnsi="Times New Roman" w:cs="Times New Roman"/>
          <w:color w:val="1D1D1D"/>
          <w:sz w:val="24"/>
        </w:rPr>
        <w:t>Consisterait</w:t>
      </w:r>
      <w:r>
        <w:rPr>
          <w:rFonts w:ascii="Times New Roman" w:eastAsia="Times New Roman" w:hAnsi="Times New Roman" w:cs="Times New Roman"/>
          <w:color w:val="1D1D1D"/>
          <w:sz w:val="24"/>
        </w:rPr>
        <w:t xml:space="preserve"> à appliquer la thérapie génique à un embryon, au stade où celui-ci est formé d'un amas de cellules, ou aux cellules germinales (ovules, spermatozoïdes) d'un adulte. Le gène introduit serait alors transmis à toutes les cellules filles des premières cellules embryonnaires, c'est-à-dire à toutes les cellules du futur individu : il y aurait donc modification du patrimoine génétique de l'espèce humaine. De plus, les cellules germinales du futur individu étant touchées comme les autres, le nouveau patrimoine serait transmis héréditairement à toute sa descendance.</w:t>
      </w:r>
    </w:p>
    <w:p w:rsidR="003702DC" w:rsidRDefault="00FB6B88" w:rsidP="00E57079">
      <w:pPr>
        <w:spacing w:after="92" w:line="360" w:lineRule="auto"/>
        <w:ind w:firstLine="708"/>
        <w:jc w:val="both"/>
        <w:rPr>
          <w:rFonts w:ascii="Times New Roman" w:eastAsia="Times New Roman" w:hAnsi="Times New Roman" w:cs="Times New Roman"/>
          <w:color w:val="1D1D1D"/>
          <w:sz w:val="24"/>
        </w:rPr>
      </w:pPr>
      <w:r>
        <w:rPr>
          <w:rFonts w:ascii="Times New Roman" w:eastAsia="Times New Roman" w:hAnsi="Times New Roman" w:cs="Times New Roman"/>
          <w:color w:val="1D1D1D"/>
          <w:sz w:val="24"/>
        </w:rPr>
        <w:t>Une telle approche thérapeutique viole le principe qui veut qu'on ne touche jamais au patrimoine héréditaire d'un individu et est donc formellement interdite, de peur qu'elle ne soit progressivement utilisée pour des indications non justifiées (par exemple pour corriger des défauts non invalidants mais simplement disgracieux), puis à des fins d'eugénisme.</w:t>
      </w:r>
    </w:p>
    <w:p w:rsidR="003702DC" w:rsidRPr="0022687C" w:rsidRDefault="00FB6B88" w:rsidP="00E57079">
      <w:pPr>
        <w:spacing w:after="0" w:line="360" w:lineRule="auto"/>
        <w:jc w:val="both"/>
        <w:rPr>
          <w:rFonts w:ascii="Times New Roman" w:eastAsia="Times New Roman" w:hAnsi="Times New Roman" w:cs="Times New Roman"/>
          <w:b/>
          <w:sz w:val="24"/>
        </w:rPr>
      </w:pPr>
      <w:r w:rsidRPr="0022687C">
        <w:rPr>
          <w:rFonts w:ascii="Times New Roman" w:eastAsia="Times New Roman" w:hAnsi="Times New Roman" w:cs="Times New Roman"/>
          <w:b/>
          <w:sz w:val="24"/>
        </w:rPr>
        <w:t>3-</w:t>
      </w:r>
      <w:r w:rsidR="0022687C" w:rsidRPr="0022687C">
        <w:rPr>
          <w:rFonts w:ascii="Times New Roman" w:eastAsia="Times New Roman" w:hAnsi="Times New Roman" w:cs="Times New Roman"/>
          <w:b/>
          <w:sz w:val="24"/>
        </w:rPr>
        <w:t>2 La thérapie génique somatique</w:t>
      </w:r>
    </w:p>
    <w:p w:rsidR="003702DC" w:rsidRDefault="00FB6B88" w:rsidP="00E57079">
      <w:pPr>
        <w:spacing w:after="0" w:line="360" w:lineRule="auto"/>
        <w:ind w:firstLine="708"/>
        <w:jc w:val="both"/>
        <w:rPr>
          <w:rFonts w:ascii="Times New Roman" w:eastAsia="Times New Roman" w:hAnsi="Times New Roman" w:cs="Times New Roman"/>
          <w:color w:val="1D1D1D"/>
          <w:sz w:val="24"/>
        </w:rPr>
      </w:pPr>
      <w:r>
        <w:rPr>
          <w:rFonts w:ascii="Times New Roman" w:eastAsia="Times New Roman" w:hAnsi="Times New Roman" w:cs="Times New Roman"/>
          <w:sz w:val="24"/>
        </w:rPr>
        <w:t xml:space="preserve">Toutes les cellules du corps, à l’exception des cellules germinales ou sexuelles, sont des cellules somatiques. </w:t>
      </w:r>
      <w:r w:rsidR="0022687C">
        <w:rPr>
          <w:rFonts w:ascii="Times New Roman" w:eastAsia="Times New Roman" w:hAnsi="Times New Roman" w:cs="Times New Roman"/>
          <w:sz w:val="24"/>
        </w:rPr>
        <w:t>La</w:t>
      </w:r>
      <w:r>
        <w:rPr>
          <w:rFonts w:ascii="Times New Roman" w:eastAsia="Times New Roman" w:hAnsi="Times New Roman" w:cs="Times New Roman"/>
          <w:sz w:val="24"/>
        </w:rPr>
        <w:t xml:space="preserve"> thérapie génique somatique</w:t>
      </w:r>
      <w:r>
        <w:rPr>
          <w:rFonts w:ascii="Times New Roman" w:eastAsia="Times New Roman" w:hAnsi="Times New Roman" w:cs="Times New Roman"/>
          <w:color w:val="1D1D1D"/>
          <w:sz w:val="24"/>
        </w:rPr>
        <w:t> consiste à introduire les gènes exclusivement dans ces cellules somatiques. C'est à cette technique que se limite actuellement le champ d'activité et de recherche en thérapie génique.</w:t>
      </w:r>
    </w:p>
    <w:p w:rsidR="003702DC" w:rsidRDefault="00FB6B88" w:rsidP="00E57079">
      <w:pPr>
        <w:spacing w:after="0" w:line="360" w:lineRule="auto"/>
        <w:ind w:firstLine="708"/>
        <w:jc w:val="both"/>
        <w:rPr>
          <w:rFonts w:ascii="Times New Roman" w:eastAsia="Times New Roman" w:hAnsi="Times New Roman" w:cs="Times New Roman"/>
          <w:color w:val="1D1D1D"/>
          <w:sz w:val="24"/>
        </w:rPr>
      </w:pPr>
      <w:r>
        <w:rPr>
          <w:rFonts w:ascii="Times New Roman" w:eastAsia="Times New Roman" w:hAnsi="Times New Roman" w:cs="Times New Roman"/>
          <w:color w:val="1D1D1D"/>
          <w:sz w:val="24"/>
        </w:rPr>
        <w:t>La thérapie génique somatique repose sur le fait que, dans l'organisme, chaque cellule est spécialisée et ne possède que quelques fonctions qui lui sont propres : ainsi, une cellule du foie peut éliminer certaines substances toxiques (produites par l'organisme ou d'origine alimentaire, comme l'alcool) ou fabriquer de l'albumine mais est incapa</w:t>
      </w:r>
      <w:r w:rsidR="00E57079">
        <w:rPr>
          <w:rFonts w:ascii="Times New Roman" w:eastAsia="Times New Roman" w:hAnsi="Times New Roman" w:cs="Times New Roman"/>
          <w:color w:val="1D1D1D"/>
          <w:sz w:val="24"/>
        </w:rPr>
        <w:t xml:space="preserve">ble de fabriquer des anticorps </w:t>
      </w:r>
      <w:r>
        <w:rPr>
          <w:rFonts w:ascii="Times New Roman" w:eastAsia="Times New Roman" w:hAnsi="Times New Roman" w:cs="Times New Roman"/>
          <w:color w:val="1D1D1D"/>
          <w:sz w:val="24"/>
        </w:rPr>
        <w:t>ceux-ci étant exclusivemen</w:t>
      </w:r>
      <w:r w:rsidR="00E57079">
        <w:rPr>
          <w:rFonts w:ascii="Times New Roman" w:eastAsia="Times New Roman" w:hAnsi="Times New Roman" w:cs="Times New Roman"/>
          <w:color w:val="1D1D1D"/>
          <w:sz w:val="24"/>
        </w:rPr>
        <w:t>t fabriqués par les lymphocytes</w:t>
      </w:r>
      <w:r>
        <w:rPr>
          <w:rFonts w:ascii="Times New Roman" w:eastAsia="Times New Roman" w:hAnsi="Times New Roman" w:cs="Times New Roman"/>
          <w:color w:val="1D1D1D"/>
          <w:sz w:val="24"/>
        </w:rPr>
        <w:t>.</w:t>
      </w:r>
    </w:p>
    <w:p w:rsidR="003702DC" w:rsidRDefault="00FB6B88" w:rsidP="00CD0EFE">
      <w:pPr>
        <w:spacing w:line="360" w:lineRule="auto"/>
        <w:jc w:val="both"/>
        <w:rPr>
          <w:rFonts w:ascii="Times New Roman" w:eastAsia="Times New Roman" w:hAnsi="Times New Roman" w:cs="Times New Roman"/>
          <w:color w:val="1D1D1D"/>
          <w:sz w:val="24"/>
        </w:rPr>
      </w:pPr>
      <w:r>
        <w:rPr>
          <w:rFonts w:ascii="Times New Roman" w:eastAsia="Times New Roman" w:hAnsi="Times New Roman" w:cs="Times New Roman"/>
          <w:color w:val="1D1D1D"/>
          <w:sz w:val="24"/>
        </w:rPr>
        <w:t>Pour soigner une maladie héréditaire, il n'est donc pas nécessaire de corriger le défaut génique dans toutes les cellules de l'organisme mais simplement d</w:t>
      </w:r>
      <w:r w:rsidR="00E57079">
        <w:rPr>
          <w:rFonts w:ascii="Times New Roman" w:eastAsia="Times New Roman" w:hAnsi="Times New Roman" w:cs="Times New Roman"/>
          <w:color w:val="1D1D1D"/>
          <w:sz w:val="24"/>
        </w:rPr>
        <w:t>ans celles des organes touchés ;</w:t>
      </w:r>
      <w:r>
        <w:rPr>
          <w:rFonts w:ascii="Times New Roman" w:eastAsia="Times New Roman" w:hAnsi="Times New Roman" w:cs="Times New Roman"/>
          <w:color w:val="1D1D1D"/>
          <w:sz w:val="24"/>
        </w:rPr>
        <w:t xml:space="preserve"> ainsi, en cas de myopathie, maladie congénitale résultant d'une altération des fibres musculaires, la correction du défaut n'est nécessaire que dans les muscles.</w:t>
      </w:r>
    </w:p>
    <w:p w:rsidR="003702DC" w:rsidRPr="0022687C" w:rsidRDefault="0022687C" w:rsidP="00640833">
      <w:pPr>
        <w:pStyle w:val="Paragraphedeliste"/>
        <w:numPr>
          <w:ilvl w:val="0"/>
          <w:numId w:val="1"/>
        </w:numPr>
        <w:spacing w:after="0" w:line="360" w:lineRule="auto"/>
        <w:jc w:val="both"/>
        <w:rPr>
          <w:rFonts w:ascii="Times New Roman" w:eastAsia="Times New Roman" w:hAnsi="Times New Roman" w:cs="Times New Roman"/>
          <w:b/>
          <w:bCs/>
          <w:color w:val="1D1D1D"/>
          <w:sz w:val="24"/>
        </w:rPr>
      </w:pPr>
      <w:r w:rsidRPr="0022687C">
        <w:rPr>
          <w:rFonts w:ascii="Times New Roman" w:eastAsia="Times New Roman" w:hAnsi="Times New Roman" w:cs="Times New Roman"/>
          <w:b/>
          <w:bCs/>
          <w:color w:val="1D1D1D"/>
          <w:sz w:val="24"/>
        </w:rPr>
        <w:t xml:space="preserve">Technique d la thérapie génique somatique </w:t>
      </w:r>
    </w:p>
    <w:p w:rsidR="003702DC" w:rsidRDefault="00FB6B88" w:rsidP="00640833">
      <w:pPr>
        <w:spacing w:after="0" w:line="360" w:lineRule="auto"/>
        <w:jc w:val="both"/>
        <w:rPr>
          <w:rFonts w:ascii="Times New Roman" w:eastAsia="Times New Roman" w:hAnsi="Times New Roman" w:cs="Times New Roman"/>
          <w:color w:val="1D1D1D"/>
          <w:sz w:val="24"/>
        </w:rPr>
      </w:pPr>
      <w:r>
        <w:rPr>
          <w:rFonts w:ascii="Times New Roman" w:eastAsia="Times New Roman" w:hAnsi="Times New Roman" w:cs="Times New Roman"/>
          <w:color w:val="1D1D1D"/>
          <w:sz w:val="24"/>
        </w:rPr>
        <w:tab/>
        <w:t>Dans la pratique, la technique à employer dépend entièrement de l'organe (ou des organes) en cause. Plus il est difficile d'accès (comme par exemple le cerveau), plus la thérapeutique sera techniquement difficile.</w:t>
      </w:r>
    </w:p>
    <w:p w:rsidR="003702DC" w:rsidRDefault="00FB6B88">
      <w:pPr>
        <w:spacing w:after="92" w:line="360" w:lineRule="auto"/>
        <w:jc w:val="both"/>
        <w:rPr>
          <w:rFonts w:ascii="Times New Roman" w:eastAsia="Times New Roman" w:hAnsi="Times New Roman" w:cs="Times New Roman"/>
          <w:color w:val="1D1D1D"/>
          <w:sz w:val="24"/>
        </w:rPr>
      </w:pPr>
      <w:r>
        <w:rPr>
          <w:rFonts w:ascii="Times New Roman" w:eastAsia="Times New Roman" w:hAnsi="Times New Roman" w:cs="Times New Roman"/>
          <w:color w:val="1D1D1D"/>
          <w:sz w:val="24"/>
        </w:rPr>
        <w:t xml:space="preserve">Le cas le plus simple est celui où le défaut se manifeste dans le sang, comme cela se produit dans l'hémophilie, maladie caractérisée par l'absence d'une protéine (le facteur VIII) qui participe au mécanisme de la coagulation. Il suffit alors d'introduire le bon  gène, produit en </w:t>
      </w:r>
      <w:r>
        <w:rPr>
          <w:rFonts w:ascii="Times New Roman" w:eastAsia="Times New Roman" w:hAnsi="Times New Roman" w:cs="Times New Roman"/>
          <w:color w:val="1D1D1D"/>
          <w:sz w:val="24"/>
        </w:rPr>
        <w:lastRenderedPageBreak/>
        <w:t>laboratoire, soit dans une cellule du sang de très longue durée de vie (lymphocyte, par exemple), soit dans les cellules qui constituent les parois des vaisseaux. Les cellules qui auront reçu le bon gène liront l'information qu'il porte, fabriqueront en conséquence la protéine manquante et la rejetteront dans le sang : le défaut sera ainsi corrigé.</w:t>
      </w:r>
    </w:p>
    <w:p w:rsidR="003702DC" w:rsidRDefault="00FB6B88" w:rsidP="00640833">
      <w:pPr>
        <w:spacing w:after="0" w:line="360" w:lineRule="auto"/>
        <w:ind w:firstLine="708"/>
        <w:jc w:val="both"/>
        <w:rPr>
          <w:rFonts w:ascii="Times New Roman" w:eastAsia="Times New Roman" w:hAnsi="Times New Roman" w:cs="Times New Roman"/>
          <w:color w:val="1D1D1D"/>
          <w:sz w:val="24"/>
        </w:rPr>
      </w:pPr>
      <w:r>
        <w:rPr>
          <w:rFonts w:ascii="Times New Roman" w:eastAsia="Times New Roman" w:hAnsi="Times New Roman" w:cs="Times New Roman"/>
          <w:color w:val="1D1D1D"/>
          <w:sz w:val="24"/>
        </w:rPr>
        <w:t>Le problème est plus complexe lorsque le défaut est situé dans une partie très difficilement accessible du corps. Dans le cas de la myopathie, le  bon  gène doit être introduit dans une grande proportion des cellules musculaires (au moins 20 % dans la myopathie de Duchenne, par exemple). Dans quelques cas particuliers, cependant, la modification d'un très petit nombre de cellules est suffisante, par exemple lors de certains déficits immunitaires de l'enfant, pour lesquels la manipulation génétique est amplifiée par la prolifération des quelques cellules auxquelles la thérapie génique a été appliquée.</w:t>
      </w:r>
    </w:p>
    <w:p w:rsidR="00C87578" w:rsidRPr="00CD0EFE" w:rsidRDefault="00FB6B88" w:rsidP="006D6AF9">
      <w:pPr>
        <w:spacing w:line="360" w:lineRule="auto"/>
        <w:jc w:val="both"/>
        <w:rPr>
          <w:rFonts w:ascii="Times New Roman" w:eastAsia="Times New Roman" w:hAnsi="Times New Roman" w:cs="Times New Roman"/>
          <w:color w:val="1D1D1D"/>
          <w:sz w:val="24"/>
        </w:rPr>
      </w:pPr>
      <w:r>
        <w:rPr>
          <w:rFonts w:ascii="Times New Roman" w:eastAsia="Times New Roman" w:hAnsi="Times New Roman" w:cs="Times New Roman"/>
          <w:color w:val="1D1D1D"/>
          <w:sz w:val="24"/>
        </w:rPr>
        <w:t>La nécessité d'introduire le gène favorable dans un grand nombre de cellules constitue néanmoins dans la plupart des cas l'une des difficultés principales de la thérapie génique. À cette fin, il est indispensable de confier le gène à un vecteur, élément capable de l'apporter à toutes les cellules qui en ont besoin.</w:t>
      </w:r>
      <w:r w:rsidR="00CD0EFE">
        <w:rPr>
          <w:rFonts w:asciiTheme="majorBidi" w:hAnsiTheme="majorBidi" w:cstheme="majorBidi"/>
          <w:sz w:val="24"/>
          <w:szCs w:val="24"/>
        </w:rPr>
        <w:tab/>
      </w:r>
      <w:r w:rsidR="006D6AF9" w:rsidRPr="00C87578">
        <w:rPr>
          <w:rFonts w:asciiTheme="majorBidi" w:eastAsia="Times New Roman" w:hAnsiTheme="majorBidi" w:cstheme="majorBidi"/>
          <w:color w:val="1D1D1D"/>
          <w:sz w:val="24"/>
          <w:szCs w:val="24"/>
        </w:rPr>
        <w:t>L’</w:t>
      </w:r>
      <w:r w:rsidR="006D6AF9">
        <w:rPr>
          <w:rFonts w:asciiTheme="majorBidi" w:hAnsiTheme="majorBidi" w:cstheme="majorBidi"/>
          <w:sz w:val="24"/>
          <w:szCs w:val="24"/>
        </w:rPr>
        <w:t>a</w:t>
      </w:r>
      <w:r w:rsidR="006D6AF9" w:rsidRPr="00C87578">
        <w:rPr>
          <w:rFonts w:asciiTheme="majorBidi" w:hAnsiTheme="majorBidi" w:cstheme="majorBidi"/>
          <w:sz w:val="24"/>
          <w:szCs w:val="24"/>
        </w:rPr>
        <w:t xml:space="preserve">vantage </w:t>
      </w:r>
      <w:proofErr w:type="gramStart"/>
      <w:r w:rsidR="006D6AF9" w:rsidRPr="00C87578">
        <w:rPr>
          <w:rFonts w:asciiTheme="majorBidi" w:hAnsiTheme="majorBidi" w:cstheme="majorBidi"/>
          <w:sz w:val="24"/>
          <w:szCs w:val="24"/>
        </w:rPr>
        <w:t>principale</w:t>
      </w:r>
      <w:proofErr w:type="gramEnd"/>
      <w:r w:rsidR="006D6AF9" w:rsidRPr="00C87578">
        <w:rPr>
          <w:rFonts w:asciiTheme="majorBidi" w:hAnsiTheme="majorBidi" w:cstheme="majorBidi"/>
          <w:sz w:val="24"/>
          <w:szCs w:val="24"/>
        </w:rPr>
        <w:t xml:space="preserve"> c’est que  cette  technique est plus simple  mais le  ciblage  est parfois imprécis</w:t>
      </w:r>
    </w:p>
    <w:p w:rsidR="00640833" w:rsidRPr="00640833" w:rsidRDefault="00640833" w:rsidP="00640833">
      <w:pPr>
        <w:pStyle w:val="Paragraphedeliste"/>
        <w:numPr>
          <w:ilvl w:val="0"/>
          <w:numId w:val="1"/>
        </w:numPr>
        <w:spacing w:after="0" w:line="360" w:lineRule="auto"/>
        <w:jc w:val="both"/>
        <w:rPr>
          <w:rFonts w:ascii="Times New Roman" w:eastAsia="Times New Roman" w:hAnsi="Times New Roman" w:cs="Times New Roman"/>
          <w:b/>
          <w:bCs/>
          <w:color w:val="1D1D1D"/>
          <w:sz w:val="24"/>
        </w:rPr>
      </w:pPr>
      <w:r w:rsidRPr="00640833">
        <w:rPr>
          <w:rFonts w:ascii="Times New Roman" w:eastAsia="Times New Roman" w:hAnsi="Times New Roman" w:cs="Times New Roman"/>
          <w:b/>
          <w:bCs/>
          <w:color w:val="1D1D1D"/>
          <w:sz w:val="24"/>
        </w:rPr>
        <w:t>Limites de la thérapie génique</w:t>
      </w:r>
    </w:p>
    <w:p w:rsidR="003702DC" w:rsidRDefault="00FB6B88" w:rsidP="00224D4D">
      <w:pPr>
        <w:spacing w:after="0" w:line="360" w:lineRule="auto"/>
        <w:ind w:firstLine="360"/>
        <w:jc w:val="both"/>
        <w:rPr>
          <w:rFonts w:ascii="Times New Roman" w:eastAsia="Times New Roman" w:hAnsi="Times New Roman" w:cs="Times New Roman"/>
          <w:color w:val="1D1D1D"/>
          <w:sz w:val="24"/>
        </w:rPr>
      </w:pPr>
      <w:r>
        <w:rPr>
          <w:rFonts w:ascii="Times New Roman" w:eastAsia="Times New Roman" w:hAnsi="Times New Roman" w:cs="Times New Roman"/>
          <w:color w:val="1D1D1D"/>
          <w:sz w:val="24"/>
        </w:rPr>
        <w:t>Il est actuellement difficile de parler des résultats de la thérapie génique, puisque celle-ci n'est encore qu'en phase expérimentale. Même si l'on connaissait un pourcentage global d'efficacité, il serait seulement indicatif et n'aurait aucune valeur statistique, étant donné le nombre infime de malades traités. On peut néanmoins indiquer que certaines expériences ont été interrompues à cause d'effets indésirables, et que l'on parle pour l'instant, pour les expériences en cours ou terminées, davantage d'amélioration des symptômes que de guérison</w:t>
      </w:r>
    </w:p>
    <w:p w:rsidR="003702DC" w:rsidRDefault="00FB6B88" w:rsidP="00BB5789">
      <w:pPr>
        <w:spacing w:after="100" w:line="36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Même si la thérapie génique somatique en est encore à un stade expérimental, on ne s’attend pas qu’elle devienne un moyen thérapeutique efficace. Les problèmes techniques qui se posent comprennent, entre autres, la méthode d’insertion, l’accessibilité au tissu, et la réglementation du produit génique (la quantité à produire, comment désactiver l’expression du gène, etc.).</w:t>
      </w:r>
    </w:p>
    <w:p w:rsidR="00345C33" w:rsidRPr="00345C33" w:rsidRDefault="00345C33" w:rsidP="00345C33">
      <w:pPr>
        <w:pStyle w:val="Titre2"/>
        <w:numPr>
          <w:ilvl w:val="0"/>
          <w:numId w:val="1"/>
        </w:numPr>
        <w:rPr>
          <w:sz w:val="24"/>
          <w:szCs w:val="24"/>
        </w:rPr>
      </w:pPr>
      <w:r w:rsidRPr="00345C33">
        <w:rPr>
          <w:sz w:val="24"/>
          <w:szCs w:val="24"/>
        </w:rPr>
        <w:t>Comparaison entre thérapie somatique et germinale</w:t>
      </w:r>
    </w:p>
    <w:tbl>
      <w:tblPr>
        <w:tblStyle w:val="Trameclaire-Accent5"/>
        <w:tblW w:w="0" w:type="auto"/>
        <w:tblLook w:val="04A0"/>
      </w:tblPr>
      <w:tblGrid>
        <w:gridCol w:w="2518"/>
        <w:gridCol w:w="3686"/>
        <w:gridCol w:w="3084"/>
      </w:tblGrid>
      <w:tr w:rsidR="00C87578" w:rsidRPr="006D6AF9" w:rsidTr="00C87578">
        <w:trPr>
          <w:cnfStyle w:val="100000000000"/>
        </w:trPr>
        <w:tc>
          <w:tcPr>
            <w:cnfStyle w:val="001000000000"/>
            <w:tcW w:w="2518" w:type="dxa"/>
            <w:hideMark/>
          </w:tcPr>
          <w:p w:rsidR="00345C33" w:rsidRPr="006D6AF9" w:rsidRDefault="00345C33" w:rsidP="00EA6AA4">
            <w:pPr>
              <w:jc w:val="center"/>
              <w:rPr>
                <w:rFonts w:asciiTheme="majorBidi" w:hAnsiTheme="majorBidi" w:cstheme="majorBidi"/>
                <w:sz w:val="24"/>
                <w:szCs w:val="24"/>
              </w:rPr>
            </w:pPr>
            <w:r w:rsidRPr="006D6AF9">
              <w:rPr>
                <w:rFonts w:asciiTheme="majorBidi" w:hAnsiTheme="majorBidi" w:cstheme="majorBidi"/>
                <w:sz w:val="24"/>
                <w:szCs w:val="24"/>
              </w:rPr>
              <w:t>Critère</w:t>
            </w:r>
          </w:p>
        </w:tc>
        <w:tc>
          <w:tcPr>
            <w:tcW w:w="3686" w:type="dxa"/>
            <w:hideMark/>
          </w:tcPr>
          <w:p w:rsidR="00345C33" w:rsidRPr="006D6AF9" w:rsidRDefault="00345C33" w:rsidP="00EA6AA4">
            <w:pPr>
              <w:jc w:val="center"/>
              <w:cnfStyle w:val="100000000000"/>
              <w:rPr>
                <w:rFonts w:asciiTheme="majorBidi" w:hAnsiTheme="majorBidi" w:cstheme="majorBidi"/>
                <w:sz w:val="24"/>
                <w:szCs w:val="24"/>
              </w:rPr>
            </w:pPr>
            <w:r w:rsidRPr="006D6AF9">
              <w:rPr>
                <w:rFonts w:asciiTheme="majorBidi" w:hAnsiTheme="majorBidi" w:cstheme="majorBidi"/>
                <w:sz w:val="24"/>
                <w:szCs w:val="24"/>
              </w:rPr>
              <w:t>Somatique</w:t>
            </w:r>
          </w:p>
        </w:tc>
        <w:tc>
          <w:tcPr>
            <w:tcW w:w="3084" w:type="dxa"/>
            <w:hideMark/>
          </w:tcPr>
          <w:p w:rsidR="00345C33" w:rsidRPr="006D6AF9" w:rsidRDefault="00345C33" w:rsidP="00EA6AA4">
            <w:pPr>
              <w:jc w:val="center"/>
              <w:cnfStyle w:val="100000000000"/>
              <w:rPr>
                <w:rFonts w:asciiTheme="majorBidi" w:hAnsiTheme="majorBidi" w:cstheme="majorBidi"/>
                <w:sz w:val="24"/>
                <w:szCs w:val="24"/>
              </w:rPr>
            </w:pPr>
            <w:r w:rsidRPr="006D6AF9">
              <w:rPr>
                <w:rFonts w:asciiTheme="majorBidi" w:hAnsiTheme="majorBidi" w:cstheme="majorBidi"/>
                <w:sz w:val="24"/>
                <w:szCs w:val="24"/>
              </w:rPr>
              <w:t>Germinale</w:t>
            </w:r>
          </w:p>
        </w:tc>
      </w:tr>
      <w:tr w:rsidR="00C87578" w:rsidRPr="00C87578" w:rsidTr="00C87578">
        <w:trPr>
          <w:cnfStyle w:val="000000100000"/>
        </w:trPr>
        <w:tc>
          <w:tcPr>
            <w:cnfStyle w:val="001000000000"/>
            <w:tcW w:w="2518" w:type="dxa"/>
            <w:hideMark/>
          </w:tcPr>
          <w:p w:rsidR="00345C33" w:rsidRPr="006D6AF9" w:rsidRDefault="00345C33" w:rsidP="00EA6AA4">
            <w:pPr>
              <w:rPr>
                <w:rFonts w:asciiTheme="majorBidi" w:hAnsiTheme="majorBidi" w:cstheme="majorBidi"/>
                <w:sz w:val="24"/>
                <w:szCs w:val="24"/>
              </w:rPr>
            </w:pPr>
            <w:r w:rsidRPr="006D6AF9">
              <w:rPr>
                <w:rFonts w:asciiTheme="majorBidi" w:hAnsiTheme="majorBidi" w:cstheme="majorBidi"/>
                <w:sz w:val="24"/>
                <w:szCs w:val="24"/>
              </w:rPr>
              <w:t>Cellules ciblées</w:t>
            </w:r>
          </w:p>
        </w:tc>
        <w:tc>
          <w:tcPr>
            <w:tcW w:w="3686" w:type="dxa"/>
            <w:hideMark/>
          </w:tcPr>
          <w:p w:rsidR="00345C33" w:rsidRPr="00C87578" w:rsidRDefault="00345C33" w:rsidP="00EA6AA4">
            <w:pPr>
              <w:cnfStyle w:val="000000100000"/>
              <w:rPr>
                <w:rFonts w:asciiTheme="majorBidi" w:hAnsiTheme="majorBidi" w:cstheme="majorBidi"/>
                <w:sz w:val="24"/>
                <w:szCs w:val="24"/>
              </w:rPr>
            </w:pPr>
            <w:r w:rsidRPr="00C87578">
              <w:rPr>
                <w:rFonts w:asciiTheme="majorBidi" w:hAnsiTheme="majorBidi" w:cstheme="majorBidi"/>
                <w:sz w:val="24"/>
                <w:szCs w:val="24"/>
              </w:rPr>
              <w:t>Cellules non reproductrices</w:t>
            </w:r>
          </w:p>
        </w:tc>
        <w:tc>
          <w:tcPr>
            <w:tcW w:w="3084" w:type="dxa"/>
            <w:hideMark/>
          </w:tcPr>
          <w:p w:rsidR="00345C33" w:rsidRPr="00C87578" w:rsidRDefault="00345C33" w:rsidP="00EA6AA4">
            <w:pPr>
              <w:cnfStyle w:val="000000100000"/>
              <w:rPr>
                <w:rFonts w:asciiTheme="majorBidi" w:hAnsiTheme="majorBidi" w:cstheme="majorBidi"/>
                <w:sz w:val="24"/>
                <w:szCs w:val="24"/>
              </w:rPr>
            </w:pPr>
            <w:r w:rsidRPr="00C87578">
              <w:rPr>
                <w:rFonts w:asciiTheme="majorBidi" w:hAnsiTheme="majorBidi" w:cstheme="majorBidi"/>
                <w:sz w:val="24"/>
                <w:szCs w:val="24"/>
              </w:rPr>
              <w:t>Cellules reproductrices / embryon</w:t>
            </w:r>
          </w:p>
        </w:tc>
      </w:tr>
      <w:tr w:rsidR="00C87578" w:rsidRPr="00C87578" w:rsidTr="00C87578">
        <w:tc>
          <w:tcPr>
            <w:cnfStyle w:val="001000000000"/>
            <w:tcW w:w="2518" w:type="dxa"/>
            <w:hideMark/>
          </w:tcPr>
          <w:p w:rsidR="00345C33" w:rsidRPr="006D6AF9" w:rsidRDefault="00345C33" w:rsidP="00EA6AA4">
            <w:pPr>
              <w:rPr>
                <w:rFonts w:asciiTheme="majorBidi" w:hAnsiTheme="majorBidi" w:cstheme="majorBidi"/>
                <w:sz w:val="24"/>
                <w:szCs w:val="24"/>
              </w:rPr>
            </w:pPr>
            <w:r w:rsidRPr="006D6AF9">
              <w:rPr>
                <w:rFonts w:asciiTheme="majorBidi" w:hAnsiTheme="majorBidi" w:cstheme="majorBidi"/>
                <w:sz w:val="24"/>
                <w:szCs w:val="24"/>
              </w:rPr>
              <w:t>Transmission</w:t>
            </w:r>
          </w:p>
        </w:tc>
        <w:tc>
          <w:tcPr>
            <w:tcW w:w="3686" w:type="dxa"/>
            <w:hideMark/>
          </w:tcPr>
          <w:p w:rsidR="00345C33" w:rsidRPr="00C87578" w:rsidRDefault="00345C33" w:rsidP="00EA6AA4">
            <w:pPr>
              <w:cnfStyle w:val="000000000000"/>
              <w:rPr>
                <w:rFonts w:asciiTheme="majorBidi" w:hAnsiTheme="majorBidi" w:cstheme="majorBidi"/>
                <w:sz w:val="24"/>
                <w:szCs w:val="24"/>
              </w:rPr>
            </w:pPr>
            <w:r w:rsidRPr="00C87578">
              <w:rPr>
                <w:rFonts w:asciiTheme="majorBidi" w:hAnsiTheme="majorBidi" w:cstheme="majorBidi"/>
                <w:sz w:val="24"/>
                <w:szCs w:val="24"/>
              </w:rPr>
              <w:t xml:space="preserve"> Non</w:t>
            </w:r>
          </w:p>
        </w:tc>
        <w:tc>
          <w:tcPr>
            <w:tcW w:w="3084" w:type="dxa"/>
            <w:hideMark/>
          </w:tcPr>
          <w:p w:rsidR="00345C33" w:rsidRPr="00C87578" w:rsidRDefault="00345C33" w:rsidP="00EA6AA4">
            <w:pPr>
              <w:cnfStyle w:val="000000000000"/>
              <w:rPr>
                <w:rFonts w:asciiTheme="majorBidi" w:hAnsiTheme="majorBidi" w:cstheme="majorBidi"/>
                <w:sz w:val="24"/>
                <w:szCs w:val="24"/>
              </w:rPr>
            </w:pPr>
            <w:r w:rsidRPr="00C87578">
              <w:rPr>
                <w:rFonts w:asciiTheme="majorBidi" w:hAnsiTheme="majorBidi" w:cstheme="majorBidi"/>
                <w:sz w:val="24"/>
                <w:szCs w:val="24"/>
              </w:rPr>
              <w:t>Oui</w:t>
            </w:r>
          </w:p>
        </w:tc>
      </w:tr>
      <w:tr w:rsidR="00C87578" w:rsidRPr="00C87578" w:rsidTr="00C87578">
        <w:trPr>
          <w:cnfStyle w:val="000000100000"/>
        </w:trPr>
        <w:tc>
          <w:tcPr>
            <w:cnfStyle w:val="001000000000"/>
            <w:tcW w:w="2518" w:type="dxa"/>
            <w:hideMark/>
          </w:tcPr>
          <w:p w:rsidR="00345C33" w:rsidRPr="006D6AF9" w:rsidRDefault="00345C33" w:rsidP="00EA6AA4">
            <w:pPr>
              <w:rPr>
                <w:rFonts w:asciiTheme="majorBidi" w:hAnsiTheme="majorBidi" w:cstheme="majorBidi"/>
                <w:sz w:val="24"/>
                <w:szCs w:val="24"/>
              </w:rPr>
            </w:pPr>
            <w:r w:rsidRPr="006D6AF9">
              <w:rPr>
                <w:rFonts w:asciiTheme="majorBidi" w:hAnsiTheme="majorBidi" w:cstheme="majorBidi"/>
                <w:sz w:val="24"/>
                <w:szCs w:val="24"/>
              </w:rPr>
              <w:lastRenderedPageBreak/>
              <w:t>Applications cliniques</w:t>
            </w:r>
          </w:p>
        </w:tc>
        <w:tc>
          <w:tcPr>
            <w:tcW w:w="3686" w:type="dxa"/>
            <w:hideMark/>
          </w:tcPr>
          <w:p w:rsidR="00345C33" w:rsidRPr="00C87578" w:rsidRDefault="00345C33" w:rsidP="00EA6AA4">
            <w:pPr>
              <w:cnfStyle w:val="000000100000"/>
              <w:rPr>
                <w:rFonts w:asciiTheme="majorBidi" w:hAnsiTheme="majorBidi" w:cstheme="majorBidi"/>
                <w:sz w:val="24"/>
                <w:szCs w:val="24"/>
              </w:rPr>
            </w:pPr>
            <w:r w:rsidRPr="00C87578">
              <w:rPr>
                <w:rFonts w:asciiTheme="majorBidi" w:hAnsiTheme="majorBidi" w:cstheme="majorBidi"/>
                <w:sz w:val="24"/>
                <w:szCs w:val="24"/>
              </w:rPr>
              <w:t>Oui</w:t>
            </w:r>
          </w:p>
        </w:tc>
        <w:tc>
          <w:tcPr>
            <w:tcW w:w="3084" w:type="dxa"/>
            <w:hideMark/>
          </w:tcPr>
          <w:p w:rsidR="00345C33" w:rsidRPr="00C87578" w:rsidRDefault="00345C33" w:rsidP="00EA6AA4">
            <w:pPr>
              <w:cnfStyle w:val="000000100000"/>
              <w:rPr>
                <w:rFonts w:asciiTheme="majorBidi" w:hAnsiTheme="majorBidi" w:cstheme="majorBidi"/>
                <w:sz w:val="24"/>
                <w:szCs w:val="24"/>
              </w:rPr>
            </w:pPr>
            <w:r w:rsidRPr="00C87578">
              <w:rPr>
                <w:rFonts w:asciiTheme="majorBidi" w:hAnsiTheme="majorBidi" w:cstheme="majorBidi"/>
                <w:sz w:val="24"/>
                <w:szCs w:val="24"/>
              </w:rPr>
              <w:t xml:space="preserve"> Non</w:t>
            </w:r>
          </w:p>
        </w:tc>
      </w:tr>
      <w:tr w:rsidR="00C87578" w:rsidRPr="00C87578" w:rsidTr="00C87578">
        <w:tc>
          <w:tcPr>
            <w:cnfStyle w:val="001000000000"/>
            <w:tcW w:w="2518" w:type="dxa"/>
            <w:hideMark/>
          </w:tcPr>
          <w:p w:rsidR="00345C33" w:rsidRPr="006D6AF9" w:rsidRDefault="00345C33" w:rsidP="00EA6AA4">
            <w:pPr>
              <w:rPr>
                <w:rFonts w:asciiTheme="majorBidi" w:hAnsiTheme="majorBidi" w:cstheme="majorBidi"/>
                <w:sz w:val="24"/>
                <w:szCs w:val="24"/>
              </w:rPr>
            </w:pPr>
            <w:r w:rsidRPr="006D6AF9">
              <w:rPr>
                <w:rFonts w:asciiTheme="majorBidi" w:hAnsiTheme="majorBidi" w:cstheme="majorBidi"/>
                <w:sz w:val="24"/>
                <w:szCs w:val="24"/>
              </w:rPr>
              <w:t>Enjeux éthiques</w:t>
            </w:r>
          </w:p>
        </w:tc>
        <w:tc>
          <w:tcPr>
            <w:tcW w:w="3686" w:type="dxa"/>
            <w:hideMark/>
          </w:tcPr>
          <w:p w:rsidR="00345C33" w:rsidRPr="00C87578" w:rsidRDefault="00345C33" w:rsidP="00EA6AA4">
            <w:pPr>
              <w:cnfStyle w:val="000000000000"/>
              <w:rPr>
                <w:rFonts w:asciiTheme="majorBidi" w:hAnsiTheme="majorBidi" w:cstheme="majorBidi"/>
                <w:sz w:val="24"/>
                <w:szCs w:val="24"/>
              </w:rPr>
            </w:pPr>
            <w:r w:rsidRPr="00C87578">
              <w:rPr>
                <w:rFonts w:asciiTheme="majorBidi" w:hAnsiTheme="majorBidi" w:cstheme="majorBidi"/>
                <w:sz w:val="24"/>
                <w:szCs w:val="24"/>
              </w:rPr>
              <w:t>Modérés</w:t>
            </w:r>
          </w:p>
        </w:tc>
        <w:tc>
          <w:tcPr>
            <w:tcW w:w="3084" w:type="dxa"/>
            <w:hideMark/>
          </w:tcPr>
          <w:p w:rsidR="00345C33" w:rsidRPr="00C87578" w:rsidRDefault="00345C33" w:rsidP="00EA6AA4">
            <w:pPr>
              <w:cnfStyle w:val="000000000000"/>
              <w:rPr>
                <w:rFonts w:asciiTheme="majorBidi" w:hAnsiTheme="majorBidi" w:cstheme="majorBidi"/>
                <w:sz w:val="24"/>
                <w:szCs w:val="24"/>
              </w:rPr>
            </w:pPr>
            <w:r w:rsidRPr="00C87578">
              <w:rPr>
                <w:rFonts w:asciiTheme="majorBidi" w:hAnsiTheme="majorBidi" w:cstheme="majorBidi"/>
                <w:sz w:val="24"/>
                <w:szCs w:val="24"/>
              </w:rPr>
              <w:t>Très élevés</w:t>
            </w:r>
          </w:p>
        </w:tc>
      </w:tr>
      <w:tr w:rsidR="00C87578" w:rsidRPr="00C87578" w:rsidTr="00C87578">
        <w:trPr>
          <w:cnfStyle w:val="000000100000"/>
        </w:trPr>
        <w:tc>
          <w:tcPr>
            <w:cnfStyle w:val="001000000000"/>
            <w:tcW w:w="2518" w:type="dxa"/>
            <w:hideMark/>
          </w:tcPr>
          <w:p w:rsidR="00345C33" w:rsidRPr="006D6AF9" w:rsidRDefault="00345C33" w:rsidP="00EA6AA4">
            <w:pPr>
              <w:rPr>
                <w:rFonts w:asciiTheme="majorBidi" w:hAnsiTheme="majorBidi" w:cstheme="majorBidi"/>
                <w:sz w:val="24"/>
                <w:szCs w:val="24"/>
              </w:rPr>
            </w:pPr>
            <w:r w:rsidRPr="006D6AF9">
              <w:rPr>
                <w:rFonts w:asciiTheme="majorBidi" w:hAnsiTheme="majorBidi" w:cstheme="majorBidi"/>
                <w:sz w:val="24"/>
                <w:szCs w:val="24"/>
              </w:rPr>
              <w:t>Cadre légal</w:t>
            </w:r>
          </w:p>
        </w:tc>
        <w:tc>
          <w:tcPr>
            <w:tcW w:w="3686" w:type="dxa"/>
            <w:hideMark/>
          </w:tcPr>
          <w:p w:rsidR="00345C33" w:rsidRPr="00C87578" w:rsidRDefault="00345C33" w:rsidP="00EA6AA4">
            <w:pPr>
              <w:cnfStyle w:val="000000100000"/>
              <w:rPr>
                <w:rFonts w:asciiTheme="majorBidi" w:hAnsiTheme="majorBidi" w:cstheme="majorBidi"/>
                <w:sz w:val="24"/>
                <w:szCs w:val="24"/>
              </w:rPr>
            </w:pPr>
            <w:r w:rsidRPr="00C87578">
              <w:rPr>
                <w:rFonts w:asciiTheme="majorBidi" w:hAnsiTheme="majorBidi" w:cstheme="majorBidi"/>
                <w:sz w:val="24"/>
                <w:szCs w:val="24"/>
              </w:rPr>
              <w:t>Autorisée</w:t>
            </w:r>
          </w:p>
        </w:tc>
        <w:tc>
          <w:tcPr>
            <w:tcW w:w="3084" w:type="dxa"/>
            <w:hideMark/>
          </w:tcPr>
          <w:p w:rsidR="00345C33" w:rsidRPr="00C87578" w:rsidRDefault="00345C33" w:rsidP="00EA6AA4">
            <w:pPr>
              <w:cnfStyle w:val="000000100000"/>
              <w:rPr>
                <w:rFonts w:asciiTheme="majorBidi" w:hAnsiTheme="majorBidi" w:cstheme="majorBidi"/>
                <w:sz w:val="24"/>
                <w:szCs w:val="24"/>
              </w:rPr>
            </w:pPr>
            <w:r w:rsidRPr="00C87578">
              <w:rPr>
                <w:rFonts w:asciiTheme="majorBidi" w:hAnsiTheme="majorBidi" w:cstheme="majorBidi"/>
                <w:sz w:val="24"/>
                <w:szCs w:val="24"/>
              </w:rPr>
              <w:t>Interdite</w:t>
            </w:r>
          </w:p>
          <w:p w:rsidR="00345C33" w:rsidRPr="00C87578" w:rsidRDefault="00345C33" w:rsidP="00EA6AA4">
            <w:pPr>
              <w:cnfStyle w:val="000000100000"/>
              <w:rPr>
                <w:rFonts w:asciiTheme="majorBidi" w:hAnsiTheme="majorBidi" w:cstheme="majorBidi"/>
                <w:sz w:val="24"/>
                <w:szCs w:val="24"/>
              </w:rPr>
            </w:pPr>
          </w:p>
        </w:tc>
      </w:tr>
      <w:tr w:rsidR="00FD3A3A" w:rsidRPr="00C87578" w:rsidTr="00C87578">
        <w:tc>
          <w:tcPr>
            <w:cnfStyle w:val="001000000000"/>
            <w:tcW w:w="2518" w:type="dxa"/>
            <w:hideMark/>
          </w:tcPr>
          <w:p w:rsidR="00345C33" w:rsidRPr="006D6AF9" w:rsidRDefault="00FD3A3A" w:rsidP="00EA6AA4">
            <w:pPr>
              <w:rPr>
                <w:rFonts w:asciiTheme="majorBidi" w:hAnsiTheme="majorBidi" w:cstheme="majorBidi"/>
                <w:sz w:val="24"/>
                <w:szCs w:val="24"/>
              </w:rPr>
            </w:pPr>
            <w:r w:rsidRPr="006D6AF9">
              <w:rPr>
                <w:rFonts w:asciiTheme="majorBidi" w:hAnsiTheme="majorBidi" w:cstheme="majorBidi"/>
                <w:sz w:val="24"/>
                <w:szCs w:val="24"/>
              </w:rPr>
              <w:t>intervention</w:t>
            </w:r>
          </w:p>
        </w:tc>
        <w:tc>
          <w:tcPr>
            <w:tcW w:w="3686" w:type="dxa"/>
            <w:hideMark/>
          </w:tcPr>
          <w:p w:rsidR="00345C33" w:rsidRPr="00C87578" w:rsidRDefault="00345C33" w:rsidP="00EA6AA4">
            <w:pPr>
              <w:cnfStyle w:val="000000000000"/>
              <w:rPr>
                <w:rFonts w:asciiTheme="majorBidi" w:hAnsiTheme="majorBidi" w:cstheme="majorBidi"/>
                <w:sz w:val="24"/>
                <w:szCs w:val="24"/>
              </w:rPr>
            </w:pPr>
            <w:r w:rsidRPr="00C87578">
              <w:rPr>
                <w:rFonts w:asciiTheme="majorBidi" w:hAnsiTheme="majorBidi" w:cstheme="majorBidi"/>
                <w:sz w:val="24"/>
                <w:szCs w:val="24"/>
              </w:rPr>
              <w:t>Intervention  pour chaque  malade</w:t>
            </w:r>
          </w:p>
        </w:tc>
        <w:tc>
          <w:tcPr>
            <w:tcW w:w="3084" w:type="dxa"/>
            <w:hideMark/>
          </w:tcPr>
          <w:p w:rsidR="00345C33" w:rsidRPr="00C87578" w:rsidRDefault="00345C33" w:rsidP="00EA6AA4">
            <w:pPr>
              <w:cnfStyle w:val="000000000000"/>
              <w:rPr>
                <w:rFonts w:asciiTheme="majorBidi" w:hAnsiTheme="majorBidi" w:cstheme="majorBidi"/>
                <w:sz w:val="24"/>
                <w:szCs w:val="24"/>
              </w:rPr>
            </w:pPr>
            <w:r w:rsidRPr="00C87578">
              <w:rPr>
                <w:rFonts w:asciiTheme="majorBidi" w:hAnsiTheme="majorBidi" w:cstheme="majorBidi"/>
                <w:sz w:val="24"/>
                <w:szCs w:val="24"/>
              </w:rPr>
              <w:t>Une seule intervention pour toutes les générations</w:t>
            </w:r>
          </w:p>
        </w:tc>
      </w:tr>
      <w:tr w:rsidR="00C87578" w:rsidRPr="00C87578" w:rsidTr="00C87578">
        <w:trPr>
          <w:cnfStyle w:val="000000100000"/>
        </w:trPr>
        <w:tc>
          <w:tcPr>
            <w:cnfStyle w:val="001000000000"/>
            <w:tcW w:w="2518" w:type="dxa"/>
            <w:hideMark/>
          </w:tcPr>
          <w:p w:rsidR="00FD3A3A" w:rsidRPr="006D6AF9" w:rsidRDefault="00FD3A3A" w:rsidP="00EA6AA4">
            <w:pPr>
              <w:rPr>
                <w:rFonts w:asciiTheme="majorBidi" w:hAnsiTheme="majorBidi" w:cstheme="majorBidi"/>
                <w:sz w:val="24"/>
                <w:szCs w:val="24"/>
              </w:rPr>
            </w:pPr>
            <w:r w:rsidRPr="006D6AF9">
              <w:rPr>
                <w:rFonts w:asciiTheme="majorBidi" w:hAnsiTheme="majorBidi" w:cstheme="majorBidi"/>
                <w:sz w:val="24"/>
                <w:szCs w:val="24"/>
              </w:rPr>
              <w:t>Prévention</w:t>
            </w:r>
          </w:p>
        </w:tc>
        <w:tc>
          <w:tcPr>
            <w:tcW w:w="3686" w:type="dxa"/>
            <w:hideMark/>
          </w:tcPr>
          <w:p w:rsidR="00FD3A3A" w:rsidRPr="00C87578" w:rsidRDefault="00FD3A3A" w:rsidP="00FD3A3A">
            <w:pPr>
              <w:cnfStyle w:val="000000100000"/>
              <w:rPr>
                <w:rFonts w:asciiTheme="majorBidi" w:hAnsiTheme="majorBidi" w:cstheme="majorBidi"/>
                <w:sz w:val="24"/>
                <w:szCs w:val="24"/>
              </w:rPr>
            </w:pPr>
            <w:r w:rsidRPr="00C87578">
              <w:rPr>
                <w:rFonts w:asciiTheme="majorBidi" w:hAnsiTheme="majorBidi" w:cstheme="majorBidi"/>
                <w:sz w:val="24"/>
                <w:szCs w:val="24"/>
              </w:rPr>
              <w:t xml:space="preserve">Prévention définitive </w:t>
            </w:r>
            <w:r w:rsidR="006D6AF9">
              <w:rPr>
                <w:rFonts w:asciiTheme="majorBidi" w:hAnsiTheme="majorBidi" w:cstheme="majorBidi"/>
                <w:sz w:val="24"/>
                <w:szCs w:val="24"/>
              </w:rPr>
              <w:t>pour  la</w:t>
            </w:r>
            <w:r w:rsidRPr="00C87578">
              <w:rPr>
                <w:rFonts w:asciiTheme="majorBidi" w:hAnsiTheme="majorBidi" w:cstheme="majorBidi"/>
                <w:sz w:val="24"/>
                <w:szCs w:val="24"/>
              </w:rPr>
              <w:t xml:space="preserve"> maladie  traité</w:t>
            </w:r>
            <w:r w:rsidR="006D6AF9">
              <w:rPr>
                <w:rFonts w:asciiTheme="majorBidi" w:hAnsiTheme="majorBidi" w:cstheme="majorBidi"/>
                <w:sz w:val="24"/>
                <w:szCs w:val="24"/>
              </w:rPr>
              <w:t>e</w:t>
            </w:r>
            <w:r w:rsidRPr="00C87578">
              <w:rPr>
                <w:rFonts w:asciiTheme="majorBidi" w:hAnsiTheme="majorBidi" w:cstheme="majorBidi"/>
                <w:sz w:val="24"/>
                <w:szCs w:val="24"/>
              </w:rPr>
              <w:t xml:space="preserve">  uniquement</w:t>
            </w:r>
          </w:p>
        </w:tc>
        <w:tc>
          <w:tcPr>
            <w:tcW w:w="3084" w:type="dxa"/>
            <w:hideMark/>
          </w:tcPr>
          <w:p w:rsidR="00FD3A3A" w:rsidRPr="00C87578" w:rsidRDefault="00FD3A3A" w:rsidP="00EA6AA4">
            <w:pPr>
              <w:cnfStyle w:val="000000100000"/>
              <w:rPr>
                <w:rFonts w:asciiTheme="majorBidi" w:hAnsiTheme="majorBidi" w:cstheme="majorBidi"/>
                <w:sz w:val="24"/>
                <w:szCs w:val="24"/>
              </w:rPr>
            </w:pPr>
            <w:r w:rsidRPr="00C87578">
              <w:rPr>
                <w:rFonts w:asciiTheme="majorBidi" w:hAnsiTheme="majorBidi" w:cstheme="majorBidi"/>
                <w:sz w:val="24"/>
                <w:szCs w:val="24"/>
              </w:rPr>
              <w:t>Prévention définitive des maladies génétiques</w:t>
            </w:r>
          </w:p>
        </w:tc>
      </w:tr>
      <w:tr w:rsidR="00FD3A3A" w:rsidRPr="00C87578" w:rsidTr="00C87578">
        <w:tc>
          <w:tcPr>
            <w:cnfStyle w:val="001000000000"/>
            <w:tcW w:w="2518" w:type="dxa"/>
            <w:hideMark/>
          </w:tcPr>
          <w:p w:rsidR="00345C33" w:rsidRPr="006D6AF9" w:rsidRDefault="00345C33" w:rsidP="00EA6AA4">
            <w:pPr>
              <w:rPr>
                <w:rFonts w:asciiTheme="majorBidi" w:hAnsiTheme="majorBidi" w:cstheme="majorBidi"/>
                <w:sz w:val="24"/>
                <w:szCs w:val="24"/>
              </w:rPr>
            </w:pPr>
          </w:p>
        </w:tc>
        <w:tc>
          <w:tcPr>
            <w:tcW w:w="3686" w:type="dxa"/>
            <w:hideMark/>
          </w:tcPr>
          <w:p w:rsidR="00345C33" w:rsidRPr="00C87578" w:rsidRDefault="00345C33" w:rsidP="00EA6AA4">
            <w:pPr>
              <w:cnfStyle w:val="000000000000"/>
              <w:rPr>
                <w:rFonts w:asciiTheme="majorBidi" w:hAnsiTheme="majorBidi" w:cstheme="majorBidi"/>
                <w:sz w:val="24"/>
                <w:szCs w:val="24"/>
              </w:rPr>
            </w:pPr>
          </w:p>
        </w:tc>
        <w:tc>
          <w:tcPr>
            <w:tcW w:w="3084" w:type="dxa"/>
            <w:hideMark/>
          </w:tcPr>
          <w:p w:rsidR="00345C33" w:rsidRPr="00C87578" w:rsidRDefault="00345C33" w:rsidP="00EA6AA4">
            <w:pPr>
              <w:cnfStyle w:val="000000000000"/>
              <w:rPr>
                <w:rFonts w:asciiTheme="majorBidi" w:hAnsiTheme="majorBidi" w:cstheme="majorBidi"/>
                <w:sz w:val="24"/>
                <w:szCs w:val="24"/>
              </w:rPr>
            </w:pPr>
          </w:p>
        </w:tc>
      </w:tr>
      <w:tr w:rsidR="00C87578" w:rsidRPr="00C87578" w:rsidTr="00C87578">
        <w:trPr>
          <w:cnfStyle w:val="000000100000"/>
        </w:trPr>
        <w:tc>
          <w:tcPr>
            <w:cnfStyle w:val="001000000000"/>
            <w:tcW w:w="2518" w:type="dxa"/>
            <w:hideMark/>
          </w:tcPr>
          <w:p w:rsidR="00345C33" w:rsidRPr="006D6AF9" w:rsidRDefault="00345C33" w:rsidP="00EA6AA4">
            <w:pPr>
              <w:rPr>
                <w:rFonts w:asciiTheme="majorBidi" w:hAnsiTheme="majorBidi" w:cstheme="majorBidi"/>
                <w:sz w:val="24"/>
                <w:szCs w:val="24"/>
              </w:rPr>
            </w:pPr>
          </w:p>
        </w:tc>
        <w:tc>
          <w:tcPr>
            <w:tcW w:w="3686" w:type="dxa"/>
            <w:hideMark/>
          </w:tcPr>
          <w:p w:rsidR="00345C33" w:rsidRPr="00C87578" w:rsidRDefault="00345C33" w:rsidP="00EA6AA4">
            <w:pPr>
              <w:cnfStyle w:val="000000100000"/>
              <w:rPr>
                <w:rFonts w:asciiTheme="majorBidi" w:hAnsiTheme="majorBidi" w:cstheme="majorBidi"/>
                <w:sz w:val="24"/>
                <w:szCs w:val="24"/>
              </w:rPr>
            </w:pPr>
          </w:p>
        </w:tc>
        <w:tc>
          <w:tcPr>
            <w:tcW w:w="3084" w:type="dxa"/>
            <w:hideMark/>
          </w:tcPr>
          <w:p w:rsidR="00345C33" w:rsidRPr="00C87578" w:rsidRDefault="00345C33" w:rsidP="00EA6AA4">
            <w:pPr>
              <w:cnfStyle w:val="000000100000"/>
              <w:rPr>
                <w:rFonts w:asciiTheme="majorBidi" w:hAnsiTheme="majorBidi" w:cstheme="majorBidi"/>
                <w:sz w:val="24"/>
                <w:szCs w:val="24"/>
              </w:rPr>
            </w:pPr>
          </w:p>
        </w:tc>
      </w:tr>
    </w:tbl>
    <w:p w:rsidR="00345C33" w:rsidRDefault="00345C33" w:rsidP="00BB5789">
      <w:pPr>
        <w:spacing w:after="100" w:line="360" w:lineRule="auto"/>
        <w:ind w:firstLine="360"/>
        <w:jc w:val="both"/>
        <w:rPr>
          <w:rFonts w:ascii="Times New Roman" w:eastAsia="Times New Roman" w:hAnsi="Times New Roman" w:cs="Times New Roman"/>
          <w:sz w:val="24"/>
        </w:rPr>
      </w:pPr>
    </w:p>
    <w:p w:rsidR="003702DC" w:rsidRDefault="003702DC">
      <w:pPr>
        <w:spacing w:after="0" w:line="360" w:lineRule="auto"/>
        <w:jc w:val="both"/>
        <w:rPr>
          <w:rFonts w:ascii="Times New Roman" w:eastAsia="Times New Roman" w:hAnsi="Times New Roman" w:cs="Times New Roman"/>
          <w:sz w:val="24"/>
        </w:rPr>
      </w:pPr>
    </w:p>
    <w:p w:rsidR="003702DC" w:rsidRDefault="003702DC">
      <w:pPr>
        <w:spacing w:after="0" w:line="360" w:lineRule="auto"/>
        <w:jc w:val="both"/>
        <w:rPr>
          <w:rFonts w:ascii="Times New Roman" w:eastAsia="Times New Roman" w:hAnsi="Times New Roman" w:cs="Times New Roman"/>
          <w:sz w:val="24"/>
        </w:rPr>
      </w:pPr>
    </w:p>
    <w:p w:rsidR="003702DC" w:rsidRDefault="003702DC">
      <w:pPr>
        <w:spacing w:after="0" w:line="360" w:lineRule="auto"/>
        <w:jc w:val="both"/>
        <w:rPr>
          <w:rFonts w:ascii="Times New Roman" w:eastAsia="Times New Roman" w:hAnsi="Times New Roman" w:cs="Times New Roman"/>
          <w:sz w:val="24"/>
        </w:rPr>
      </w:pPr>
    </w:p>
    <w:sectPr w:rsidR="003702DC" w:rsidSect="003C65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A21C0"/>
    <w:multiLevelType w:val="hybridMultilevel"/>
    <w:tmpl w:val="0EA89BEC"/>
    <w:lvl w:ilvl="0" w:tplc="6AE6640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E5C1B26"/>
    <w:multiLevelType w:val="hybridMultilevel"/>
    <w:tmpl w:val="55C02714"/>
    <w:lvl w:ilvl="0" w:tplc="200006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E560C04"/>
    <w:multiLevelType w:val="multilevel"/>
    <w:tmpl w:val="5238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useFELayout/>
  </w:compat>
  <w:rsids>
    <w:rsidRoot w:val="003702DC"/>
    <w:rsid w:val="000B2EC5"/>
    <w:rsid w:val="00224D4D"/>
    <w:rsid w:val="0022687C"/>
    <w:rsid w:val="00264D92"/>
    <w:rsid w:val="002E31D9"/>
    <w:rsid w:val="00345C33"/>
    <w:rsid w:val="003702DC"/>
    <w:rsid w:val="003C6539"/>
    <w:rsid w:val="003F705D"/>
    <w:rsid w:val="00411A49"/>
    <w:rsid w:val="00444CFB"/>
    <w:rsid w:val="004B4536"/>
    <w:rsid w:val="004B7555"/>
    <w:rsid w:val="005D2F1B"/>
    <w:rsid w:val="005F1FAD"/>
    <w:rsid w:val="00612592"/>
    <w:rsid w:val="00640833"/>
    <w:rsid w:val="006D6AF9"/>
    <w:rsid w:val="006E66F1"/>
    <w:rsid w:val="008A257F"/>
    <w:rsid w:val="00BB5789"/>
    <w:rsid w:val="00BC5821"/>
    <w:rsid w:val="00C10659"/>
    <w:rsid w:val="00C87578"/>
    <w:rsid w:val="00CD0EFE"/>
    <w:rsid w:val="00DA1113"/>
    <w:rsid w:val="00DB1DAB"/>
    <w:rsid w:val="00E57079"/>
    <w:rsid w:val="00EB39CA"/>
    <w:rsid w:val="00FB6B88"/>
    <w:rsid w:val="00FD3A3A"/>
    <w:rsid w:val="00FE77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539"/>
  </w:style>
  <w:style w:type="paragraph" w:styleId="Titre2">
    <w:name w:val="heading 2"/>
    <w:basedOn w:val="Normal"/>
    <w:link w:val="Titre2Car"/>
    <w:uiPriority w:val="9"/>
    <w:qFormat/>
    <w:rsid w:val="00345C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1A49"/>
    <w:pPr>
      <w:ind w:left="720"/>
      <w:contextualSpacing/>
    </w:pPr>
  </w:style>
  <w:style w:type="character" w:styleId="lev">
    <w:name w:val="Strong"/>
    <w:basedOn w:val="Policepardfaut"/>
    <w:uiPriority w:val="22"/>
    <w:qFormat/>
    <w:rsid w:val="005D2F1B"/>
    <w:rPr>
      <w:b/>
      <w:bCs/>
    </w:rPr>
  </w:style>
  <w:style w:type="paragraph" w:styleId="NormalWeb">
    <w:name w:val="Normal (Web)"/>
    <w:basedOn w:val="Normal"/>
    <w:uiPriority w:val="99"/>
    <w:unhideWhenUsed/>
    <w:rsid w:val="005D2F1B"/>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345C3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345C33"/>
    <w:rPr>
      <w:rFonts w:ascii="Times New Roman" w:eastAsia="Times New Roman" w:hAnsi="Times New Roman" w:cs="Times New Roman"/>
      <w:b/>
      <w:bCs/>
      <w:sz w:val="36"/>
      <w:szCs w:val="36"/>
    </w:rPr>
  </w:style>
  <w:style w:type="table" w:styleId="Trameclaire-Accent5">
    <w:name w:val="Light Shading Accent 5"/>
    <w:basedOn w:val="TableauNormal"/>
    <w:uiPriority w:val="60"/>
    <w:rsid w:val="00C87578"/>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1158</Words>
  <Characters>6372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TSHIBA</cp:lastModifiedBy>
  <cp:revision>31</cp:revision>
  <dcterms:created xsi:type="dcterms:W3CDTF">2025-02-21T11:24:00Z</dcterms:created>
  <dcterms:modified xsi:type="dcterms:W3CDTF">2026-02-06T17:55:00Z</dcterms:modified>
</cp:coreProperties>
</file>