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56" w:rsidRPr="001B3165" w:rsidRDefault="00231356" w:rsidP="00231356">
      <w:pPr>
        <w:rPr>
          <w:rFonts w:asciiTheme="majorBidi" w:hAnsiTheme="majorBidi" w:cstheme="majorBidi"/>
          <w:b/>
          <w:bCs/>
          <w:lang w:val="en-US"/>
        </w:rPr>
      </w:pPr>
      <w:r w:rsidRPr="001B3165">
        <w:rPr>
          <w:rFonts w:asciiTheme="majorBidi" w:hAnsiTheme="majorBidi" w:cstheme="majorBidi"/>
          <w:b/>
          <w:bCs/>
          <w:lang w:val="en-US"/>
        </w:rPr>
        <w:t>Mila University Center</w:t>
      </w:r>
      <w:r w:rsidRPr="001B3165">
        <w:rPr>
          <w:rFonts w:asciiTheme="majorBidi" w:hAnsiTheme="majorBidi" w:cstheme="majorBidi"/>
          <w:b/>
          <w:bCs/>
          <w:lang w:val="en-US"/>
        </w:rPr>
        <w:tab/>
      </w:r>
      <w:r w:rsidRPr="001B3165">
        <w:rPr>
          <w:rFonts w:asciiTheme="majorBidi" w:hAnsiTheme="majorBidi" w:cstheme="majorBidi"/>
          <w:b/>
          <w:bCs/>
          <w:lang w:val="en-US"/>
        </w:rPr>
        <w:tab/>
      </w:r>
      <w:r w:rsidRPr="001B3165">
        <w:rPr>
          <w:rFonts w:asciiTheme="majorBidi" w:hAnsiTheme="majorBidi" w:cstheme="majorBidi"/>
          <w:b/>
          <w:bCs/>
          <w:lang w:val="en-US"/>
        </w:rPr>
        <w:tab/>
      </w:r>
      <w:r w:rsidRPr="001B3165">
        <w:rPr>
          <w:rFonts w:asciiTheme="majorBidi" w:hAnsiTheme="majorBidi" w:cstheme="majorBidi"/>
          <w:b/>
          <w:bCs/>
          <w:lang w:val="en-US"/>
        </w:rPr>
        <w:tab/>
      </w:r>
      <w:r w:rsidRPr="001B3165">
        <w:rPr>
          <w:rFonts w:asciiTheme="majorBidi" w:hAnsiTheme="majorBidi" w:cstheme="majorBidi"/>
          <w:b/>
          <w:bCs/>
          <w:lang w:val="en-US"/>
        </w:rPr>
        <w:tab/>
      </w:r>
      <w:r w:rsidRPr="001B3165">
        <w:rPr>
          <w:rFonts w:asciiTheme="majorBidi" w:hAnsiTheme="majorBidi" w:cstheme="majorBidi"/>
          <w:b/>
          <w:bCs/>
          <w:lang w:val="en-US"/>
        </w:rPr>
        <w:tab/>
      </w:r>
      <w:r w:rsidRPr="001B3165">
        <w:rPr>
          <w:rFonts w:asciiTheme="majorBidi" w:hAnsiTheme="majorBidi" w:cstheme="majorBidi"/>
          <w:b/>
          <w:bCs/>
          <w:lang w:val="en-US"/>
        </w:rPr>
        <w:tab/>
      </w:r>
      <w:r w:rsidRPr="001B3165">
        <w:rPr>
          <w:rFonts w:asciiTheme="majorBidi" w:hAnsiTheme="majorBidi" w:cstheme="majorBidi"/>
        </w:rPr>
        <w:drawing>
          <wp:inline distT="0" distB="0" distL="0" distR="0" wp14:anchorId="589498FA" wp14:editId="57BD964C">
            <wp:extent cx="12192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165">
        <w:rPr>
          <w:rFonts w:asciiTheme="majorBidi" w:hAnsiTheme="majorBidi" w:cstheme="majorBidi"/>
          <w:b/>
          <w:bCs/>
          <w:lang w:val="en-US"/>
        </w:rPr>
        <w:tab/>
        <w:t>2024/2025</w:t>
      </w:r>
      <w:r w:rsidRPr="001B3165">
        <w:rPr>
          <w:rFonts w:asciiTheme="majorBidi" w:hAnsiTheme="majorBidi" w:cstheme="majorBidi"/>
          <w:b/>
          <w:bCs/>
          <w:lang w:val="en-US"/>
        </w:rPr>
        <w:br/>
        <w:t>Department of Letters and Foreign Languages</w:t>
      </w:r>
    </w:p>
    <w:p w:rsidR="00231356" w:rsidRPr="001B3165" w:rsidRDefault="00231356" w:rsidP="00231356">
      <w:pPr>
        <w:rPr>
          <w:rFonts w:asciiTheme="majorBidi" w:hAnsiTheme="majorBidi" w:cstheme="majorBidi"/>
          <w:b/>
          <w:bCs/>
          <w:lang w:val="en-US"/>
        </w:rPr>
      </w:pPr>
      <w:r w:rsidRPr="001B3165">
        <w:rPr>
          <w:rFonts w:asciiTheme="majorBidi" w:hAnsiTheme="majorBidi" w:cstheme="majorBidi"/>
          <w:b/>
          <w:bCs/>
          <w:lang w:val="en-US"/>
        </w:rPr>
        <w:t>Module: Reading (L 1/S2)</w:t>
      </w:r>
    </w:p>
    <w:p w:rsidR="00231356" w:rsidRPr="001B3165" w:rsidRDefault="00231356" w:rsidP="00231356">
      <w:pPr>
        <w:rPr>
          <w:rFonts w:asciiTheme="majorBidi" w:hAnsiTheme="majorBidi" w:cstheme="majorBidi"/>
          <w:b/>
          <w:bCs/>
          <w:lang w:val="en-US"/>
        </w:rPr>
      </w:pPr>
      <w:r w:rsidRPr="001B3165">
        <w:rPr>
          <w:rFonts w:asciiTheme="majorBidi" w:hAnsiTheme="majorBidi" w:cstheme="majorBidi"/>
          <w:b/>
          <w:bCs/>
          <w:lang w:val="en-US"/>
        </w:rPr>
        <w:t xml:space="preserve">Dr. Rania </w:t>
      </w:r>
      <w:proofErr w:type="spellStart"/>
      <w:r w:rsidRPr="001B3165">
        <w:rPr>
          <w:rFonts w:asciiTheme="majorBidi" w:hAnsiTheme="majorBidi" w:cstheme="majorBidi"/>
          <w:b/>
          <w:bCs/>
          <w:lang w:val="en-US"/>
        </w:rPr>
        <w:t>Khelifa</w:t>
      </w:r>
      <w:proofErr w:type="spellEnd"/>
      <w:r w:rsidRPr="001B3165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1B3165">
        <w:rPr>
          <w:rFonts w:asciiTheme="majorBidi" w:hAnsiTheme="majorBidi" w:cstheme="majorBidi"/>
          <w:b/>
          <w:bCs/>
          <w:lang w:val="en-US"/>
        </w:rPr>
        <w:t>Chelihi</w:t>
      </w:r>
      <w:proofErr w:type="spellEnd"/>
      <w:r w:rsidRPr="001B3165">
        <w:rPr>
          <w:rFonts w:asciiTheme="majorBidi" w:hAnsiTheme="majorBidi" w:cstheme="majorBidi"/>
          <w:lang w:val="en-US"/>
        </w:rPr>
        <w:br/>
      </w:r>
    </w:p>
    <w:p w:rsidR="00231356" w:rsidRPr="001B3165" w:rsidRDefault="00231356" w:rsidP="00231356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B3165">
        <w:rPr>
          <w:rFonts w:asciiTheme="majorBidi" w:hAnsiTheme="majorBidi" w:cstheme="majorBidi"/>
          <w:b/>
          <w:bCs/>
          <w:sz w:val="28"/>
          <w:szCs w:val="28"/>
          <w:lang w:val="en-US"/>
        </w:rPr>
        <w:t>Compare and Contrast</w:t>
      </w:r>
    </w:p>
    <w:p w:rsidR="00231356" w:rsidRPr="001B3165" w:rsidRDefault="00231356" w:rsidP="00231356">
      <w:pPr>
        <w:rPr>
          <w:rFonts w:asciiTheme="majorBidi" w:hAnsiTheme="majorBidi" w:cstheme="majorBidi"/>
          <w:lang w:val="en-US"/>
        </w:rPr>
      </w:pPr>
    </w:p>
    <w:p w:rsidR="00231356" w:rsidRPr="001B3165" w:rsidRDefault="004B2020" w:rsidP="00993F6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B3165">
        <w:rPr>
          <w:rFonts w:asciiTheme="majorBidi" w:hAnsiTheme="majorBidi" w:cstheme="majorBidi"/>
          <w:b/>
          <w:bCs/>
          <w:sz w:val="28"/>
          <w:szCs w:val="28"/>
          <w:lang w:val="en-US"/>
        </w:rPr>
        <w:t>What is a compare and contrast essay?</w:t>
      </w:r>
    </w:p>
    <w:p w:rsidR="004B2020" w:rsidRPr="001B3165" w:rsidRDefault="004B2020" w:rsidP="004B202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B2020" w:rsidRPr="001B3165" w:rsidRDefault="004B2020" w:rsidP="004B202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B3165">
        <w:rPr>
          <w:rFonts w:asciiTheme="majorBidi" w:hAnsiTheme="majorBidi" w:cstheme="majorBidi"/>
          <w:sz w:val="24"/>
          <w:szCs w:val="24"/>
          <w:lang w:val="en-US"/>
        </w:rPr>
        <w:t xml:space="preserve">Compare and contrast is a rhetorical style that discusses the similarities and differences of two or more things: ideas, concepts, items, places, etc. This rhetorical style is one that </w:t>
      </w:r>
      <w:proofErr w:type="gramStart"/>
      <w:r w:rsidRPr="001B3165">
        <w:rPr>
          <w:rFonts w:asciiTheme="majorBidi" w:hAnsiTheme="majorBidi" w:cstheme="majorBidi"/>
          <w:sz w:val="24"/>
          <w:szCs w:val="24"/>
          <w:lang w:val="en-US"/>
        </w:rPr>
        <w:t>you’ll</w:t>
      </w:r>
      <w:proofErr w:type="gramEnd"/>
      <w:r w:rsidRPr="001B3165">
        <w:rPr>
          <w:rFonts w:asciiTheme="majorBidi" w:hAnsiTheme="majorBidi" w:cstheme="majorBidi"/>
          <w:sz w:val="24"/>
          <w:szCs w:val="24"/>
          <w:lang w:val="en-US"/>
        </w:rPr>
        <w:t xml:space="preserve"> see often as a complete essay, but you may also use it quite a lot within paragraphs of any kind of essay in which you need to make some kind of comparison to help illustrate a point.</w:t>
      </w:r>
    </w:p>
    <w:p w:rsidR="004B2020" w:rsidRPr="001B3165" w:rsidRDefault="004B2020" w:rsidP="004B202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31356" w:rsidRPr="001B3165" w:rsidRDefault="004B2020" w:rsidP="004B202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B3165">
        <w:rPr>
          <w:rFonts w:asciiTheme="majorBidi" w:hAnsiTheme="majorBidi" w:cstheme="majorBidi"/>
          <w:sz w:val="24"/>
          <w:szCs w:val="24"/>
          <w:lang w:val="en-US"/>
        </w:rPr>
        <w:t>A compare and contrast essay does two things: It discusses the similarities and differences of at least two different things. First, you must find a basis of comparison to be sure that the two things have enough in common.</w:t>
      </w:r>
    </w:p>
    <w:p w:rsidR="008A5BA0" w:rsidRPr="001B3165" w:rsidRDefault="004B2020" w:rsidP="004B2020">
      <w:pPr>
        <w:rPr>
          <w:rFonts w:asciiTheme="majorBidi" w:hAnsiTheme="majorBidi" w:cstheme="majorBidi"/>
          <w:lang w:val="en-US"/>
        </w:rPr>
      </w:pPr>
      <w:r w:rsidRPr="001B3165">
        <w:rPr>
          <w:rFonts w:asciiTheme="majorBidi" w:hAnsiTheme="majorBidi" w:cstheme="majorBidi"/>
          <w:noProof/>
          <w:lang w:eastAsia="en-GB"/>
        </w:rPr>
        <w:drawing>
          <wp:inline distT="0" distB="0" distL="0" distR="0">
            <wp:extent cx="4791075" cy="3190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F68" w:rsidRDefault="00993F68" w:rsidP="004C342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B3165" w:rsidRPr="001B3165" w:rsidRDefault="001B3165" w:rsidP="004C342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C3429" w:rsidRPr="001B3165" w:rsidRDefault="004C3429" w:rsidP="00993F6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1B3165">
        <w:rPr>
          <w:rFonts w:asciiTheme="majorBidi" w:hAnsiTheme="majorBidi" w:cstheme="majorBidi"/>
          <w:b/>
          <w:bCs/>
          <w:sz w:val="28"/>
          <w:szCs w:val="28"/>
        </w:rPr>
        <w:lastRenderedPageBreak/>
        <w:t>Discovering similarities and differences</w:t>
      </w:r>
    </w:p>
    <w:p w:rsidR="004C3429" w:rsidRPr="001B3165" w:rsidRDefault="004C3429" w:rsidP="004C3429">
      <w:pPr>
        <w:jc w:val="both"/>
        <w:rPr>
          <w:rFonts w:asciiTheme="majorBidi" w:hAnsiTheme="majorBidi" w:cstheme="majorBidi"/>
          <w:sz w:val="24"/>
          <w:szCs w:val="24"/>
        </w:rPr>
      </w:pPr>
      <w:r w:rsidRPr="001B3165">
        <w:rPr>
          <w:rFonts w:asciiTheme="majorBidi" w:hAnsiTheme="majorBidi" w:cstheme="majorBidi"/>
          <w:sz w:val="24"/>
          <w:szCs w:val="24"/>
        </w:rPr>
        <w:t xml:space="preserve">Making a Venn diagram or a chart can help you quickly and efficiently compare and contrast two or more things or ideas. To make a Venn diagram, simply draw some overlapping circles, one circle for each item </w:t>
      </w:r>
      <w:proofErr w:type="gramStart"/>
      <w:r w:rsidRPr="001B3165">
        <w:rPr>
          <w:rFonts w:asciiTheme="majorBidi" w:hAnsiTheme="majorBidi" w:cstheme="majorBidi"/>
          <w:sz w:val="24"/>
          <w:szCs w:val="24"/>
        </w:rPr>
        <w:t>you’re</w:t>
      </w:r>
      <w:proofErr w:type="gramEnd"/>
      <w:r w:rsidRPr="001B3165">
        <w:rPr>
          <w:rFonts w:asciiTheme="majorBidi" w:hAnsiTheme="majorBidi" w:cstheme="majorBidi"/>
          <w:sz w:val="24"/>
          <w:szCs w:val="24"/>
        </w:rPr>
        <w:t xml:space="preserve"> considering. In the central area where they overlap, list the traits the two items have in common.9-+Assign each one of the areas that doesn’t overlap; in those areas, you can list the traits that make the things different. </w:t>
      </w:r>
      <w:proofErr w:type="gramStart"/>
      <w:r w:rsidRPr="001B3165">
        <w:rPr>
          <w:rFonts w:asciiTheme="majorBidi" w:hAnsiTheme="majorBidi" w:cstheme="majorBidi"/>
          <w:sz w:val="24"/>
          <w:szCs w:val="24"/>
        </w:rPr>
        <w:t>Here’s</w:t>
      </w:r>
      <w:proofErr w:type="gramEnd"/>
      <w:r w:rsidRPr="001B3165">
        <w:rPr>
          <w:rFonts w:asciiTheme="majorBidi" w:hAnsiTheme="majorBidi" w:cstheme="majorBidi"/>
          <w:sz w:val="24"/>
          <w:szCs w:val="24"/>
        </w:rPr>
        <w:t xml:space="preserve"> a very simple example, using two pizza places:</w:t>
      </w:r>
    </w:p>
    <w:p w:rsidR="00993F68" w:rsidRPr="001B3165" w:rsidRDefault="004C3429" w:rsidP="00993F68">
      <w:pPr>
        <w:rPr>
          <w:rFonts w:asciiTheme="majorBidi" w:hAnsiTheme="majorBidi" w:cstheme="majorBidi"/>
        </w:rPr>
      </w:pPr>
      <w:r w:rsidRPr="001B3165">
        <w:rPr>
          <w:rFonts w:asciiTheme="majorBidi" w:hAnsiTheme="majorBidi" w:cstheme="majorBidi"/>
        </w:rPr>
        <w:drawing>
          <wp:inline distT="0" distB="0" distL="0" distR="0">
            <wp:extent cx="3333750" cy="2486025"/>
            <wp:effectExtent l="0" t="0" r="0" b="0"/>
            <wp:docPr id="5" name="Picture 5" descr="Venn diagram indicating that both Pepper's and Amante serve pizza with unusual ingredients at moderate prices, despite differences in location, wait times, and delivery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nn diagram indicating that both Pepper's and Amante serve pizza with unusual ingredients at moderate prices, despite differences in location, wait times, and delivery op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F68" w:rsidRPr="001B3165" w:rsidRDefault="00993F68" w:rsidP="00993F68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1B316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GB"/>
        </w:rPr>
        <w:t>Why is comparing and contrasting texts an important skill?</w:t>
      </w:r>
    </w:p>
    <w:p w:rsidR="00993F68" w:rsidRPr="00993F68" w:rsidRDefault="00993F68" w:rsidP="00993F68">
      <w:pPr>
        <w:shd w:val="clear" w:color="auto" w:fill="FFFFFF"/>
        <w:spacing w:after="48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</w:pPr>
      <w:r w:rsidRPr="00993F68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Here are a few reasons why comparing and contrasting texts is an important skill for upper elementary readers:</w:t>
      </w:r>
    </w:p>
    <w:p w:rsidR="00993F68" w:rsidRPr="001B3165" w:rsidRDefault="00993F68" w:rsidP="00993F6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</w:pPr>
      <w:r w:rsidRPr="001B3165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It requires an attention to detail, which is important for comprehension.</w:t>
      </w:r>
    </w:p>
    <w:p w:rsidR="00993F68" w:rsidRPr="001B3165" w:rsidRDefault="00993F68" w:rsidP="00993F6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</w:pPr>
      <w:r w:rsidRPr="001B3165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It helps students organize information.</w:t>
      </w:r>
    </w:p>
    <w:p w:rsidR="00993F68" w:rsidRPr="001B3165" w:rsidRDefault="00993F68" w:rsidP="00993F6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</w:pPr>
      <w:r w:rsidRPr="001B3165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It is a foundational skill to many higher-level critical thinking skills, such as synthesizing.</w:t>
      </w:r>
    </w:p>
    <w:p w:rsidR="00993F68" w:rsidRPr="00993F68" w:rsidRDefault="00993F68" w:rsidP="00993F68">
      <w:pPr>
        <w:shd w:val="clear" w:color="auto" w:fill="FFFFFF"/>
        <w:spacing w:after="48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</w:pPr>
      <w:r w:rsidRPr="00993F68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 xml:space="preserve">Comparing and contrasting is huge for comprehending and synthesizing texts. Students need to be able to focus on essential details, </w:t>
      </w:r>
      <w:proofErr w:type="spellStart"/>
      <w:r w:rsidRPr="00993F68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analyze</w:t>
      </w:r>
      <w:proofErr w:type="spellEnd"/>
      <w:r w:rsidRPr="00993F68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 xml:space="preserve"> what they are reading, and make connections and comparisons between multiple texts. </w:t>
      </w:r>
    </w:p>
    <w:p w:rsidR="004C3429" w:rsidRDefault="00993F68" w:rsidP="00993F6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B3165">
        <w:rPr>
          <w:rFonts w:asciiTheme="majorBidi" w:hAnsiTheme="majorBidi" w:cstheme="majorBidi"/>
          <w:b/>
          <w:bCs/>
          <w:sz w:val="28"/>
          <w:szCs w:val="28"/>
          <w:lang w:val="en-US"/>
        </w:rPr>
        <w:t>Key Words for Compare and Contrast</w:t>
      </w:r>
    </w:p>
    <w:p w:rsidR="001B3165" w:rsidRPr="001B3165" w:rsidRDefault="001B3165" w:rsidP="001B3165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993F68" w:rsidRPr="001B3165" w:rsidRDefault="00993F68" w:rsidP="00C3191C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1B3165">
        <w:rPr>
          <w:rFonts w:asciiTheme="majorBidi" w:hAnsiTheme="majorBidi" w:cstheme="majorBidi"/>
        </w:rPr>
        <w:t xml:space="preserve">The following words signal that two pieces are being compared: 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475"/>
        <w:gridCol w:w="1276"/>
        <w:gridCol w:w="1559"/>
        <w:gridCol w:w="1418"/>
        <w:gridCol w:w="1560"/>
      </w:tblGrid>
      <w:tr w:rsidR="00993F68" w:rsidRPr="001B3165" w:rsidTr="00993F6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365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also</w:t>
            </w:r>
          </w:p>
        </w:tc>
        <w:tc>
          <w:tcPr>
            <w:tcW w:w="1417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both</w:t>
            </w:r>
          </w:p>
        </w:tc>
        <w:tc>
          <w:tcPr>
            <w:tcW w:w="1276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In the same way</w:t>
            </w:r>
          </w:p>
        </w:tc>
        <w:tc>
          <w:tcPr>
            <w:tcW w:w="1559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In addition</w:t>
            </w:r>
          </w:p>
        </w:tc>
        <w:tc>
          <w:tcPr>
            <w:tcW w:w="1418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Most important</w:t>
            </w:r>
          </w:p>
        </w:tc>
        <w:tc>
          <w:tcPr>
            <w:tcW w:w="1560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 xml:space="preserve">Similarly </w:t>
            </w:r>
          </w:p>
        </w:tc>
      </w:tr>
      <w:tr w:rsidR="00993F68" w:rsidRPr="001B3165" w:rsidTr="00993F6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365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As well as</w:t>
            </w:r>
          </w:p>
        </w:tc>
        <w:tc>
          <w:tcPr>
            <w:tcW w:w="1417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comparatively</w:t>
            </w:r>
          </w:p>
        </w:tc>
        <w:tc>
          <w:tcPr>
            <w:tcW w:w="1276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 xml:space="preserve">Just as </w:t>
            </w:r>
          </w:p>
        </w:tc>
        <w:tc>
          <w:tcPr>
            <w:tcW w:w="1559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like</w:t>
            </w:r>
          </w:p>
        </w:tc>
        <w:tc>
          <w:tcPr>
            <w:tcW w:w="1418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 xml:space="preserve">The same as </w:t>
            </w:r>
          </w:p>
        </w:tc>
        <w:tc>
          <w:tcPr>
            <w:tcW w:w="1560" w:type="dxa"/>
          </w:tcPr>
          <w:p w:rsidR="00993F68" w:rsidRPr="001B3165" w:rsidRDefault="00993F68" w:rsidP="00993F68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too</w:t>
            </w:r>
          </w:p>
        </w:tc>
      </w:tr>
    </w:tbl>
    <w:p w:rsidR="00C3191C" w:rsidRDefault="00C3191C" w:rsidP="00993F68">
      <w:pPr>
        <w:rPr>
          <w:rFonts w:asciiTheme="majorBidi" w:hAnsiTheme="majorBidi" w:cstheme="majorBidi"/>
        </w:rPr>
      </w:pPr>
    </w:p>
    <w:p w:rsidR="001B3165" w:rsidRDefault="001B3165" w:rsidP="00993F68">
      <w:pPr>
        <w:rPr>
          <w:rFonts w:asciiTheme="majorBidi" w:hAnsiTheme="majorBidi" w:cstheme="majorBidi"/>
        </w:rPr>
      </w:pPr>
    </w:p>
    <w:p w:rsidR="001B3165" w:rsidRDefault="001B3165" w:rsidP="00993F68">
      <w:pPr>
        <w:rPr>
          <w:rFonts w:asciiTheme="majorBidi" w:hAnsiTheme="majorBidi" w:cstheme="majorBidi"/>
        </w:rPr>
      </w:pPr>
    </w:p>
    <w:p w:rsidR="001B3165" w:rsidRDefault="001B3165" w:rsidP="00993F68">
      <w:pPr>
        <w:rPr>
          <w:rFonts w:asciiTheme="majorBidi" w:hAnsiTheme="majorBidi" w:cstheme="majorBidi"/>
        </w:rPr>
      </w:pPr>
    </w:p>
    <w:p w:rsidR="001B3165" w:rsidRPr="001B3165" w:rsidRDefault="001B3165" w:rsidP="00993F68">
      <w:pPr>
        <w:rPr>
          <w:rFonts w:asciiTheme="majorBidi" w:hAnsiTheme="majorBidi" w:cstheme="majorBidi"/>
        </w:rPr>
      </w:pPr>
    </w:p>
    <w:p w:rsidR="00C3191C" w:rsidRPr="001B3165" w:rsidRDefault="00993F68" w:rsidP="00C3191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B3165">
        <w:rPr>
          <w:rFonts w:asciiTheme="majorBidi" w:hAnsiTheme="majorBidi" w:cstheme="majorBidi"/>
          <w:b/>
          <w:bCs/>
        </w:rPr>
        <w:t xml:space="preserve">The following words signal that two pieces are being contrasted: </w:t>
      </w:r>
    </w:p>
    <w:p w:rsidR="001B3165" w:rsidRDefault="001B3165" w:rsidP="00C3191C">
      <w:pPr>
        <w:pStyle w:val="ListParagraph"/>
        <w:rPr>
          <w:rFonts w:asciiTheme="majorBidi" w:hAnsiTheme="majorBidi" w:cstheme="majorBidi"/>
        </w:rPr>
      </w:pPr>
    </w:p>
    <w:p w:rsidR="001B3165" w:rsidRPr="001B3165" w:rsidRDefault="001B3165" w:rsidP="00C3191C">
      <w:pPr>
        <w:pStyle w:val="ListParagraph"/>
        <w:rPr>
          <w:rFonts w:asciiTheme="majorBidi" w:hAnsiTheme="majorBidi" w:cstheme="majorBidi"/>
        </w:rPr>
      </w:pPr>
    </w:p>
    <w:p w:rsidR="001B3165" w:rsidRPr="001B3165" w:rsidRDefault="001B3165" w:rsidP="00C3191C">
      <w:pPr>
        <w:pStyle w:val="ListParagraph"/>
        <w:rPr>
          <w:rFonts w:asciiTheme="majorBidi" w:hAnsiTheme="majorBidi" w:cstheme="majorBidi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417"/>
        <w:gridCol w:w="1358"/>
        <w:gridCol w:w="1685"/>
        <w:gridCol w:w="1418"/>
        <w:gridCol w:w="705"/>
        <w:gridCol w:w="972"/>
      </w:tblGrid>
      <w:tr w:rsidR="001B3165" w:rsidRPr="001B3165" w:rsidTr="001B316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365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although</w:t>
            </w:r>
          </w:p>
        </w:tc>
        <w:tc>
          <w:tcPr>
            <w:tcW w:w="1417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besides</w:t>
            </w:r>
          </w:p>
        </w:tc>
        <w:tc>
          <w:tcPr>
            <w:tcW w:w="1358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 xml:space="preserve">Conversely </w:t>
            </w:r>
          </w:p>
        </w:tc>
        <w:tc>
          <w:tcPr>
            <w:tcW w:w="1685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Even tough</w:t>
            </w:r>
          </w:p>
        </w:tc>
        <w:tc>
          <w:tcPr>
            <w:tcW w:w="1418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however</w:t>
            </w:r>
          </w:p>
        </w:tc>
        <w:tc>
          <w:tcPr>
            <w:tcW w:w="1560" w:type="dxa"/>
            <w:gridSpan w:val="2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 xml:space="preserve">Similarly </w:t>
            </w:r>
          </w:p>
        </w:tc>
      </w:tr>
      <w:tr w:rsidR="001B3165" w:rsidRPr="001B3165" w:rsidTr="001B3165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365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but</w:t>
            </w:r>
          </w:p>
        </w:tc>
        <w:tc>
          <w:tcPr>
            <w:tcW w:w="1417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Compared with</w:t>
            </w:r>
          </w:p>
        </w:tc>
        <w:tc>
          <w:tcPr>
            <w:tcW w:w="1358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differ</w:t>
            </w:r>
          </w:p>
        </w:tc>
        <w:tc>
          <w:tcPr>
            <w:tcW w:w="1685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furthermore</w:t>
            </w:r>
          </w:p>
        </w:tc>
        <w:tc>
          <w:tcPr>
            <w:tcW w:w="1418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In contrast to</w:t>
            </w:r>
          </w:p>
        </w:tc>
        <w:tc>
          <w:tcPr>
            <w:tcW w:w="1560" w:type="dxa"/>
            <w:gridSpan w:val="2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instead</w:t>
            </w:r>
          </w:p>
        </w:tc>
      </w:tr>
      <w:tr w:rsidR="001B3165" w:rsidRPr="001B3165" w:rsidTr="001B316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65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Less tan</w:t>
            </w:r>
          </w:p>
        </w:tc>
        <w:tc>
          <w:tcPr>
            <w:tcW w:w="1417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More than</w:t>
            </w:r>
          </w:p>
        </w:tc>
        <w:tc>
          <w:tcPr>
            <w:tcW w:w="1358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nevertheless</w:t>
            </w:r>
          </w:p>
        </w:tc>
        <w:tc>
          <w:tcPr>
            <w:tcW w:w="1685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notwithstanding</w:t>
            </w:r>
          </w:p>
        </w:tc>
        <w:tc>
          <w:tcPr>
            <w:tcW w:w="1418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On the other hand</w:t>
            </w:r>
          </w:p>
        </w:tc>
        <w:tc>
          <w:tcPr>
            <w:tcW w:w="1560" w:type="dxa"/>
            <w:gridSpan w:val="2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otherwise</w:t>
            </w:r>
          </w:p>
        </w:tc>
      </w:tr>
      <w:tr w:rsidR="001B3165" w:rsidRPr="001B3165" w:rsidTr="001B3165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1365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Rather than</w:t>
            </w:r>
          </w:p>
        </w:tc>
        <w:tc>
          <w:tcPr>
            <w:tcW w:w="1417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regardless</w:t>
            </w:r>
          </w:p>
        </w:tc>
        <w:tc>
          <w:tcPr>
            <w:tcW w:w="1358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 xml:space="preserve">Though </w:t>
            </w:r>
          </w:p>
        </w:tc>
        <w:tc>
          <w:tcPr>
            <w:tcW w:w="1685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unless</w:t>
            </w:r>
          </w:p>
        </w:tc>
        <w:tc>
          <w:tcPr>
            <w:tcW w:w="1418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unlike</w:t>
            </w:r>
          </w:p>
        </w:tc>
        <w:tc>
          <w:tcPr>
            <w:tcW w:w="588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while</w:t>
            </w:r>
          </w:p>
        </w:tc>
        <w:tc>
          <w:tcPr>
            <w:tcW w:w="972" w:type="dxa"/>
          </w:tcPr>
          <w:p w:rsidR="001B3165" w:rsidRPr="001B3165" w:rsidRDefault="001B3165" w:rsidP="001B3165">
            <w:pPr>
              <w:rPr>
                <w:rFonts w:asciiTheme="majorBidi" w:hAnsiTheme="majorBidi" w:cstheme="majorBidi"/>
              </w:rPr>
            </w:pPr>
            <w:r w:rsidRPr="001B3165">
              <w:rPr>
                <w:rFonts w:asciiTheme="majorBidi" w:hAnsiTheme="majorBidi" w:cstheme="majorBidi"/>
              </w:rPr>
              <w:t>yet</w:t>
            </w:r>
          </w:p>
        </w:tc>
      </w:tr>
    </w:tbl>
    <w:p w:rsidR="00993F68" w:rsidRDefault="00993F68" w:rsidP="00993F6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1B3165" w:rsidRDefault="001B3165" w:rsidP="00993F6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References</w:t>
      </w:r>
    </w:p>
    <w:p w:rsidR="001B3165" w:rsidRDefault="001B3165" w:rsidP="00993F6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hyperlink r:id="rId8" w:history="1">
        <w:r w:rsidRPr="00D474A1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-US"/>
          </w:rPr>
          <w:t>http://www.corwin.com/</w:t>
        </w:r>
      </w:hyperlink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1B3165" w:rsidRDefault="001B3165" w:rsidP="00993F6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hyperlink r:id="rId9" w:history="1">
        <w:r w:rsidRPr="00D474A1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-US"/>
          </w:rPr>
          <w:t>https://www.phrasebank.manchester.ac.uk/compare-and-contrast/</w:t>
        </w:r>
      </w:hyperlink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1B3165" w:rsidRDefault="001B3165" w:rsidP="00993F6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hyperlink r:id="rId10" w:history="1">
        <w:r w:rsidRPr="00D474A1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-US"/>
          </w:rPr>
          <w:t>https://letstalkscience.ca/educational-resources/teaching-stem/comparing-contrasting</w:t>
        </w:r>
      </w:hyperlink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1B3165" w:rsidRPr="001B3165" w:rsidRDefault="001B3165" w:rsidP="00993F6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1B3165" w:rsidRPr="001B31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356" w:rsidRDefault="00231356">
    <w:pPr>
      <w:pStyle w:val="Footer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B3165"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:rsidR="00231356" w:rsidRDefault="0023135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716"/>
    <w:multiLevelType w:val="hybridMultilevel"/>
    <w:tmpl w:val="192C29D6"/>
    <w:lvl w:ilvl="0" w:tplc="3D52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7E8B"/>
    <w:multiLevelType w:val="hybridMultilevel"/>
    <w:tmpl w:val="08D09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4C06"/>
    <w:multiLevelType w:val="hybridMultilevel"/>
    <w:tmpl w:val="EE2A7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46890"/>
    <w:multiLevelType w:val="hybridMultilevel"/>
    <w:tmpl w:val="91C23B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D141B"/>
    <w:multiLevelType w:val="multilevel"/>
    <w:tmpl w:val="E1C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C83197"/>
    <w:multiLevelType w:val="hybridMultilevel"/>
    <w:tmpl w:val="58A62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F2D77"/>
    <w:multiLevelType w:val="multilevel"/>
    <w:tmpl w:val="B44A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C27487"/>
    <w:multiLevelType w:val="hybridMultilevel"/>
    <w:tmpl w:val="604820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9B1DE8"/>
    <w:multiLevelType w:val="hybridMultilevel"/>
    <w:tmpl w:val="F9D4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D8"/>
    <w:rsid w:val="001B3165"/>
    <w:rsid w:val="00231356"/>
    <w:rsid w:val="004B2020"/>
    <w:rsid w:val="004C3429"/>
    <w:rsid w:val="008A5BA0"/>
    <w:rsid w:val="00993F68"/>
    <w:rsid w:val="00AE3DEB"/>
    <w:rsid w:val="00C3191C"/>
    <w:rsid w:val="00C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F0A4"/>
  <w15:chartTrackingRefBased/>
  <w15:docId w15:val="{37543D20-F34B-4C31-94D3-F6698279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3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356"/>
  </w:style>
  <w:style w:type="character" w:styleId="Hyperlink">
    <w:name w:val="Hyperlink"/>
    <w:basedOn w:val="DefaultParagraphFont"/>
    <w:uiPriority w:val="99"/>
    <w:unhideWhenUsed/>
    <w:rsid w:val="002313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wi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oter" Target="footer1.xml"/><Relationship Id="rId5" Type="http://schemas.openxmlformats.org/officeDocument/2006/relationships/image" Target="media/image1.jpg"/><Relationship Id="rId10" Type="http://schemas.openxmlformats.org/officeDocument/2006/relationships/hyperlink" Target="https://letstalkscience.ca/educational-resources/teaching-stem/comparing-contras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rasebank.manchester.ac.uk/compare-and-contr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RANIA</cp:lastModifiedBy>
  <cp:revision>8</cp:revision>
  <dcterms:created xsi:type="dcterms:W3CDTF">2025-04-23T12:36:00Z</dcterms:created>
  <dcterms:modified xsi:type="dcterms:W3CDTF">2025-04-23T15:45:00Z</dcterms:modified>
</cp:coreProperties>
</file>