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53CE" w:rsidRPr="00A74FB6" w:rsidRDefault="003553CE" w:rsidP="003553CE">
      <w:pPr>
        <w:spacing w:line="360" w:lineRule="auto"/>
        <w:jc w:val="both"/>
        <w:rPr>
          <w:rFonts w:asciiTheme="majorBidi" w:hAnsiTheme="majorBidi" w:cstheme="majorBidi"/>
          <w:sz w:val="24"/>
          <w:szCs w:val="24"/>
        </w:rPr>
      </w:pPr>
    </w:p>
    <w:p w:rsidR="003553CE" w:rsidRPr="00300A28" w:rsidRDefault="003553CE" w:rsidP="003553CE">
      <w:pPr>
        <w:spacing w:line="360" w:lineRule="auto"/>
        <w:jc w:val="center"/>
        <w:rPr>
          <w:rFonts w:asciiTheme="majorBidi" w:hAnsiTheme="majorBidi" w:cstheme="majorBidi"/>
          <w:b/>
          <w:bCs/>
          <w:sz w:val="28"/>
          <w:szCs w:val="28"/>
        </w:rPr>
      </w:pPr>
      <w:r w:rsidRPr="00300A28">
        <w:rPr>
          <w:rFonts w:asciiTheme="majorBidi" w:hAnsiTheme="majorBidi" w:cstheme="majorBidi"/>
          <w:b/>
          <w:bCs/>
          <w:sz w:val="28"/>
          <w:szCs w:val="28"/>
        </w:rPr>
        <w:t>CHAPITRE V</w:t>
      </w:r>
      <w:bookmarkStart w:id="0" w:name="_GoBack"/>
      <w:bookmarkEnd w:id="0"/>
      <w:r w:rsidRPr="00300A28">
        <w:rPr>
          <w:rFonts w:asciiTheme="majorBidi" w:hAnsiTheme="majorBidi" w:cstheme="majorBidi"/>
          <w:b/>
          <w:bCs/>
          <w:sz w:val="28"/>
          <w:szCs w:val="28"/>
        </w:rPr>
        <w:t> : LA TRANSCRIPTION</w:t>
      </w:r>
    </w:p>
    <w:p w:rsidR="003553CE" w:rsidRPr="002104CD" w:rsidRDefault="003553CE" w:rsidP="003553CE">
      <w:pPr>
        <w:pStyle w:val="Paragraphedeliste"/>
        <w:numPr>
          <w:ilvl w:val="0"/>
          <w:numId w:val="19"/>
        </w:numPr>
        <w:spacing w:line="360" w:lineRule="auto"/>
        <w:jc w:val="both"/>
        <w:rPr>
          <w:rFonts w:asciiTheme="majorBidi" w:hAnsiTheme="majorBidi" w:cstheme="majorBidi"/>
          <w:b/>
          <w:bCs/>
          <w:sz w:val="24"/>
          <w:szCs w:val="24"/>
        </w:rPr>
      </w:pPr>
      <w:r w:rsidRPr="002104CD">
        <w:rPr>
          <w:rFonts w:asciiTheme="majorBidi" w:hAnsiTheme="majorBidi" w:cstheme="majorBidi"/>
          <w:b/>
          <w:bCs/>
          <w:sz w:val="24"/>
          <w:szCs w:val="24"/>
        </w:rPr>
        <w:t>GENERALITE</w:t>
      </w:r>
    </w:p>
    <w:p w:rsidR="003553CE" w:rsidRDefault="003553CE" w:rsidP="003553CE">
      <w:pPr>
        <w:spacing w:line="360" w:lineRule="auto"/>
        <w:jc w:val="both"/>
        <w:rPr>
          <w:rFonts w:asciiTheme="majorBidi" w:hAnsiTheme="majorBidi" w:cstheme="majorBidi"/>
          <w:sz w:val="24"/>
          <w:szCs w:val="24"/>
        </w:rPr>
      </w:pPr>
      <w:r>
        <w:rPr>
          <w:rFonts w:asciiTheme="majorBidi" w:hAnsiTheme="majorBidi" w:cstheme="majorBidi"/>
          <w:sz w:val="24"/>
          <w:szCs w:val="24"/>
        </w:rPr>
        <w:t>La transcription constitue l’ensemble des mécanismes par lequel l’ARN est synthétisé. Seules certaines portions de l’ADN sont transcrites, ces séquences d’ADN sont appelées gènes.</w:t>
      </w:r>
    </w:p>
    <w:p w:rsidR="003553CE" w:rsidRDefault="003553CE" w:rsidP="003553CE">
      <w:pPr>
        <w:spacing w:line="360" w:lineRule="auto"/>
        <w:jc w:val="both"/>
        <w:rPr>
          <w:rFonts w:asciiTheme="majorBidi" w:hAnsiTheme="majorBidi" w:cstheme="majorBidi"/>
          <w:sz w:val="24"/>
          <w:szCs w:val="24"/>
        </w:rPr>
      </w:pPr>
      <w:r>
        <w:rPr>
          <w:rFonts w:asciiTheme="majorBidi" w:hAnsiTheme="majorBidi" w:cstheme="majorBidi"/>
          <w:sz w:val="24"/>
          <w:szCs w:val="24"/>
        </w:rPr>
        <w:t>Chez les bactéries, l’ARNm produit est directement accessible à la machinerie de synthèse protéique, et la synthèse des protéines démarre avant même que l’ARNm ne soit intégralement transcrit.</w:t>
      </w:r>
    </w:p>
    <w:p w:rsidR="003553CE" w:rsidRDefault="003553CE" w:rsidP="003553CE">
      <w:pPr>
        <w:spacing w:line="360" w:lineRule="auto"/>
        <w:jc w:val="both"/>
        <w:rPr>
          <w:rFonts w:asciiTheme="majorBidi" w:hAnsiTheme="majorBidi" w:cstheme="majorBidi"/>
          <w:sz w:val="24"/>
          <w:szCs w:val="24"/>
        </w:rPr>
      </w:pPr>
      <w:r>
        <w:rPr>
          <w:rFonts w:asciiTheme="majorBidi" w:hAnsiTheme="majorBidi" w:cstheme="majorBidi"/>
          <w:sz w:val="24"/>
          <w:szCs w:val="24"/>
        </w:rPr>
        <w:t>Chez les eucaryotes, le processus de transcription est limité au compartiment nucléaire. De plus, la plupart des ARN sont modifiés avant d’entrer dans le cytoplasme.</w:t>
      </w:r>
    </w:p>
    <w:p w:rsidR="003553CE" w:rsidRDefault="003553CE" w:rsidP="003553CE">
      <w:pPr>
        <w:spacing w:line="360" w:lineRule="auto"/>
        <w:jc w:val="both"/>
        <w:rPr>
          <w:rFonts w:asciiTheme="majorBidi" w:hAnsiTheme="majorBidi" w:cstheme="majorBidi"/>
          <w:sz w:val="24"/>
          <w:szCs w:val="24"/>
        </w:rPr>
      </w:pPr>
      <w:r>
        <w:rPr>
          <w:rFonts w:asciiTheme="majorBidi" w:hAnsiTheme="majorBidi" w:cstheme="majorBidi"/>
          <w:sz w:val="24"/>
          <w:szCs w:val="24"/>
        </w:rPr>
        <w:t>Les caractéristiques générales de la transcription sont :</w:t>
      </w:r>
    </w:p>
    <w:p w:rsidR="003553CE" w:rsidRPr="002104CD" w:rsidRDefault="003553CE" w:rsidP="003553C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I.1. </w:t>
      </w:r>
      <w:r w:rsidRPr="002104CD">
        <w:rPr>
          <w:rFonts w:asciiTheme="majorBidi" w:hAnsiTheme="majorBidi" w:cstheme="majorBidi"/>
          <w:b/>
          <w:bCs/>
          <w:sz w:val="24"/>
          <w:szCs w:val="24"/>
        </w:rPr>
        <w:t xml:space="preserve">Les règles de base </w:t>
      </w:r>
    </w:p>
    <w:p w:rsidR="003553CE" w:rsidRDefault="003553CE" w:rsidP="003553CE">
      <w:pPr>
        <w:spacing w:line="240" w:lineRule="auto"/>
        <w:jc w:val="both"/>
        <w:rPr>
          <w:rFonts w:asciiTheme="majorBidi" w:hAnsiTheme="majorBidi" w:cstheme="majorBidi"/>
          <w:sz w:val="24"/>
          <w:szCs w:val="24"/>
        </w:rPr>
      </w:pPr>
      <w:r>
        <w:rPr>
          <w:rFonts w:asciiTheme="majorBidi" w:hAnsiTheme="majorBidi" w:cstheme="majorBidi"/>
          <w:sz w:val="24"/>
          <w:szCs w:val="24"/>
        </w:rPr>
        <w:t>La synthèse d’un ARNm à partir d’ADN s’effectue toujours :</w:t>
      </w:r>
    </w:p>
    <w:p w:rsidR="003553CE" w:rsidRDefault="003553CE" w:rsidP="003553CE">
      <w:pPr>
        <w:pStyle w:val="Paragraphedeliste"/>
        <w:numPr>
          <w:ilvl w:val="0"/>
          <w:numId w:val="18"/>
        </w:numPr>
        <w:spacing w:line="360" w:lineRule="auto"/>
        <w:jc w:val="both"/>
        <w:rPr>
          <w:rFonts w:asciiTheme="majorBidi" w:hAnsiTheme="majorBidi" w:cstheme="majorBidi"/>
          <w:sz w:val="24"/>
          <w:szCs w:val="24"/>
        </w:rPr>
      </w:pPr>
      <w:r>
        <w:rPr>
          <w:rFonts w:asciiTheme="majorBidi" w:hAnsiTheme="majorBidi" w:cstheme="majorBidi"/>
          <w:sz w:val="24"/>
          <w:szCs w:val="24"/>
        </w:rPr>
        <w:t>Dans le sens 5’ à 3’</w:t>
      </w:r>
    </w:p>
    <w:p w:rsidR="003553CE" w:rsidRDefault="003553CE" w:rsidP="003553CE">
      <w:pPr>
        <w:pStyle w:val="Paragraphedeliste"/>
        <w:numPr>
          <w:ilvl w:val="0"/>
          <w:numId w:val="18"/>
        </w:numPr>
        <w:spacing w:line="360" w:lineRule="auto"/>
        <w:jc w:val="both"/>
        <w:rPr>
          <w:rFonts w:asciiTheme="majorBidi" w:hAnsiTheme="majorBidi" w:cstheme="majorBidi"/>
          <w:sz w:val="24"/>
          <w:szCs w:val="24"/>
        </w:rPr>
      </w:pPr>
      <w:r>
        <w:rPr>
          <w:rFonts w:asciiTheme="majorBidi" w:hAnsiTheme="majorBidi" w:cstheme="majorBidi"/>
          <w:sz w:val="24"/>
          <w:szCs w:val="24"/>
        </w:rPr>
        <w:t>De manière antiparallèle par rapport à la portion d’ADN copiée</w:t>
      </w:r>
    </w:p>
    <w:p w:rsidR="003553CE" w:rsidRDefault="003553CE" w:rsidP="003553CE">
      <w:pPr>
        <w:pStyle w:val="Paragraphedeliste"/>
        <w:numPr>
          <w:ilvl w:val="0"/>
          <w:numId w:val="18"/>
        </w:numPr>
        <w:spacing w:line="360" w:lineRule="auto"/>
        <w:jc w:val="both"/>
        <w:rPr>
          <w:rFonts w:asciiTheme="majorBidi" w:hAnsiTheme="majorBidi" w:cstheme="majorBidi"/>
          <w:sz w:val="24"/>
          <w:szCs w:val="24"/>
        </w:rPr>
      </w:pPr>
      <w:r>
        <w:rPr>
          <w:rFonts w:asciiTheme="majorBidi" w:hAnsiTheme="majorBidi" w:cstheme="majorBidi"/>
          <w:sz w:val="24"/>
          <w:szCs w:val="24"/>
        </w:rPr>
        <w:t>De façon complémentaire</w:t>
      </w:r>
    </w:p>
    <w:p w:rsidR="003553CE" w:rsidRPr="002104CD" w:rsidRDefault="003553CE" w:rsidP="003553CE">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I.2. </w:t>
      </w:r>
      <w:r w:rsidRPr="002104CD">
        <w:rPr>
          <w:rFonts w:asciiTheme="majorBidi" w:hAnsiTheme="majorBidi" w:cstheme="majorBidi"/>
          <w:b/>
          <w:bCs/>
          <w:sz w:val="24"/>
          <w:szCs w:val="24"/>
        </w:rPr>
        <w:t>Les éléments nécessaires à la transcription</w:t>
      </w:r>
    </w:p>
    <w:p w:rsidR="003553CE" w:rsidRDefault="003553CE" w:rsidP="003553CE">
      <w:pPr>
        <w:spacing w:line="240" w:lineRule="auto"/>
        <w:jc w:val="both"/>
        <w:rPr>
          <w:rFonts w:asciiTheme="majorBidi" w:hAnsiTheme="majorBidi" w:cstheme="majorBidi"/>
          <w:sz w:val="24"/>
          <w:szCs w:val="24"/>
        </w:rPr>
      </w:pPr>
      <w:r>
        <w:rPr>
          <w:rFonts w:asciiTheme="majorBidi" w:hAnsiTheme="majorBidi" w:cstheme="majorBidi"/>
          <w:sz w:val="24"/>
          <w:szCs w:val="24"/>
        </w:rPr>
        <w:t>La synthèse d’un ARNm nécessite :</w:t>
      </w:r>
    </w:p>
    <w:p w:rsidR="003553CE" w:rsidRPr="00D57815" w:rsidRDefault="003553CE" w:rsidP="003553CE">
      <w:pPr>
        <w:pStyle w:val="Paragraphedeliste"/>
        <w:numPr>
          <w:ilvl w:val="0"/>
          <w:numId w:val="18"/>
        </w:numPr>
        <w:spacing w:line="360" w:lineRule="auto"/>
        <w:jc w:val="both"/>
        <w:rPr>
          <w:rFonts w:asciiTheme="majorBidi" w:hAnsiTheme="majorBidi" w:cstheme="majorBidi"/>
          <w:sz w:val="24"/>
          <w:szCs w:val="24"/>
        </w:rPr>
      </w:pPr>
      <w:r>
        <w:rPr>
          <w:rFonts w:asciiTheme="majorBidi" w:hAnsiTheme="majorBidi" w:cstheme="majorBidi"/>
          <w:sz w:val="24"/>
          <w:szCs w:val="24"/>
        </w:rPr>
        <w:t>la présence de nucléotides propres au ARNm, c’est-à-dire contenant du ribose,</w:t>
      </w:r>
      <w:r w:rsidRPr="00D57815">
        <w:rPr>
          <w:rFonts w:asciiTheme="majorBidi" w:hAnsiTheme="majorBidi" w:cstheme="majorBidi"/>
          <w:b/>
          <w:bCs/>
          <w:sz w:val="24"/>
          <w:szCs w:val="24"/>
        </w:rPr>
        <w:t xml:space="preserve"> </w:t>
      </w:r>
      <w:r w:rsidRPr="00D57815">
        <w:rPr>
          <w:rFonts w:asciiTheme="majorBidi" w:hAnsiTheme="majorBidi" w:cstheme="majorBidi"/>
          <w:sz w:val="24"/>
          <w:szCs w:val="24"/>
        </w:rPr>
        <w:t>des bases A, U, G et C et sous forme de nucléotides triphosphates</w:t>
      </w:r>
    </w:p>
    <w:p w:rsidR="003553CE" w:rsidRDefault="003553CE" w:rsidP="003553CE">
      <w:pPr>
        <w:pStyle w:val="Paragraphedeliste"/>
        <w:numPr>
          <w:ilvl w:val="0"/>
          <w:numId w:val="18"/>
        </w:numPr>
        <w:spacing w:line="360" w:lineRule="auto"/>
        <w:jc w:val="both"/>
        <w:rPr>
          <w:rFonts w:asciiTheme="majorBidi" w:hAnsiTheme="majorBidi" w:cstheme="majorBidi"/>
          <w:sz w:val="24"/>
          <w:szCs w:val="24"/>
        </w:rPr>
      </w:pPr>
      <w:r>
        <w:rPr>
          <w:rFonts w:asciiTheme="majorBidi" w:hAnsiTheme="majorBidi" w:cstheme="majorBidi"/>
          <w:sz w:val="24"/>
          <w:szCs w:val="24"/>
        </w:rPr>
        <w:t>la présence de l’enzyme ARN polymérase, les sels de magnésium sont indispensables à cette enzyme. La polymérisation se fait dans sens 5’ 3’, les ARN polymérases n’ont pas d’activité de relecture (exonucléasique 3’ 5’)</w:t>
      </w:r>
    </w:p>
    <w:p w:rsidR="003553CE" w:rsidRDefault="003553CE" w:rsidP="003553CE">
      <w:pPr>
        <w:pStyle w:val="Paragraphedeliste"/>
        <w:numPr>
          <w:ilvl w:val="0"/>
          <w:numId w:val="18"/>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la présence d’une matrice d’ADN servant de modèle. Lors d’une transcription, l’un des brins d’ADN est transcrit et l’autre pas, mais que ce ne sera pas toujours le même brin. </w:t>
      </w:r>
    </w:p>
    <w:p w:rsidR="003553CE" w:rsidRDefault="003553CE" w:rsidP="003553CE">
      <w:pPr>
        <w:pStyle w:val="Paragraphedeliste"/>
        <w:spacing w:line="360" w:lineRule="auto"/>
        <w:ind w:left="360"/>
        <w:jc w:val="both"/>
        <w:rPr>
          <w:rFonts w:asciiTheme="majorBidi" w:hAnsiTheme="majorBidi" w:cstheme="majorBidi"/>
          <w:sz w:val="24"/>
          <w:szCs w:val="24"/>
        </w:rPr>
      </w:pPr>
    </w:p>
    <w:p w:rsidR="003553CE" w:rsidRDefault="003553CE" w:rsidP="003553CE">
      <w:pPr>
        <w:pStyle w:val="Paragraphedeliste"/>
        <w:spacing w:line="360" w:lineRule="auto"/>
        <w:ind w:left="360"/>
        <w:jc w:val="both"/>
        <w:rPr>
          <w:rFonts w:asciiTheme="majorBidi" w:hAnsiTheme="majorBidi" w:cstheme="majorBidi"/>
          <w:sz w:val="24"/>
          <w:szCs w:val="24"/>
        </w:rPr>
      </w:pPr>
    </w:p>
    <w:p w:rsidR="003553CE" w:rsidRDefault="003553CE" w:rsidP="003553CE">
      <w:pPr>
        <w:pStyle w:val="Paragraphedeliste"/>
        <w:spacing w:line="360" w:lineRule="auto"/>
        <w:ind w:left="360"/>
        <w:jc w:val="both"/>
        <w:rPr>
          <w:rFonts w:asciiTheme="majorBidi" w:hAnsiTheme="majorBidi" w:cstheme="majorBidi"/>
          <w:sz w:val="24"/>
          <w:szCs w:val="24"/>
        </w:rPr>
      </w:pPr>
    </w:p>
    <w:p w:rsidR="003553CE" w:rsidRPr="00300A28" w:rsidRDefault="003553CE" w:rsidP="003553CE">
      <w:pPr>
        <w:pStyle w:val="Paragraphedeliste"/>
        <w:spacing w:line="360" w:lineRule="auto"/>
        <w:ind w:left="360"/>
        <w:jc w:val="both"/>
        <w:rPr>
          <w:rFonts w:asciiTheme="majorBidi" w:hAnsiTheme="majorBidi" w:cstheme="majorBidi"/>
          <w:sz w:val="24"/>
          <w:szCs w:val="24"/>
        </w:rPr>
      </w:pPr>
    </w:p>
    <w:p w:rsidR="003553CE" w:rsidRDefault="003553CE" w:rsidP="003553CE">
      <w:pPr>
        <w:pStyle w:val="Paragraphedeliste"/>
        <w:numPr>
          <w:ilvl w:val="0"/>
          <w:numId w:val="19"/>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TRANSCRIPTION PROCARYOTIQUE</w:t>
      </w:r>
    </w:p>
    <w:p w:rsidR="003553CE" w:rsidRDefault="003553CE" w:rsidP="003553CE">
      <w:pPr>
        <w:spacing w:line="360" w:lineRule="auto"/>
        <w:jc w:val="both"/>
        <w:rPr>
          <w:rFonts w:asciiTheme="majorBidi" w:hAnsiTheme="majorBidi" w:cstheme="majorBidi"/>
          <w:sz w:val="24"/>
          <w:szCs w:val="24"/>
        </w:rPr>
      </w:pPr>
      <w:r>
        <w:rPr>
          <w:rFonts w:asciiTheme="majorBidi" w:hAnsiTheme="majorBidi" w:cstheme="majorBidi"/>
          <w:sz w:val="24"/>
          <w:szCs w:val="24"/>
        </w:rPr>
        <w:t>La synthèse de l’ARNm comprend trois phases successives : l’initiation, l’élongation de la chaine polynucléotidique et enfin, la terminaison.</w:t>
      </w:r>
    </w:p>
    <w:p w:rsidR="003553CE" w:rsidRDefault="003553CE" w:rsidP="003553C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La transcription s’effectue grâce à l’ARN polymérase qui contient 5 sous unités : 2 chaines α, 1 chaine ß, 1 chaine  ß’ et 1 chaine </w:t>
      </w:r>
      <w:r w:rsidRPr="000B3841">
        <w:rPr>
          <w:rFonts w:asciiTheme="majorBidi" w:hAnsiTheme="majorBidi" w:cstheme="majorBidi"/>
          <w:sz w:val="24"/>
          <w:szCs w:val="24"/>
        </w:rPr>
        <w:t>σ</w:t>
      </w:r>
      <w:r>
        <w:rPr>
          <w:rFonts w:asciiTheme="majorBidi" w:hAnsiTheme="majorBidi" w:cstheme="majorBidi"/>
          <w:sz w:val="24"/>
          <w:szCs w:val="24"/>
        </w:rPr>
        <w:t xml:space="preserve"> (sigma).</w:t>
      </w:r>
    </w:p>
    <w:p w:rsidR="003553CE" w:rsidRDefault="003553CE" w:rsidP="003553C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II.1. Initiation (Fixation polymérase sur les sites promoteurs) :</w:t>
      </w:r>
    </w:p>
    <w:p w:rsidR="003553CE" w:rsidRDefault="003553CE" w:rsidP="003553CE">
      <w:pPr>
        <w:spacing w:line="360" w:lineRule="auto"/>
        <w:jc w:val="both"/>
        <w:rPr>
          <w:rFonts w:asciiTheme="majorBidi" w:hAnsiTheme="majorBidi" w:cstheme="majorBidi"/>
          <w:sz w:val="24"/>
          <w:szCs w:val="24"/>
        </w:rPr>
      </w:pPr>
      <w:r>
        <w:rPr>
          <w:rFonts w:asciiTheme="majorBidi" w:hAnsiTheme="majorBidi" w:cstheme="majorBidi"/>
          <w:sz w:val="24"/>
          <w:szCs w:val="24"/>
        </w:rPr>
        <w:t>Chez toutes les bactéries, le démarrage de la transcription est conditionné par la reconnaissance de séquences spécifiques de l’ADN appelées sites promoteurs. L’analyse de nombreuses d’ADN situées en amont de site de démarrage de la transcription ont permis de définir les séquences du site promoteur (Fig.28) :</w:t>
      </w:r>
    </w:p>
    <w:p w:rsidR="003553CE" w:rsidRDefault="003553CE" w:rsidP="003553CE">
      <w:pPr>
        <w:spacing w:line="360" w:lineRule="auto"/>
        <w:jc w:val="center"/>
        <w:rPr>
          <w:rFonts w:asciiTheme="majorBidi" w:hAnsiTheme="majorBidi" w:cstheme="majorBidi"/>
          <w:sz w:val="24"/>
          <w:szCs w:val="24"/>
        </w:rPr>
      </w:pPr>
      <w:r>
        <w:rPr>
          <w:rFonts w:asciiTheme="majorBidi" w:hAnsiTheme="majorBidi" w:cstheme="majorBidi"/>
          <w:noProof/>
          <w:sz w:val="24"/>
          <w:szCs w:val="24"/>
          <w:lang w:val="en-GB" w:eastAsia="en-GB"/>
        </w:rPr>
        <w:drawing>
          <wp:inline distT="0" distB="0" distL="0" distR="0" wp14:anchorId="72127C0D" wp14:editId="4A2DFCC0">
            <wp:extent cx="4400550" cy="6858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00550" cy="685800"/>
                    </a:xfrm>
                    <a:prstGeom prst="rect">
                      <a:avLst/>
                    </a:prstGeom>
                    <a:noFill/>
                    <a:ln>
                      <a:noFill/>
                    </a:ln>
                  </pic:spPr>
                </pic:pic>
              </a:graphicData>
            </a:graphic>
          </wp:inline>
        </w:drawing>
      </w:r>
    </w:p>
    <w:p w:rsidR="003553CE" w:rsidRDefault="003553CE" w:rsidP="003553CE">
      <w:pPr>
        <w:spacing w:line="360" w:lineRule="auto"/>
        <w:rPr>
          <w:rFonts w:asciiTheme="majorBidi" w:hAnsiTheme="majorBidi" w:cstheme="majorBidi"/>
          <w:sz w:val="24"/>
          <w:szCs w:val="24"/>
        </w:rPr>
      </w:pPr>
      <w:r>
        <w:rPr>
          <w:rFonts w:asciiTheme="majorBidi" w:hAnsiTheme="majorBidi" w:cstheme="majorBidi"/>
          <w:sz w:val="24"/>
          <w:szCs w:val="24"/>
        </w:rPr>
        <w:t xml:space="preserve">                                 -35TTGCA-30                  TATAAT</w:t>
      </w:r>
    </w:p>
    <w:p w:rsidR="003553CE" w:rsidRDefault="003553CE" w:rsidP="003553CE">
      <w:pPr>
        <w:spacing w:line="360" w:lineRule="auto"/>
        <w:jc w:val="center"/>
        <w:rPr>
          <w:rFonts w:asciiTheme="majorBidi" w:hAnsiTheme="majorBidi" w:cstheme="majorBidi"/>
          <w:sz w:val="24"/>
          <w:szCs w:val="24"/>
        </w:rPr>
      </w:pPr>
      <w:r w:rsidRPr="00BB2E59">
        <w:rPr>
          <w:rFonts w:asciiTheme="majorBidi" w:hAnsiTheme="majorBidi" w:cstheme="majorBidi"/>
          <w:b/>
          <w:bCs/>
          <w:sz w:val="24"/>
          <w:szCs w:val="24"/>
        </w:rPr>
        <w:t>Fig.28</w:t>
      </w:r>
      <w:r>
        <w:rPr>
          <w:rFonts w:asciiTheme="majorBidi" w:hAnsiTheme="majorBidi" w:cstheme="majorBidi"/>
          <w:sz w:val="24"/>
          <w:szCs w:val="24"/>
        </w:rPr>
        <w:t xml:space="preserve"> Les séquences du site promoteur</w:t>
      </w:r>
    </w:p>
    <w:p w:rsidR="003553CE" w:rsidRPr="00927794" w:rsidRDefault="003553CE" w:rsidP="003553CE">
      <w:pPr>
        <w:rPr>
          <w:rFonts w:asciiTheme="majorBidi" w:hAnsiTheme="majorBidi" w:cstheme="majorBidi"/>
          <w:sz w:val="24"/>
          <w:szCs w:val="24"/>
        </w:rPr>
      </w:pPr>
      <w:r w:rsidRPr="00927794">
        <w:rPr>
          <w:rFonts w:asciiTheme="majorBidi" w:hAnsiTheme="majorBidi" w:cstheme="majorBidi"/>
          <w:sz w:val="24"/>
          <w:szCs w:val="24"/>
        </w:rPr>
        <w:t>•</w:t>
      </w:r>
      <w:r w:rsidRPr="00927794">
        <w:rPr>
          <w:rFonts w:asciiTheme="majorBidi" w:hAnsiTheme="majorBidi" w:cstheme="majorBidi"/>
          <w:sz w:val="24"/>
          <w:szCs w:val="24"/>
        </w:rPr>
        <w:tab/>
        <w:t>En -10 du site d’initiation on trouve la TATA box ou boîte de Pribnow : « TATAAT »</w:t>
      </w:r>
    </w:p>
    <w:p w:rsidR="003553CE" w:rsidRDefault="003553CE" w:rsidP="003553CE">
      <w:pPr>
        <w:rPr>
          <w:rFonts w:asciiTheme="majorBidi" w:hAnsiTheme="majorBidi" w:cstheme="majorBidi"/>
          <w:sz w:val="24"/>
          <w:szCs w:val="24"/>
        </w:rPr>
      </w:pPr>
      <w:r w:rsidRPr="00927794">
        <w:rPr>
          <w:rFonts w:asciiTheme="majorBidi" w:hAnsiTheme="majorBidi" w:cstheme="majorBidi"/>
          <w:sz w:val="24"/>
          <w:szCs w:val="24"/>
        </w:rPr>
        <w:t>•</w:t>
      </w:r>
      <w:r w:rsidRPr="00927794">
        <w:rPr>
          <w:rFonts w:asciiTheme="majorBidi" w:hAnsiTheme="majorBidi" w:cstheme="majorBidi"/>
          <w:sz w:val="24"/>
          <w:szCs w:val="24"/>
        </w:rPr>
        <w:tab/>
        <w:t xml:space="preserve">En -35 du site d’initiation on trouve : « TTGACA » </w:t>
      </w:r>
    </w:p>
    <w:p w:rsidR="003553CE" w:rsidRDefault="003553CE" w:rsidP="003553CE">
      <w:pPr>
        <w:spacing w:line="360" w:lineRule="auto"/>
        <w:jc w:val="both"/>
        <w:rPr>
          <w:rFonts w:asciiTheme="majorBidi" w:hAnsiTheme="majorBidi" w:cstheme="majorBidi"/>
          <w:sz w:val="24"/>
          <w:szCs w:val="24"/>
        </w:rPr>
      </w:pPr>
      <w:r>
        <w:rPr>
          <w:rFonts w:asciiTheme="majorBidi" w:hAnsiTheme="majorBidi" w:cstheme="majorBidi"/>
          <w:sz w:val="24"/>
          <w:szCs w:val="24"/>
        </w:rPr>
        <w:t>La sous unité σ est associée de manière transitoire (non permanence) avec les autre</w:t>
      </w:r>
      <w:r w:rsidR="00253659">
        <w:rPr>
          <w:rFonts w:asciiTheme="majorBidi" w:hAnsiTheme="majorBidi" w:cstheme="majorBidi"/>
          <w:sz w:val="24"/>
          <w:szCs w:val="24"/>
        </w:rPr>
        <w:t>s</w:t>
      </w:r>
      <w:r>
        <w:rPr>
          <w:rFonts w:asciiTheme="majorBidi" w:hAnsiTheme="majorBidi" w:cstheme="majorBidi"/>
          <w:sz w:val="24"/>
          <w:szCs w:val="24"/>
        </w:rPr>
        <w:t xml:space="preserve"> sous unités, elle se lie au site promoteur. Les séquences -10 et -35 sont reconnues par la sous unité sigma rentre en contact avec les deux séquences. Cette liaison se traduit par une ouverture de la double hélice.</w:t>
      </w:r>
    </w:p>
    <w:p w:rsidR="003553CE" w:rsidRDefault="003553CE" w:rsidP="003553C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Des points de contact supplémentaires entre l’ARN polymérase (les autres sous unités) et l’ADN se forment, et la transcription va pouvoir commencer. La sous unité sigma se séparera alors de l’enzyme (dès que la chaine d’ARN aura quelques nucléotides) pour aller se lier à une autre molécule d’ARN polymérase. </w:t>
      </w:r>
    </w:p>
    <w:p w:rsidR="003553CE" w:rsidRDefault="003553CE" w:rsidP="003553CE">
      <w:pPr>
        <w:spacing w:line="360" w:lineRule="auto"/>
        <w:jc w:val="both"/>
        <w:rPr>
          <w:rFonts w:asciiTheme="majorBidi" w:hAnsiTheme="majorBidi" w:cstheme="majorBidi"/>
          <w:sz w:val="24"/>
          <w:szCs w:val="24"/>
        </w:rPr>
      </w:pPr>
      <w:r w:rsidRPr="005F70A4">
        <w:rPr>
          <w:rFonts w:asciiTheme="majorBidi" w:hAnsiTheme="majorBidi" w:cstheme="majorBidi"/>
          <w:sz w:val="24"/>
          <w:szCs w:val="24"/>
        </w:rPr>
        <w:t xml:space="preserve">La sous-unité sigma σ permet donc une reconnaissance spécifique du </w:t>
      </w:r>
      <w:r>
        <w:rPr>
          <w:rFonts w:asciiTheme="majorBidi" w:hAnsiTheme="majorBidi" w:cstheme="majorBidi"/>
          <w:sz w:val="24"/>
          <w:szCs w:val="24"/>
        </w:rPr>
        <w:t xml:space="preserve">site </w:t>
      </w:r>
      <w:r w:rsidRPr="005F70A4">
        <w:rPr>
          <w:rFonts w:asciiTheme="majorBidi" w:hAnsiTheme="majorBidi" w:cstheme="majorBidi"/>
          <w:sz w:val="24"/>
          <w:szCs w:val="24"/>
        </w:rPr>
        <w:t xml:space="preserve">promoteur par l’ARN-polymérase et diminue </w:t>
      </w:r>
      <w:r w:rsidRPr="0024456F">
        <w:rPr>
          <w:rFonts w:asciiTheme="majorBidi" w:hAnsiTheme="majorBidi" w:cstheme="majorBidi"/>
          <w:sz w:val="24"/>
          <w:szCs w:val="24"/>
        </w:rPr>
        <w:t>l’affinité</w:t>
      </w:r>
      <w:r w:rsidRPr="005F70A4">
        <w:rPr>
          <w:rFonts w:asciiTheme="majorBidi" w:hAnsiTheme="majorBidi" w:cstheme="majorBidi"/>
          <w:sz w:val="24"/>
          <w:szCs w:val="24"/>
        </w:rPr>
        <w:t xml:space="preserve"> de l’enzyme pour les régions non promotrices. </w:t>
      </w:r>
      <w:r w:rsidRPr="00300A28">
        <w:rPr>
          <w:rFonts w:asciiTheme="majorBidi" w:hAnsiTheme="majorBidi" w:cstheme="majorBidi"/>
          <w:sz w:val="24"/>
          <w:szCs w:val="24"/>
        </w:rPr>
        <w:t xml:space="preserve">Il agit </w:t>
      </w:r>
      <w:r w:rsidRPr="00300A28">
        <w:rPr>
          <w:rFonts w:asciiTheme="majorBidi" w:hAnsiTheme="majorBidi" w:cstheme="majorBidi"/>
          <w:sz w:val="24"/>
          <w:szCs w:val="24"/>
        </w:rPr>
        <w:lastRenderedPageBreak/>
        <w:t>de manière cyclique</w:t>
      </w:r>
      <w:r w:rsidRPr="005F70A4">
        <w:rPr>
          <w:rFonts w:asciiTheme="majorBidi" w:hAnsiTheme="majorBidi" w:cstheme="majorBidi"/>
          <w:sz w:val="24"/>
          <w:szCs w:val="24"/>
        </w:rPr>
        <w:t xml:space="preserve">, en effet </w:t>
      </w:r>
      <w:r w:rsidRPr="0024456F">
        <w:rPr>
          <w:rFonts w:asciiTheme="majorBidi" w:hAnsiTheme="majorBidi" w:cstheme="majorBidi"/>
          <w:sz w:val="24"/>
          <w:szCs w:val="24"/>
        </w:rPr>
        <w:t>après l’initiation faite, le facteur sigma se détache pour être recyclé et réutilisé pour d’autres initiations</w:t>
      </w:r>
      <w:r w:rsidRPr="005F70A4">
        <w:rPr>
          <w:rFonts w:asciiTheme="majorBidi" w:hAnsiTheme="majorBidi" w:cstheme="majorBidi"/>
          <w:sz w:val="24"/>
          <w:szCs w:val="24"/>
        </w:rPr>
        <w:t xml:space="preserve"> de gènes.</w:t>
      </w:r>
    </w:p>
    <w:p w:rsidR="003553CE" w:rsidRDefault="003553CE" w:rsidP="003553CE">
      <w:pPr>
        <w:spacing w:line="360" w:lineRule="auto"/>
        <w:rPr>
          <w:rFonts w:asciiTheme="majorBidi" w:hAnsiTheme="majorBidi" w:cstheme="majorBidi"/>
          <w:b/>
          <w:bCs/>
          <w:sz w:val="24"/>
          <w:szCs w:val="24"/>
        </w:rPr>
      </w:pPr>
      <w:r>
        <w:rPr>
          <w:rFonts w:asciiTheme="majorBidi" w:hAnsiTheme="majorBidi" w:cstheme="majorBidi"/>
          <w:b/>
          <w:bCs/>
          <w:sz w:val="24"/>
          <w:szCs w:val="24"/>
        </w:rPr>
        <w:t>II.2. Élongation</w:t>
      </w:r>
    </w:p>
    <w:p w:rsidR="003553CE" w:rsidRDefault="003553CE" w:rsidP="003553C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L’ouverture de la double hélice va permettre l’addition de nucléotides complémentaires au brin orienté 3’ 5’. Le premier nucléotide fixé est le plus souvent ATP ou GTP plutôt que CTP et exceptionnellement UTP. </w:t>
      </w:r>
      <w:r w:rsidRPr="000256FE">
        <w:rPr>
          <w:rFonts w:asciiTheme="majorBidi" w:hAnsiTheme="majorBidi" w:cstheme="majorBidi"/>
          <w:sz w:val="24"/>
          <w:szCs w:val="24"/>
        </w:rPr>
        <w:t xml:space="preserve">La synthèse de la liaison phosphodiester </w:t>
      </w:r>
      <w:r>
        <w:rPr>
          <w:rFonts w:asciiTheme="majorBidi" w:hAnsiTheme="majorBidi" w:cstheme="majorBidi"/>
          <w:sz w:val="24"/>
          <w:szCs w:val="24"/>
        </w:rPr>
        <w:t xml:space="preserve">est </w:t>
      </w:r>
      <w:r w:rsidRPr="000256FE">
        <w:rPr>
          <w:rFonts w:asciiTheme="majorBidi" w:hAnsiTheme="majorBidi" w:cstheme="majorBidi"/>
          <w:sz w:val="24"/>
          <w:szCs w:val="24"/>
        </w:rPr>
        <w:t>réalisée par la sous-unité β qui correspond à la sous-unité catalytique de l’ARN-polymérase</w:t>
      </w:r>
      <w:r>
        <w:rPr>
          <w:rFonts w:asciiTheme="majorBidi" w:hAnsiTheme="majorBidi" w:cstheme="majorBidi"/>
          <w:sz w:val="24"/>
          <w:szCs w:val="24"/>
        </w:rPr>
        <w:t xml:space="preserve">. </w:t>
      </w:r>
    </w:p>
    <w:p w:rsidR="003553CE" w:rsidRDefault="003553CE" w:rsidP="003553C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II.3. Terminaison</w:t>
      </w:r>
    </w:p>
    <w:p w:rsidR="003553CE" w:rsidRDefault="003553CE" w:rsidP="003553CE">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La terminaison de la chaine est assurée  par des séquences particulières appelées signaux de terminaison (terminateurs) formant des boucles d’appariement en épingles à cheveux riches en G et C, difficiles à ouvrir. La formation de telles boucles déstabilise l’association entre l’ARN polymérase et la matrice d’ADN modèle.</w:t>
      </w:r>
    </w:p>
    <w:p w:rsidR="003553CE" w:rsidRDefault="003553CE" w:rsidP="003553CE">
      <w:pPr>
        <w:spacing w:line="360" w:lineRule="auto"/>
        <w:rPr>
          <w:rFonts w:asciiTheme="majorBidi" w:hAnsiTheme="majorBidi" w:cstheme="majorBidi"/>
          <w:b/>
          <w:bCs/>
          <w:sz w:val="24"/>
          <w:szCs w:val="24"/>
          <w:lang w:bidi="ar-DZ"/>
        </w:rPr>
      </w:pPr>
      <w:r>
        <w:rPr>
          <w:rFonts w:asciiTheme="majorBidi" w:hAnsiTheme="majorBidi" w:cstheme="majorBidi"/>
          <w:b/>
          <w:bCs/>
          <w:sz w:val="24"/>
          <w:szCs w:val="24"/>
          <w:lang w:bidi="ar-DZ"/>
        </w:rPr>
        <w:t>II.3. Modification de l’ARN après transcription</w:t>
      </w:r>
    </w:p>
    <w:p w:rsidR="003553CE" w:rsidRDefault="003553CE" w:rsidP="003553CE">
      <w:pPr>
        <w:spacing w:line="360" w:lineRule="auto"/>
        <w:rPr>
          <w:rFonts w:asciiTheme="majorBidi" w:hAnsiTheme="majorBidi" w:cstheme="majorBidi"/>
          <w:sz w:val="24"/>
          <w:szCs w:val="24"/>
          <w:lang w:bidi="ar-DZ"/>
        </w:rPr>
      </w:pPr>
      <w:r>
        <w:rPr>
          <w:rFonts w:asciiTheme="majorBidi" w:hAnsiTheme="majorBidi" w:cstheme="majorBidi"/>
          <w:sz w:val="24"/>
          <w:szCs w:val="24"/>
          <w:lang w:bidi="ar-DZ"/>
        </w:rPr>
        <w:t>Elles diffèrent selon la nature de l’ARN :</w:t>
      </w:r>
    </w:p>
    <w:p w:rsidR="003553CE" w:rsidRDefault="003553CE" w:rsidP="003553CE">
      <w:pPr>
        <w:pStyle w:val="Paragraphedeliste"/>
        <w:numPr>
          <w:ilvl w:val="0"/>
          <w:numId w:val="18"/>
        </w:numPr>
        <w:spacing w:line="360" w:lineRule="auto"/>
        <w:jc w:val="both"/>
        <w:rPr>
          <w:rFonts w:asciiTheme="majorBidi" w:hAnsiTheme="majorBidi" w:cstheme="majorBidi"/>
          <w:sz w:val="24"/>
          <w:szCs w:val="24"/>
          <w:lang w:bidi="ar-DZ"/>
        </w:rPr>
      </w:pPr>
      <w:r w:rsidRPr="001840E8">
        <w:rPr>
          <w:rFonts w:asciiTheme="majorBidi" w:hAnsiTheme="majorBidi" w:cstheme="majorBidi"/>
          <w:sz w:val="24"/>
          <w:szCs w:val="24"/>
          <w:lang w:bidi="ar-DZ"/>
        </w:rPr>
        <w:t>L’ARN</w:t>
      </w:r>
      <w:r>
        <w:rPr>
          <w:rFonts w:asciiTheme="majorBidi" w:hAnsiTheme="majorBidi" w:cstheme="majorBidi"/>
          <w:sz w:val="24"/>
          <w:szCs w:val="24"/>
          <w:lang w:bidi="ar-DZ"/>
        </w:rPr>
        <w:t>m ne subit pas de modification</w:t>
      </w:r>
    </w:p>
    <w:p w:rsidR="003553CE" w:rsidRPr="00545781" w:rsidRDefault="003553CE" w:rsidP="003553CE">
      <w:pPr>
        <w:pStyle w:val="Paragraphedeliste"/>
        <w:numPr>
          <w:ilvl w:val="0"/>
          <w:numId w:val="18"/>
        </w:numPr>
        <w:spacing w:line="360" w:lineRule="auto"/>
        <w:jc w:val="both"/>
        <w:rPr>
          <w:rFonts w:asciiTheme="majorBidi" w:hAnsiTheme="majorBidi" w:cstheme="majorBidi"/>
          <w:sz w:val="24"/>
          <w:szCs w:val="24"/>
          <w:lang w:bidi="ar-DZ"/>
        </w:rPr>
      </w:pPr>
      <w:r w:rsidRPr="00ED3799">
        <w:rPr>
          <w:rFonts w:asciiTheme="majorBidi" w:hAnsiTheme="majorBidi" w:cstheme="majorBidi"/>
          <w:sz w:val="24"/>
          <w:szCs w:val="24"/>
          <w:lang w:bidi="ar-DZ"/>
        </w:rPr>
        <w:t>Les ARNt :</w:t>
      </w:r>
      <w:r w:rsidRPr="00ED3799">
        <w:t xml:space="preserve"> </w:t>
      </w:r>
      <w:r w:rsidRPr="00ED3799">
        <w:rPr>
          <w:rFonts w:asciiTheme="majorBidi" w:hAnsiTheme="majorBidi" w:cstheme="majorBidi"/>
          <w:sz w:val="24"/>
          <w:szCs w:val="24"/>
          <w:lang w:bidi="ar-DZ"/>
        </w:rPr>
        <w:t>subissent une maturation qui correspond à une cou</w:t>
      </w:r>
      <w:r>
        <w:rPr>
          <w:rFonts w:asciiTheme="majorBidi" w:hAnsiTheme="majorBidi" w:cstheme="majorBidi"/>
          <w:sz w:val="24"/>
          <w:szCs w:val="24"/>
          <w:lang w:bidi="ar-DZ"/>
        </w:rPr>
        <w:t>pure à partir de précurseurs, l’addition à l’extrémité 3’ du triplet CCA. Les bases de l’ARNt peuvent subir de nombreuses modifications.</w:t>
      </w:r>
    </w:p>
    <w:p w:rsidR="003553CE" w:rsidRDefault="003553CE" w:rsidP="003553CE">
      <w:pPr>
        <w:pStyle w:val="Paragraphedeliste"/>
        <w:numPr>
          <w:ilvl w:val="0"/>
          <w:numId w:val="18"/>
        </w:num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Les ARNr : ils sont transcrits sous forme de précurseurs longs, qui sont ensuite clivés pour donner les différents ARNr.</w:t>
      </w:r>
    </w:p>
    <w:p w:rsidR="003553CE" w:rsidRDefault="003553CE" w:rsidP="003553CE">
      <w:pPr>
        <w:pStyle w:val="Paragraphedeliste"/>
        <w:spacing w:line="240" w:lineRule="auto"/>
        <w:jc w:val="both"/>
        <w:rPr>
          <w:rFonts w:asciiTheme="majorBidi" w:hAnsiTheme="majorBidi" w:cstheme="majorBidi"/>
          <w:sz w:val="24"/>
          <w:szCs w:val="24"/>
          <w:lang w:bidi="ar-DZ"/>
        </w:rPr>
      </w:pPr>
      <w:r>
        <w:rPr>
          <w:rFonts w:asciiTheme="majorBidi" w:hAnsiTheme="majorBidi" w:cstheme="majorBidi"/>
          <w:sz w:val="24"/>
          <w:szCs w:val="24"/>
          <w:lang w:bidi="ar-DZ"/>
        </w:rPr>
        <w:t xml:space="preserve"> </w:t>
      </w:r>
      <w:r w:rsidRPr="001840E8">
        <w:rPr>
          <w:rFonts w:asciiTheme="majorBidi" w:hAnsiTheme="majorBidi" w:cstheme="majorBidi"/>
          <w:sz w:val="24"/>
          <w:szCs w:val="24"/>
          <w:lang w:bidi="ar-DZ"/>
        </w:rPr>
        <w:t xml:space="preserve">   </w:t>
      </w:r>
    </w:p>
    <w:p w:rsidR="003553CE" w:rsidRDefault="003553CE" w:rsidP="003553CE">
      <w:pPr>
        <w:pStyle w:val="Paragraphedeliste"/>
        <w:spacing w:line="240" w:lineRule="auto"/>
        <w:jc w:val="both"/>
        <w:rPr>
          <w:rFonts w:asciiTheme="majorBidi" w:hAnsiTheme="majorBidi" w:cstheme="majorBidi"/>
          <w:sz w:val="24"/>
          <w:szCs w:val="24"/>
          <w:lang w:bidi="ar-DZ"/>
        </w:rPr>
      </w:pPr>
    </w:p>
    <w:p w:rsidR="003553CE" w:rsidRDefault="003553CE" w:rsidP="003553CE">
      <w:pPr>
        <w:pStyle w:val="Paragraphedeliste"/>
        <w:spacing w:line="240" w:lineRule="auto"/>
        <w:jc w:val="both"/>
        <w:rPr>
          <w:rFonts w:asciiTheme="majorBidi" w:hAnsiTheme="majorBidi" w:cstheme="majorBidi"/>
          <w:sz w:val="24"/>
          <w:szCs w:val="24"/>
          <w:lang w:bidi="ar-DZ"/>
        </w:rPr>
      </w:pPr>
    </w:p>
    <w:p w:rsidR="003553CE" w:rsidRDefault="003553CE" w:rsidP="003553CE">
      <w:pPr>
        <w:pStyle w:val="Paragraphedeliste"/>
        <w:spacing w:line="240" w:lineRule="auto"/>
        <w:jc w:val="both"/>
        <w:rPr>
          <w:rFonts w:asciiTheme="majorBidi" w:hAnsiTheme="majorBidi" w:cstheme="majorBidi"/>
          <w:sz w:val="24"/>
          <w:szCs w:val="24"/>
          <w:lang w:bidi="ar-DZ"/>
        </w:rPr>
      </w:pPr>
    </w:p>
    <w:p w:rsidR="003553CE" w:rsidRDefault="003553CE" w:rsidP="003553CE">
      <w:pPr>
        <w:pStyle w:val="Paragraphedeliste"/>
        <w:spacing w:line="240" w:lineRule="auto"/>
        <w:jc w:val="both"/>
        <w:rPr>
          <w:rFonts w:asciiTheme="majorBidi" w:hAnsiTheme="majorBidi" w:cstheme="majorBidi"/>
          <w:sz w:val="24"/>
          <w:szCs w:val="24"/>
          <w:lang w:bidi="ar-DZ"/>
        </w:rPr>
      </w:pPr>
    </w:p>
    <w:p w:rsidR="003553CE" w:rsidRDefault="003553CE" w:rsidP="003553CE">
      <w:pPr>
        <w:pStyle w:val="Paragraphedeliste"/>
        <w:spacing w:line="240" w:lineRule="auto"/>
        <w:jc w:val="both"/>
        <w:rPr>
          <w:rFonts w:asciiTheme="majorBidi" w:hAnsiTheme="majorBidi" w:cstheme="majorBidi"/>
          <w:sz w:val="24"/>
          <w:szCs w:val="24"/>
          <w:lang w:bidi="ar-DZ"/>
        </w:rPr>
      </w:pPr>
    </w:p>
    <w:p w:rsidR="003553CE" w:rsidRDefault="003553CE" w:rsidP="003553CE">
      <w:pPr>
        <w:pStyle w:val="Paragraphedeliste"/>
        <w:spacing w:line="240" w:lineRule="auto"/>
        <w:jc w:val="both"/>
        <w:rPr>
          <w:rFonts w:asciiTheme="majorBidi" w:hAnsiTheme="majorBidi" w:cstheme="majorBidi"/>
          <w:sz w:val="24"/>
          <w:szCs w:val="24"/>
          <w:lang w:bidi="ar-DZ"/>
        </w:rPr>
      </w:pPr>
    </w:p>
    <w:p w:rsidR="003553CE" w:rsidRDefault="003553CE" w:rsidP="003553CE">
      <w:pPr>
        <w:pStyle w:val="Paragraphedeliste"/>
        <w:spacing w:line="240" w:lineRule="auto"/>
        <w:jc w:val="both"/>
        <w:rPr>
          <w:rFonts w:asciiTheme="majorBidi" w:hAnsiTheme="majorBidi" w:cstheme="majorBidi"/>
          <w:sz w:val="24"/>
          <w:szCs w:val="24"/>
          <w:lang w:bidi="ar-DZ"/>
        </w:rPr>
      </w:pPr>
    </w:p>
    <w:p w:rsidR="003553CE" w:rsidRDefault="003553CE" w:rsidP="003553CE">
      <w:pPr>
        <w:pStyle w:val="Paragraphedeliste"/>
        <w:spacing w:line="240" w:lineRule="auto"/>
        <w:jc w:val="both"/>
        <w:rPr>
          <w:rFonts w:asciiTheme="majorBidi" w:hAnsiTheme="majorBidi" w:cstheme="majorBidi"/>
          <w:sz w:val="24"/>
          <w:szCs w:val="24"/>
          <w:lang w:bidi="ar-DZ"/>
        </w:rPr>
      </w:pPr>
    </w:p>
    <w:p w:rsidR="003553CE" w:rsidRDefault="003553CE" w:rsidP="003553CE">
      <w:pPr>
        <w:pStyle w:val="Paragraphedeliste"/>
        <w:spacing w:line="240" w:lineRule="auto"/>
        <w:jc w:val="both"/>
        <w:rPr>
          <w:rFonts w:asciiTheme="majorBidi" w:hAnsiTheme="majorBidi" w:cstheme="majorBidi"/>
          <w:sz w:val="24"/>
          <w:szCs w:val="24"/>
          <w:lang w:bidi="ar-DZ"/>
        </w:rPr>
      </w:pPr>
    </w:p>
    <w:p w:rsidR="003553CE" w:rsidRDefault="003553CE" w:rsidP="003553CE">
      <w:pPr>
        <w:pStyle w:val="Paragraphedeliste"/>
        <w:spacing w:line="240" w:lineRule="auto"/>
        <w:jc w:val="both"/>
        <w:rPr>
          <w:rFonts w:asciiTheme="majorBidi" w:hAnsiTheme="majorBidi" w:cstheme="majorBidi"/>
          <w:sz w:val="24"/>
          <w:szCs w:val="24"/>
          <w:lang w:bidi="ar-DZ"/>
        </w:rPr>
      </w:pPr>
    </w:p>
    <w:p w:rsidR="003553CE" w:rsidRDefault="003553CE" w:rsidP="003553CE">
      <w:pPr>
        <w:pStyle w:val="Paragraphedeliste"/>
        <w:spacing w:line="240" w:lineRule="auto"/>
        <w:jc w:val="both"/>
        <w:rPr>
          <w:rFonts w:asciiTheme="majorBidi" w:hAnsiTheme="majorBidi" w:cstheme="majorBidi"/>
          <w:sz w:val="24"/>
          <w:szCs w:val="24"/>
          <w:lang w:bidi="ar-DZ"/>
        </w:rPr>
      </w:pPr>
    </w:p>
    <w:p w:rsidR="003553CE" w:rsidRDefault="003553CE" w:rsidP="003553CE">
      <w:pPr>
        <w:pStyle w:val="Paragraphedeliste"/>
        <w:spacing w:line="240" w:lineRule="auto"/>
        <w:jc w:val="both"/>
        <w:rPr>
          <w:rFonts w:asciiTheme="majorBidi" w:hAnsiTheme="majorBidi" w:cstheme="majorBidi"/>
          <w:sz w:val="24"/>
          <w:szCs w:val="24"/>
          <w:lang w:bidi="ar-DZ"/>
        </w:rPr>
      </w:pPr>
    </w:p>
    <w:p w:rsidR="003553CE" w:rsidRPr="00A74FB6" w:rsidRDefault="003553CE" w:rsidP="003553CE">
      <w:pPr>
        <w:spacing w:line="360" w:lineRule="auto"/>
        <w:jc w:val="both"/>
        <w:rPr>
          <w:rFonts w:asciiTheme="majorBidi" w:hAnsiTheme="majorBidi" w:cstheme="majorBidi"/>
          <w:sz w:val="24"/>
          <w:szCs w:val="24"/>
        </w:rPr>
      </w:pPr>
    </w:p>
    <w:p w:rsidR="003553CE" w:rsidRDefault="003553CE" w:rsidP="003553CE">
      <w:pPr>
        <w:pStyle w:val="Paragraphedeliste"/>
        <w:spacing w:line="240" w:lineRule="auto"/>
        <w:jc w:val="both"/>
        <w:rPr>
          <w:rFonts w:asciiTheme="majorBidi" w:hAnsiTheme="majorBidi" w:cstheme="majorBidi"/>
          <w:sz w:val="24"/>
          <w:szCs w:val="24"/>
          <w:lang w:bidi="ar-DZ"/>
        </w:rPr>
      </w:pPr>
    </w:p>
    <w:p w:rsidR="003553CE" w:rsidRPr="00267770" w:rsidRDefault="003553CE" w:rsidP="003553CE">
      <w:pPr>
        <w:pStyle w:val="Paragraphedeliste"/>
        <w:numPr>
          <w:ilvl w:val="0"/>
          <w:numId w:val="32"/>
        </w:numPr>
        <w:spacing w:line="360" w:lineRule="auto"/>
        <w:rPr>
          <w:rFonts w:asciiTheme="majorBidi" w:hAnsiTheme="majorBidi" w:cstheme="majorBidi"/>
          <w:b/>
          <w:bCs/>
          <w:sz w:val="24"/>
          <w:szCs w:val="24"/>
          <w:lang w:bidi="ar-DZ"/>
        </w:rPr>
      </w:pPr>
      <w:r>
        <w:rPr>
          <w:rFonts w:asciiTheme="majorBidi" w:hAnsiTheme="majorBidi" w:cstheme="majorBidi"/>
          <w:b/>
          <w:bCs/>
          <w:sz w:val="24"/>
          <w:szCs w:val="24"/>
          <w:lang w:bidi="ar-DZ"/>
        </w:rPr>
        <w:t>TRANSCRIPTION EUCARYOTIQUE</w:t>
      </w:r>
    </w:p>
    <w:p w:rsidR="003553CE" w:rsidRDefault="003553CE" w:rsidP="003553CE">
      <w:pPr>
        <w:spacing w:line="360" w:lineRule="auto"/>
        <w:rPr>
          <w:rFonts w:asciiTheme="majorBidi" w:hAnsiTheme="majorBidi" w:cstheme="majorBidi"/>
          <w:sz w:val="24"/>
          <w:szCs w:val="24"/>
          <w:lang w:bidi="ar-DZ"/>
        </w:rPr>
      </w:pPr>
      <w:r>
        <w:rPr>
          <w:rFonts w:asciiTheme="majorBidi" w:hAnsiTheme="majorBidi" w:cstheme="majorBidi"/>
          <w:sz w:val="24"/>
          <w:szCs w:val="24"/>
          <w:lang w:bidi="ar-DZ"/>
        </w:rPr>
        <w:t>Trois points fondamentaux distinguent la transcription des eucaryotes et des procaryotes :</w:t>
      </w:r>
    </w:p>
    <w:p w:rsidR="003553CE" w:rsidRDefault="003553CE" w:rsidP="003553CE">
      <w:pPr>
        <w:pStyle w:val="Paragraphedeliste"/>
        <w:numPr>
          <w:ilvl w:val="0"/>
          <w:numId w:val="20"/>
        </w:num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 xml:space="preserve">Chez des eucaryotes, l’ADN est contenu dans le noyau et la transcription s’effectue dans celui-ci alors que la traduction en protéines s’effectue dans le cytoplasme. </w:t>
      </w:r>
      <w:r w:rsidRPr="006D446A">
        <w:rPr>
          <w:rFonts w:asciiTheme="majorBidi" w:hAnsiTheme="majorBidi" w:cstheme="majorBidi"/>
          <w:sz w:val="24"/>
          <w:szCs w:val="24"/>
          <w:lang w:bidi="ar-DZ"/>
        </w:rPr>
        <w:t>Chez les bactéries, l’ARNm produit est directement accessible à la machinerie de synthèse protéique, la synthèse des protéines démarre avant même que l’ARNm ne soit intégralement transcrit.</w:t>
      </w:r>
      <w:r>
        <w:rPr>
          <w:rFonts w:asciiTheme="majorBidi" w:hAnsiTheme="majorBidi" w:cstheme="majorBidi"/>
          <w:sz w:val="24"/>
          <w:szCs w:val="24"/>
          <w:lang w:bidi="ar-DZ"/>
        </w:rPr>
        <w:t xml:space="preserve"> Transcription et traduction ne sont pas de phénomènes associés comme c’est le cas chez les procaryotes.</w:t>
      </w:r>
    </w:p>
    <w:p w:rsidR="003553CE" w:rsidRDefault="003553CE" w:rsidP="003553CE">
      <w:pPr>
        <w:pStyle w:val="Paragraphedeliste"/>
        <w:numPr>
          <w:ilvl w:val="0"/>
          <w:numId w:val="20"/>
        </w:num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 xml:space="preserve">La transcription d’un gène en ARNr, ARNt ou ARNm, ne produit pas immédiatement une molécule fonctionnelle. Dans le noyau, c’est un précurseur qui est produit, il subira plusieurs modifications.    </w:t>
      </w:r>
    </w:p>
    <w:p w:rsidR="003553CE" w:rsidRDefault="003553CE" w:rsidP="003553CE">
      <w:pPr>
        <w:pStyle w:val="Paragraphedeliste"/>
        <w:numPr>
          <w:ilvl w:val="0"/>
          <w:numId w:val="20"/>
        </w:num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Chez les eucaryotes, il existe trois ARN polymérases distinctes, alors qu’une seul chez les bactéries :</w:t>
      </w:r>
    </w:p>
    <w:p w:rsidR="003553CE" w:rsidRDefault="003553CE" w:rsidP="003553CE">
      <w:pPr>
        <w:pStyle w:val="Paragraphedeliste"/>
        <w:numPr>
          <w:ilvl w:val="0"/>
          <w:numId w:val="18"/>
        </w:num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 xml:space="preserve">ARN polymérase I : pour l’ARNr </w:t>
      </w:r>
      <w:r w:rsidRPr="00D2060E">
        <w:rPr>
          <w:rFonts w:asciiTheme="majorBidi" w:hAnsiTheme="majorBidi" w:cstheme="majorBidi"/>
          <w:sz w:val="24"/>
          <w:szCs w:val="24"/>
          <w:lang w:bidi="ar-DZ"/>
        </w:rPr>
        <w:t xml:space="preserve">5,8 ; 18 et 28 S </w:t>
      </w:r>
      <w:r>
        <w:rPr>
          <w:rFonts w:asciiTheme="majorBidi" w:hAnsiTheme="majorBidi" w:cstheme="majorBidi"/>
          <w:sz w:val="24"/>
          <w:szCs w:val="24"/>
          <w:lang w:bidi="ar-DZ"/>
        </w:rPr>
        <w:t>(sauf l’ARN 5S) ;</w:t>
      </w:r>
    </w:p>
    <w:p w:rsidR="003553CE" w:rsidRDefault="003553CE" w:rsidP="003553CE">
      <w:pPr>
        <w:pStyle w:val="Paragraphedeliste"/>
        <w:numPr>
          <w:ilvl w:val="0"/>
          <w:numId w:val="18"/>
        </w:num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ARN polymérase II : pour les ARNm et les petits ARN nucléaires ;</w:t>
      </w:r>
    </w:p>
    <w:p w:rsidR="003553CE" w:rsidRDefault="003553CE" w:rsidP="003553CE">
      <w:pPr>
        <w:pStyle w:val="Paragraphedeliste"/>
        <w:numPr>
          <w:ilvl w:val="0"/>
          <w:numId w:val="18"/>
        </w:num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ARN polymérase III : pour les ARNt, ARN 5S et petits ARN nucléaires.</w:t>
      </w:r>
    </w:p>
    <w:p w:rsidR="003553CE" w:rsidRDefault="003553CE" w:rsidP="003553CE">
      <w:pPr>
        <w:pStyle w:val="Paragraphedeliste"/>
        <w:spacing w:line="360" w:lineRule="auto"/>
        <w:jc w:val="both"/>
        <w:rPr>
          <w:rFonts w:asciiTheme="majorBidi" w:hAnsiTheme="majorBidi" w:cstheme="majorBidi"/>
          <w:sz w:val="24"/>
          <w:szCs w:val="24"/>
          <w:lang w:bidi="ar-DZ"/>
        </w:rPr>
      </w:pPr>
    </w:p>
    <w:p w:rsidR="003553CE" w:rsidRPr="00267770" w:rsidRDefault="003553CE" w:rsidP="003553CE">
      <w:pPr>
        <w:pStyle w:val="Paragraphedeliste"/>
        <w:numPr>
          <w:ilvl w:val="0"/>
          <w:numId w:val="32"/>
        </w:numPr>
        <w:spacing w:line="360" w:lineRule="auto"/>
        <w:jc w:val="both"/>
        <w:rPr>
          <w:rFonts w:asciiTheme="majorBidi" w:hAnsiTheme="majorBidi" w:cstheme="majorBidi"/>
          <w:b/>
          <w:bCs/>
          <w:sz w:val="24"/>
          <w:szCs w:val="24"/>
          <w:lang w:bidi="ar-DZ"/>
        </w:rPr>
      </w:pPr>
      <w:r>
        <w:rPr>
          <w:rFonts w:asciiTheme="majorBidi" w:hAnsiTheme="majorBidi" w:cstheme="majorBidi"/>
          <w:b/>
          <w:bCs/>
          <w:sz w:val="24"/>
          <w:szCs w:val="24"/>
          <w:lang w:bidi="ar-DZ"/>
        </w:rPr>
        <w:t>T</w:t>
      </w:r>
      <w:r w:rsidRPr="00267770">
        <w:rPr>
          <w:rFonts w:asciiTheme="majorBidi" w:hAnsiTheme="majorBidi" w:cstheme="majorBidi"/>
          <w:b/>
          <w:bCs/>
          <w:sz w:val="24"/>
          <w:szCs w:val="24"/>
          <w:lang w:bidi="ar-DZ"/>
        </w:rPr>
        <w:t>RANSCRIPTION PAR L’ARN POLYMERASE II</w:t>
      </w:r>
    </w:p>
    <w:p w:rsidR="003553CE" w:rsidRDefault="003553CE" w:rsidP="003553CE">
      <w:pPr>
        <w:spacing w:line="360" w:lineRule="auto"/>
        <w:jc w:val="both"/>
        <w:rPr>
          <w:rFonts w:asciiTheme="majorBidi" w:hAnsiTheme="majorBidi" w:cstheme="majorBidi"/>
          <w:b/>
          <w:bCs/>
          <w:sz w:val="24"/>
          <w:szCs w:val="24"/>
          <w:lang w:bidi="ar-DZ"/>
        </w:rPr>
      </w:pPr>
      <w:r>
        <w:rPr>
          <w:rFonts w:asciiTheme="majorBidi" w:hAnsiTheme="majorBidi" w:cstheme="majorBidi"/>
          <w:b/>
          <w:bCs/>
          <w:sz w:val="24"/>
          <w:szCs w:val="24"/>
          <w:lang w:bidi="ar-DZ"/>
        </w:rPr>
        <w:t>IV.1. Formation d’un transcrit primaire (Pré-ARNm)</w:t>
      </w:r>
    </w:p>
    <w:p w:rsidR="003553CE" w:rsidRPr="00BB4A0D" w:rsidRDefault="003553CE" w:rsidP="003553CE">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Le transcrit primaire correspond à une copie des exons (des séquences d’ADN qui seront traduit en protéines) et des introns (séquences d’ADN  intercalées intercalés exons) d’un gène.</w:t>
      </w:r>
    </w:p>
    <w:p w:rsidR="003553CE" w:rsidRDefault="003553CE" w:rsidP="003553CE">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Des régions situées en amont du site d’initiation sont importants pour la transcription :</w:t>
      </w:r>
    </w:p>
    <w:p w:rsidR="003553CE" w:rsidRDefault="003553CE" w:rsidP="003553CE">
      <w:pPr>
        <w:pStyle w:val="Paragraphedeliste"/>
        <w:numPr>
          <w:ilvl w:val="0"/>
          <w:numId w:val="21"/>
        </w:num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Boite TATA : elle est situé à environ -25 paires de bases de l’origine de la transcription. C’est une séquence de six nucléotides riche en A et T (5’-TATAAA-3’).</w:t>
      </w:r>
    </w:p>
    <w:p w:rsidR="003553CE" w:rsidRDefault="003553CE" w:rsidP="003553CE">
      <w:pPr>
        <w:pStyle w:val="Paragraphedeliste"/>
        <w:numPr>
          <w:ilvl w:val="0"/>
          <w:numId w:val="21"/>
        </w:num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Boite GC : elle est située le plus souvent dans la région entre -110 et -40. Elle peut se présenter sous forme d’hexanucléotides : 5’-GGGCGG-3’. Le motif riche en G et C peut être répété plusieurs fois.</w:t>
      </w:r>
    </w:p>
    <w:p w:rsidR="003553CE" w:rsidRPr="00930A31" w:rsidRDefault="003553CE" w:rsidP="003553CE">
      <w:pPr>
        <w:pStyle w:val="Paragraphedeliste"/>
        <w:numPr>
          <w:ilvl w:val="0"/>
          <w:numId w:val="21"/>
        </w:num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La boite CCAAT : elle est souvent située dans la région entre -120 et -80. Cette boite peut être située avant ou après une boite GC ou même entre deux boites GC.</w:t>
      </w:r>
    </w:p>
    <w:p w:rsidR="003553CE" w:rsidRPr="006038D9" w:rsidRDefault="003553CE" w:rsidP="003553CE">
      <w:pPr>
        <w:spacing w:line="360" w:lineRule="auto"/>
        <w:jc w:val="both"/>
        <w:rPr>
          <w:rFonts w:asciiTheme="majorBidi" w:hAnsiTheme="majorBidi" w:cstheme="majorBidi"/>
          <w:b/>
          <w:bCs/>
          <w:sz w:val="24"/>
          <w:szCs w:val="24"/>
          <w:lang w:bidi="ar-DZ"/>
        </w:rPr>
      </w:pPr>
      <w:r>
        <w:rPr>
          <w:rFonts w:asciiTheme="majorBidi" w:hAnsiTheme="majorBidi" w:cstheme="majorBidi"/>
          <w:b/>
          <w:bCs/>
          <w:sz w:val="24"/>
          <w:szCs w:val="24"/>
          <w:lang w:bidi="ar-DZ"/>
        </w:rPr>
        <w:lastRenderedPageBreak/>
        <w:t>IV.2. Modification</w:t>
      </w:r>
      <w:r w:rsidR="003F453A">
        <w:rPr>
          <w:rFonts w:asciiTheme="majorBidi" w:hAnsiTheme="majorBidi" w:cstheme="majorBidi"/>
          <w:b/>
          <w:bCs/>
          <w:sz w:val="24"/>
          <w:szCs w:val="24"/>
          <w:lang w:bidi="ar-DZ"/>
        </w:rPr>
        <w:t>s</w:t>
      </w:r>
      <w:r>
        <w:rPr>
          <w:rFonts w:asciiTheme="majorBidi" w:hAnsiTheme="majorBidi" w:cstheme="majorBidi"/>
          <w:b/>
          <w:bCs/>
          <w:sz w:val="24"/>
          <w:szCs w:val="24"/>
          <w:lang w:bidi="ar-DZ"/>
        </w:rPr>
        <w:t xml:space="preserve"> subies sur le transcrit primaire</w:t>
      </w:r>
    </w:p>
    <w:p w:rsidR="003553CE" w:rsidRPr="00F87651" w:rsidRDefault="003553CE" w:rsidP="003553CE">
      <w:pPr>
        <w:pStyle w:val="Paragraphedeliste"/>
        <w:numPr>
          <w:ilvl w:val="0"/>
          <w:numId w:val="22"/>
        </w:numPr>
        <w:spacing w:line="360" w:lineRule="auto"/>
        <w:jc w:val="both"/>
        <w:rPr>
          <w:rFonts w:asciiTheme="majorBidi" w:hAnsiTheme="majorBidi" w:cstheme="majorBidi"/>
          <w:b/>
          <w:bCs/>
          <w:sz w:val="24"/>
          <w:szCs w:val="24"/>
          <w:lang w:bidi="ar-DZ"/>
        </w:rPr>
      </w:pPr>
      <w:r w:rsidRPr="00F87651">
        <w:rPr>
          <w:rFonts w:asciiTheme="majorBidi" w:hAnsiTheme="majorBidi" w:cstheme="majorBidi"/>
          <w:b/>
          <w:bCs/>
          <w:sz w:val="24"/>
          <w:szCs w:val="24"/>
          <w:lang w:bidi="ar-DZ"/>
        </w:rPr>
        <w:t>Addition du coiffe à l’extrémité 5’ :</w:t>
      </w:r>
    </w:p>
    <w:p w:rsidR="003553CE" w:rsidRDefault="003553CE" w:rsidP="003553CE">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Le premier nucléotide du transcrit primaire commence par un groupement triphosphate, la base correspondante est une base purique (A ou G).</w:t>
      </w:r>
    </w:p>
    <w:p w:rsidR="003553CE" w:rsidRDefault="003553CE" w:rsidP="003553CE">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 xml:space="preserve">L’extrémité 5’ est modifiée par l’addition d’une 7-méthylguanosine (provenant d’un GTP hydrolysé en GMP grâce au guanylyl-transférase (Fig.29). </w:t>
      </w:r>
    </w:p>
    <w:p w:rsidR="003553CE" w:rsidRDefault="003553CE" w:rsidP="003553CE">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 xml:space="preserve">Aussi une méthylation des 2 hydroxyles en 2’ des riboses de premier et deuxième nucléotide de la chaine d’ARN </w:t>
      </w:r>
    </w:p>
    <w:p w:rsidR="003553CE" w:rsidRDefault="003553CE" w:rsidP="003553CE">
      <w:pPr>
        <w:tabs>
          <w:tab w:val="center" w:pos="4536"/>
        </w:tabs>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 xml:space="preserve">Cette modification se produit alors que la chaine d’ARNm est en cours de transcription après la polymérisation d’environ 30 nucléotides. </w:t>
      </w:r>
    </w:p>
    <w:p w:rsidR="003553CE" w:rsidRDefault="003553CE" w:rsidP="003553CE">
      <w:pPr>
        <w:tabs>
          <w:tab w:val="center" w:pos="4536"/>
        </w:tabs>
        <w:spacing w:line="360" w:lineRule="auto"/>
        <w:jc w:val="both"/>
        <w:rPr>
          <w:rFonts w:asciiTheme="majorBidi" w:hAnsiTheme="majorBidi" w:cstheme="majorBidi"/>
          <w:sz w:val="24"/>
          <w:szCs w:val="24"/>
          <w:lang w:bidi="ar-DZ"/>
        </w:rPr>
      </w:pPr>
    </w:p>
    <w:p w:rsidR="003553CE" w:rsidRDefault="003553CE" w:rsidP="003553CE">
      <w:pPr>
        <w:tabs>
          <w:tab w:val="center" w:pos="4536"/>
        </w:tabs>
        <w:spacing w:line="360" w:lineRule="auto"/>
        <w:jc w:val="both"/>
        <w:rPr>
          <w:rFonts w:asciiTheme="majorBidi" w:hAnsiTheme="majorBidi" w:cstheme="majorBidi"/>
          <w:sz w:val="24"/>
          <w:szCs w:val="24"/>
          <w:lang w:bidi="ar-DZ"/>
        </w:rPr>
      </w:pPr>
      <w:r>
        <w:rPr>
          <w:noProof/>
          <w:lang w:val="en-GB" w:eastAsia="en-GB"/>
        </w:rPr>
        <w:drawing>
          <wp:inline distT="0" distB="0" distL="0" distR="0" wp14:anchorId="6376FE28" wp14:editId="67013CF0">
            <wp:extent cx="5467350" cy="4295775"/>
            <wp:effectExtent l="0" t="0" r="0" b="9525"/>
            <wp:docPr id="4" name="Image 4" descr="Image result for addition de la coiffe en l'extrémité 5' de la chaine d'A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ddition de la coiffe en l'extrémité 5' de la chaine d'AR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7350" cy="4295775"/>
                    </a:xfrm>
                    <a:prstGeom prst="rect">
                      <a:avLst/>
                    </a:prstGeom>
                    <a:noFill/>
                    <a:ln>
                      <a:noFill/>
                    </a:ln>
                  </pic:spPr>
                </pic:pic>
              </a:graphicData>
            </a:graphic>
          </wp:inline>
        </w:drawing>
      </w:r>
    </w:p>
    <w:p w:rsidR="003553CE" w:rsidRDefault="003553CE" w:rsidP="003553CE">
      <w:pPr>
        <w:tabs>
          <w:tab w:val="center" w:pos="4536"/>
        </w:tabs>
        <w:spacing w:line="360" w:lineRule="auto"/>
        <w:jc w:val="center"/>
        <w:rPr>
          <w:rFonts w:asciiTheme="majorBidi" w:hAnsiTheme="majorBidi" w:cstheme="majorBidi"/>
          <w:sz w:val="24"/>
          <w:szCs w:val="24"/>
          <w:lang w:bidi="ar-DZ"/>
        </w:rPr>
      </w:pPr>
      <w:r>
        <w:rPr>
          <w:rFonts w:asciiTheme="majorBidi" w:hAnsiTheme="majorBidi" w:cstheme="majorBidi"/>
          <w:b/>
          <w:bCs/>
          <w:sz w:val="24"/>
          <w:szCs w:val="24"/>
          <w:lang w:bidi="ar-DZ"/>
        </w:rPr>
        <w:t>Fig.29</w:t>
      </w:r>
      <w:r w:rsidRPr="008F58BC">
        <w:rPr>
          <w:rFonts w:asciiTheme="majorBidi" w:hAnsiTheme="majorBidi" w:cstheme="majorBidi"/>
          <w:sz w:val="24"/>
          <w:szCs w:val="24"/>
          <w:lang w:bidi="ar-DZ"/>
        </w:rPr>
        <w:t xml:space="preserve"> Addition du coiffe à l’extrémité 5’</w:t>
      </w:r>
      <w:r w:rsidRPr="008F58BC">
        <w:t xml:space="preserve"> </w:t>
      </w:r>
      <w:r w:rsidRPr="008F58BC">
        <w:rPr>
          <w:rFonts w:asciiTheme="majorBidi" w:hAnsiTheme="majorBidi" w:cstheme="majorBidi"/>
          <w:sz w:val="24"/>
          <w:szCs w:val="24"/>
          <w:lang w:bidi="ar-DZ"/>
        </w:rPr>
        <w:t>de la chaine d'ARN</w:t>
      </w:r>
    </w:p>
    <w:p w:rsidR="003553CE" w:rsidRDefault="003553CE" w:rsidP="003553CE">
      <w:pPr>
        <w:tabs>
          <w:tab w:val="center" w:pos="4536"/>
        </w:tabs>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lastRenderedPageBreak/>
        <w:t xml:space="preserve">Cette coiffe à plusieurs rôles, elle permet l’interaction de l’ARNm avec le ribosome (la petite sous unité). Les ARNr et ARNt dépourvus de cette coiffe ne sont pas traduits. </w:t>
      </w:r>
    </w:p>
    <w:p w:rsidR="003553CE" w:rsidRDefault="003553CE" w:rsidP="003553CE">
      <w:pPr>
        <w:pStyle w:val="Paragraphedeliste"/>
        <w:numPr>
          <w:ilvl w:val="0"/>
          <w:numId w:val="22"/>
        </w:numPr>
        <w:tabs>
          <w:tab w:val="center" w:pos="4536"/>
        </w:tabs>
        <w:spacing w:line="360" w:lineRule="auto"/>
        <w:jc w:val="both"/>
        <w:rPr>
          <w:rFonts w:asciiTheme="majorBidi" w:hAnsiTheme="majorBidi" w:cstheme="majorBidi"/>
          <w:b/>
          <w:bCs/>
          <w:sz w:val="24"/>
          <w:szCs w:val="24"/>
          <w:lang w:bidi="ar-DZ"/>
        </w:rPr>
      </w:pPr>
      <w:r>
        <w:rPr>
          <w:rFonts w:asciiTheme="majorBidi" w:hAnsiTheme="majorBidi" w:cstheme="majorBidi"/>
          <w:b/>
          <w:bCs/>
          <w:sz w:val="24"/>
          <w:szCs w:val="24"/>
          <w:lang w:bidi="ar-DZ"/>
        </w:rPr>
        <w:t>Polyadénylation en 3’</w:t>
      </w:r>
    </w:p>
    <w:p w:rsidR="003553CE" w:rsidRDefault="003553CE" w:rsidP="003553CE">
      <w:pPr>
        <w:tabs>
          <w:tab w:val="center" w:pos="4536"/>
        </w:tabs>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L’extrémité 3’ est modifiée par addition de 100 à 200 résidus d’acide adénylique (poly A) grâce à la poly A polymérase. La queue de polyadénine aurait plusieurs rôles, elle a</w:t>
      </w:r>
      <w:r w:rsidRPr="00100855">
        <w:rPr>
          <w:rFonts w:asciiTheme="majorBidi" w:hAnsiTheme="majorBidi" w:cstheme="majorBidi"/>
          <w:sz w:val="24"/>
          <w:szCs w:val="24"/>
          <w:lang w:bidi="ar-DZ"/>
        </w:rPr>
        <w:t>ide au passage de l’ARNm du noyau vers le cytoplasme</w:t>
      </w:r>
      <w:r>
        <w:rPr>
          <w:rFonts w:asciiTheme="majorBidi" w:hAnsiTheme="majorBidi" w:cstheme="majorBidi"/>
          <w:sz w:val="24"/>
          <w:szCs w:val="24"/>
          <w:lang w:bidi="ar-DZ"/>
        </w:rPr>
        <w:t>.</w:t>
      </w:r>
    </w:p>
    <w:p w:rsidR="003553CE" w:rsidRDefault="003553CE" w:rsidP="003553CE">
      <w:pPr>
        <w:tabs>
          <w:tab w:val="center" w:pos="4536"/>
        </w:tabs>
        <w:spacing w:line="360" w:lineRule="auto"/>
        <w:jc w:val="both"/>
        <w:rPr>
          <w:rFonts w:asciiTheme="majorBidi" w:hAnsiTheme="majorBidi" w:cstheme="majorBidi"/>
          <w:b/>
          <w:bCs/>
          <w:sz w:val="24"/>
          <w:szCs w:val="24"/>
          <w:lang w:bidi="ar-DZ"/>
        </w:rPr>
      </w:pPr>
      <w:r>
        <w:rPr>
          <w:rFonts w:asciiTheme="majorBidi" w:hAnsiTheme="majorBidi" w:cstheme="majorBidi"/>
          <w:b/>
          <w:bCs/>
          <w:sz w:val="24"/>
          <w:szCs w:val="24"/>
          <w:lang w:bidi="ar-DZ"/>
        </w:rPr>
        <w:t>IV.3. Maturation du transcrit primaire (épissage)</w:t>
      </w:r>
    </w:p>
    <w:p w:rsidR="003553CE" w:rsidRDefault="003553CE" w:rsidP="003553CE">
      <w:pPr>
        <w:tabs>
          <w:tab w:val="center" w:pos="4536"/>
        </w:tabs>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 xml:space="preserve">L’épissage de l’ARNm est une étape majeure de sa maturation. </w:t>
      </w:r>
      <w:r w:rsidRPr="00486D79">
        <w:rPr>
          <w:rFonts w:asciiTheme="majorBidi" w:hAnsiTheme="majorBidi" w:cstheme="majorBidi"/>
          <w:sz w:val="24"/>
          <w:szCs w:val="24"/>
        </w:rPr>
        <w:t xml:space="preserve">Après l’addition de la coiffe et la poly-adénilation, le transcrit primaire est encore soumis à l’excision des introns </w:t>
      </w:r>
      <w:r>
        <w:rPr>
          <w:rFonts w:asciiTheme="majorBidi" w:hAnsiTheme="majorBidi" w:cstheme="majorBidi"/>
          <w:sz w:val="24"/>
          <w:szCs w:val="24"/>
          <w:lang w:bidi="ar-DZ"/>
        </w:rPr>
        <w:t xml:space="preserve">(séquences non codantes) </w:t>
      </w:r>
      <w:r w:rsidRPr="00486D79">
        <w:rPr>
          <w:rFonts w:asciiTheme="majorBidi" w:hAnsiTheme="majorBidi" w:cstheme="majorBidi"/>
          <w:sz w:val="24"/>
          <w:szCs w:val="24"/>
        </w:rPr>
        <w:t>et l’épissage des exons</w:t>
      </w:r>
      <w:r>
        <w:rPr>
          <w:rFonts w:asciiTheme="majorBidi" w:hAnsiTheme="majorBidi" w:cstheme="majorBidi"/>
          <w:sz w:val="24"/>
          <w:szCs w:val="24"/>
        </w:rPr>
        <w:t xml:space="preserve"> (Fig.30)</w:t>
      </w:r>
      <w:r w:rsidRPr="00486D79">
        <w:rPr>
          <w:rFonts w:asciiTheme="majorBidi" w:hAnsiTheme="majorBidi" w:cstheme="majorBidi"/>
          <w:sz w:val="24"/>
          <w:szCs w:val="24"/>
        </w:rPr>
        <w:t>; les introns sont ainsi éliminés</w:t>
      </w:r>
      <w:r w:rsidRPr="004B20BE">
        <w:rPr>
          <w:rFonts w:asciiTheme="majorBidi" w:hAnsiTheme="majorBidi" w:cstheme="majorBidi"/>
          <w:sz w:val="24"/>
          <w:szCs w:val="24"/>
        </w:rPr>
        <w:t>. Ceci est possible par la présence de site donneur d’épissage (dinucléotide GU) à l’extrémité 5’ des introns et de site accepteur d’épissage (dinucléotide CAG) à l’extrémité 3’ des introns.</w:t>
      </w:r>
      <w:r w:rsidRPr="009D3746">
        <w:rPr>
          <w:rFonts w:asciiTheme="majorBidi" w:hAnsiTheme="majorBidi" w:cstheme="majorBidi"/>
          <w:sz w:val="24"/>
          <w:szCs w:val="24"/>
          <w:lang w:bidi="ar-DZ"/>
        </w:rPr>
        <w:t xml:space="preserve"> </w:t>
      </w:r>
      <w:r>
        <w:rPr>
          <w:rFonts w:asciiTheme="majorBidi" w:hAnsiTheme="majorBidi" w:cstheme="majorBidi"/>
          <w:sz w:val="24"/>
          <w:szCs w:val="24"/>
          <w:lang w:bidi="ar-DZ"/>
        </w:rPr>
        <w:t>Cette élimination des introns se déroule dans le noyau.</w:t>
      </w:r>
    </w:p>
    <w:p w:rsidR="003553CE" w:rsidRDefault="003553CE" w:rsidP="003553CE">
      <w:pPr>
        <w:tabs>
          <w:tab w:val="left" w:pos="3285"/>
        </w:tabs>
        <w:spacing w:line="360" w:lineRule="auto"/>
        <w:jc w:val="center"/>
        <w:rPr>
          <w:rFonts w:asciiTheme="majorBidi" w:hAnsiTheme="majorBidi" w:cstheme="majorBidi"/>
          <w:sz w:val="24"/>
          <w:szCs w:val="24"/>
        </w:rPr>
      </w:pPr>
      <w:r>
        <w:rPr>
          <w:rFonts w:asciiTheme="majorBidi" w:hAnsiTheme="majorBidi" w:cstheme="majorBidi"/>
          <w:noProof/>
          <w:sz w:val="24"/>
          <w:szCs w:val="24"/>
          <w:lang w:val="en-GB" w:eastAsia="en-GB"/>
        </w:rPr>
        <w:drawing>
          <wp:inline distT="0" distB="0" distL="0" distR="0" wp14:anchorId="0EC093E4" wp14:editId="0CF64A67">
            <wp:extent cx="5715000" cy="101917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1019175"/>
                    </a:xfrm>
                    <a:prstGeom prst="rect">
                      <a:avLst/>
                    </a:prstGeom>
                    <a:noFill/>
                  </pic:spPr>
                </pic:pic>
              </a:graphicData>
            </a:graphic>
          </wp:inline>
        </w:drawing>
      </w:r>
    </w:p>
    <w:p w:rsidR="003553CE" w:rsidRPr="00CF53AE" w:rsidRDefault="003553CE" w:rsidP="003553CE">
      <w:pPr>
        <w:tabs>
          <w:tab w:val="left" w:pos="3285"/>
        </w:tabs>
        <w:jc w:val="center"/>
        <w:rPr>
          <w:rFonts w:asciiTheme="majorBidi" w:hAnsiTheme="majorBidi" w:cstheme="majorBidi"/>
          <w:sz w:val="24"/>
          <w:szCs w:val="24"/>
        </w:rPr>
      </w:pPr>
      <w:r>
        <w:rPr>
          <w:rFonts w:asciiTheme="majorBidi" w:hAnsiTheme="majorBidi" w:cstheme="majorBidi"/>
          <w:b/>
          <w:bCs/>
          <w:sz w:val="24"/>
          <w:szCs w:val="24"/>
        </w:rPr>
        <w:t>Fig.30</w:t>
      </w:r>
      <w:r>
        <w:rPr>
          <w:rFonts w:asciiTheme="majorBidi" w:hAnsiTheme="majorBidi" w:cstheme="majorBidi"/>
          <w:sz w:val="24"/>
          <w:szCs w:val="24"/>
        </w:rPr>
        <w:t xml:space="preserve"> E</w:t>
      </w:r>
      <w:r w:rsidRPr="004B20BE">
        <w:rPr>
          <w:rFonts w:asciiTheme="majorBidi" w:hAnsiTheme="majorBidi" w:cstheme="majorBidi"/>
          <w:sz w:val="24"/>
          <w:szCs w:val="24"/>
        </w:rPr>
        <w:t>xcision des introns</w:t>
      </w:r>
    </w:p>
    <w:p w:rsidR="003553CE" w:rsidRPr="009A72B0" w:rsidRDefault="003553CE" w:rsidP="003553CE">
      <w:pPr>
        <w:tabs>
          <w:tab w:val="left" w:pos="3285"/>
        </w:tabs>
        <w:spacing w:line="360" w:lineRule="auto"/>
        <w:jc w:val="both"/>
        <w:rPr>
          <w:rFonts w:asciiTheme="majorBidi" w:hAnsiTheme="majorBidi" w:cstheme="majorBidi"/>
          <w:sz w:val="24"/>
          <w:szCs w:val="24"/>
        </w:rPr>
      </w:pPr>
      <w:r w:rsidRPr="009A72B0">
        <w:rPr>
          <w:rFonts w:asciiTheme="majorBidi" w:hAnsiTheme="majorBidi" w:cstheme="majorBidi"/>
          <w:sz w:val="24"/>
          <w:szCs w:val="24"/>
        </w:rPr>
        <w:t>L’excision des introns et l’épissage des exons se fait en plusieurs étapes :</w:t>
      </w:r>
    </w:p>
    <w:p w:rsidR="003553CE" w:rsidRPr="00DB360C" w:rsidRDefault="003553CE" w:rsidP="003553CE">
      <w:pPr>
        <w:pStyle w:val="Paragraphedeliste"/>
        <w:numPr>
          <w:ilvl w:val="0"/>
          <w:numId w:val="18"/>
        </w:numPr>
        <w:tabs>
          <w:tab w:val="left" w:pos="3285"/>
        </w:tabs>
        <w:spacing w:line="360" w:lineRule="auto"/>
        <w:jc w:val="both"/>
        <w:rPr>
          <w:rFonts w:asciiTheme="majorBidi" w:hAnsiTheme="majorBidi" w:cstheme="majorBidi"/>
          <w:sz w:val="24"/>
          <w:szCs w:val="24"/>
        </w:rPr>
      </w:pPr>
      <w:r w:rsidRPr="00DB360C">
        <w:rPr>
          <w:rFonts w:asciiTheme="majorBidi" w:hAnsiTheme="majorBidi" w:cstheme="majorBidi"/>
          <w:sz w:val="24"/>
          <w:szCs w:val="24"/>
        </w:rPr>
        <w:t>La reconnaissance du site donneur d’épissage et la rupture de la liaison phosphodiester entre le premier exon et l’intron.</w:t>
      </w:r>
    </w:p>
    <w:p w:rsidR="003553CE" w:rsidRDefault="003553CE" w:rsidP="003553CE">
      <w:pPr>
        <w:pStyle w:val="Paragraphedeliste"/>
        <w:numPr>
          <w:ilvl w:val="0"/>
          <w:numId w:val="18"/>
        </w:numPr>
        <w:tabs>
          <w:tab w:val="left" w:pos="3285"/>
        </w:tabs>
        <w:spacing w:line="360" w:lineRule="auto"/>
        <w:jc w:val="both"/>
        <w:rPr>
          <w:rFonts w:asciiTheme="majorBidi" w:hAnsiTheme="majorBidi" w:cstheme="majorBidi"/>
          <w:sz w:val="24"/>
          <w:szCs w:val="24"/>
        </w:rPr>
      </w:pPr>
      <w:r w:rsidRPr="00DB360C">
        <w:rPr>
          <w:rFonts w:asciiTheme="majorBidi" w:hAnsiTheme="majorBidi" w:cstheme="majorBidi"/>
          <w:sz w:val="24"/>
          <w:szCs w:val="24"/>
        </w:rPr>
        <w:t>La reconnaissance du site accepteur d’épissage. Suite à cette reconnaissance il y a rupture de la liaison phosphodiester au niveau de l’extrémité 3’ de l’intron.</w:t>
      </w:r>
    </w:p>
    <w:p w:rsidR="003553CE" w:rsidRPr="00DB360C" w:rsidRDefault="003553CE" w:rsidP="003553CE">
      <w:pPr>
        <w:pStyle w:val="Paragraphedeliste"/>
        <w:numPr>
          <w:ilvl w:val="0"/>
          <w:numId w:val="18"/>
        </w:numPr>
        <w:tabs>
          <w:tab w:val="left" w:pos="3285"/>
        </w:tabs>
        <w:spacing w:line="360" w:lineRule="auto"/>
        <w:jc w:val="both"/>
        <w:rPr>
          <w:rFonts w:asciiTheme="majorBidi" w:hAnsiTheme="majorBidi" w:cstheme="majorBidi"/>
          <w:sz w:val="24"/>
          <w:szCs w:val="24"/>
        </w:rPr>
      </w:pPr>
      <w:r w:rsidRPr="00DB360C">
        <w:rPr>
          <w:rFonts w:asciiTheme="majorBidi" w:hAnsiTheme="majorBidi" w:cstheme="majorBidi"/>
          <w:sz w:val="24"/>
          <w:szCs w:val="24"/>
        </w:rPr>
        <w:t>Le groupement 3’OH du premier exon peut ainsi réagir avec l’extrémité 5’phosphate du deuxième exon pour former une liaison phosphodiester et permettre la libération de l’intron qui sera dégradé.</w:t>
      </w:r>
    </w:p>
    <w:p w:rsidR="003553CE" w:rsidRPr="009F1D0B" w:rsidRDefault="003553CE" w:rsidP="003553CE">
      <w:pPr>
        <w:rPr>
          <w:rFonts w:asciiTheme="majorBidi" w:hAnsiTheme="majorBidi" w:cstheme="majorBidi"/>
          <w:sz w:val="24"/>
          <w:szCs w:val="24"/>
        </w:rPr>
      </w:pPr>
    </w:p>
    <w:p w:rsidR="00171268" w:rsidRPr="00A74FB6" w:rsidRDefault="00171268" w:rsidP="00A74FB6">
      <w:pPr>
        <w:spacing w:line="360" w:lineRule="auto"/>
        <w:jc w:val="both"/>
        <w:rPr>
          <w:rFonts w:asciiTheme="majorBidi" w:hAnsiTheme="majorBidi" w:cstheme="majorBidi"/>
          <w:sz w:val="24"/>
          <w:szCs w:val="24"/>
        </w:rPr>
      </w:pPr>
    </w:p>
    <w:sectPr w:rsidR="00171268" w:rsidRPr="00A74FB6">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327B" w:rsidRDefault="0011327B" w:rsidP="00685909">
      <w:pPr>
        <w:spacing w:after="0" w:line="240" w:lineRule="auto"/>
      </w:pPr>
      <w:r>
        <w:separator/>
      </w:r>
    </w:p>
  </w:endnote>
  <w:endnote w:type="continuationSeparator" w:id="0">
    <w:p w:rsidR="0011327B" w:rsidRDefault="0011327B" w:rsidP="00685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845" w:rsidRPr="00E203AC" w:rsidRDefault="00DE5845" w:rsidP="00E203AC">
    <w:pPr>
      <w:pStyle w:val="Pieddepage"/>
      <w:tabs>
        <w:tab w:val="left" w:pos="5460"/>
      </w:tabs>
      <w:rPr>
        <w:rFonts w:asciiTheme="majorBidi" w:hAnsiTheme="majorBidi" w:cstheme="majorBidi"/>
      </w:rPr>
    </w:pPr>
    <w:r>
      <w:tab/>
    </w:r>
    <w:sdt>
      <w:sdtPr>
        <w:id w:val="892160971"/>
        <w:docPartObj>
          <w:docPartGallery w:val="Page Numbers (Bottom of Page)"/>
          <w:docPartUnique/>
        </w:docPartObj>
      </w:sdtPr>
      <w:sdtEndPr>
        <w:rPr>
          <w:rFonts w:asciiTheme="majorBidi" w:hAnsiTheme="majorBidi" w:cstheme="majorBidi"/>
        </w:rPr>
      </w:sdtEndPr>
      <w:sdtContent>
        <w:r w:rsidRPr="00E203AC">
          <w:rPr>
            <w:rFonts w:asciiTheme="majorBidi" w:hAnsiTheme="majorBidi" w:cstheme="majorBidi"/>
          </w:rPr>
          <w:fldChar w:fldCharType="begin"/>
        </w:r>
        <w:r w:rsidRPr="00E203AC">
          <w:rPr>
            <w:rFonts w:asciiTheme="majorBidi" w:hAnsiTheme="majorBidi" w:cstheme="majorBidi"/>
          </w:rPr>
          <w:instrText>PAGE   \* MERGEFORMAT</w:instrText>
        </w:r>
        <w:r w:rsidRPr="00E203AC">
          <w:rPr>
            <w:rFonts w:asciiTheme="majorBidi" w:hAnsiTheme="majorBidi" w:cstheme="majorBidi"/>
          </w:rPr>
          <w:fldChar w:fldCharType="separate"/>
        </w:r>
        <w:r w:rsidR="003F453A">
          <w:rPr>
            <w:rFonts w:asciiTheme="majorBidi" w:hAnsiTheme="majorBidi" w:cstheme="majorBidi"/>
            <w:noProof/>
          </w:rPr>
          <w:t>5</w:t>
        </w:r>
        <w:r w:rsidRPr="00E203AC">
          <w:rPr>
            <w:rFonts w:asciiTheme="majorBidi" w:hAnsiTheme="majorBidi" w:cstheme="majorBidi"/>
          </w:rPr>
          <w:fldChar w:fldCharType="end"/>
        </w:r>
      </w:sdtContent>
    </w:sdt>
    <w:r>
      <w:rPr>
        <w:rFonts w:asciiTheme="majorBidi" w:hAnsiTheme="majorBidi" w:cstheme="majorBidi"/>
      </w:rPr>
      <w:tab/>
      <w:t xml:space="preserve">    Responsable : Dr Amina MERZOUG</w:t>
    </w:r>
  </w:p>
  <w:p w:rsidR="00DE5845" w:rsidRDefault="00DE58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327B" w:rsidRDefault="0011327B" w:rsidP="00685909">
      <w:pPr>
        <w:spacing w:after="0" w:line="240" w:lineRule="auto"/>
      </w:pPr>
      <w:r>
        <w:separator/>
      </w:r>
    </w:p>
  </w:footnote>
  <w:footnote w:type="continuationSeparator" w:id="0">
    <w:p w:rsidR="0011327B" w:rsidRDefault="0011327B" w:rsidP="00685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i/>
        <w:iCs/>
      </w:rPr>
      <w:alias w:val="Titre"/>
      <w:id w:val="77738743"/>
      <w:placeholder>
        <w:docPart w:val="952AF480F06C428C99B2CB0C93F966B6"/>
      </w:placeholder>
      <w:dataBinding w:prefixMappings="xmlns:ns0='http://schemas.openxmlformats.org/package/2006/metadata/core-properties' xmlns:ns1='http://purl.org/dc/elements/1.1/'" w:xpath="/ns0:coreProperties[1]/ns1:title[1]" w:storeItemID="{6C3C8BC8-F283-45AE-878A-BAB7291924A1}"/>
      <w:text/>
    </w:sdtPr>
    <w:sdtEndPr/>
    <w:sdtContent>
      <w:p w:rsidR="00DE5845" w:rsidRDefault="00C529DC" w:rsidP="00C529DC">
        <w:pPr>
          <w:pBdr>
            <w:bottom w:val="thickThinSmallGap" w:sz="24" w:space="1" w:color="622423"/>
          </w:pBdr>
          <w:tabs>
            <w:tab w:val="center" w:pos="4536"/>
            <w:tab w:val="right" w:pos="9072"/>
          </w:tabs>
          <w:spacing w:after="0" w:line="360" w:lineRule="auto"/>
        </w:pPr>
        <w:r>
          <w:rPr>
            <w:rFonts w:ascii="Times New Roman" w:hAnsi="Times New Roman" w:cs="Times New Roman"/>
            <w:i/>
            <w:iCs/>
          </w:rPr>
          <w:t>Centre Universitaire</w:t>
        </w:r>
        <w:r w:rsidR="00DE5845" w:rsidRPr="00B153F1">
          <w:rPr>
            <w:rFonts w:ascii="Times New Roman" w:hAnsi="Times New Roman" w:cs="Times New Roman"/>
            <w:i/>
            <w:iCs/>
          </w:rPr>
          <w:t xml:space="preserve"> Abdelhafid Boussouf. Mila                       </w:t>
        </w:r>
        <w:r w:rsidR="00DE5845">
          <w:rPr>
            <w:rFonts w:ascii="Times New Roman" w:hAnsi="Times New Roman" w:cs="Times New Roman"/>
            <w:i/>
            <w:iCs/>
          </w:rPr>
          <w:t xml:space="preserve">             Cours </w:t>
        </w:r>
        <w:r w:rsidR="00DE5845" w:rsidRPr="00B153F1">
          <w:rPr>
            <w:rFonts w:ascii="Times New Roman" w:hAnsi="Times New Roman" w:cs="Times New Roman"/>
            <w:i/>
            <w:iCs/>
          </w:rPr>
          <w:t>de Biologie moléculaire                                                                                               3ème Année Biochimie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6DD3"/>
    <w:multiLevelType w:val="hybridMultilevel"/>
    <w:tmpl w:val="F5347B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BA7C76"/>
    <w:multiLevelType w:val="hybridMultilevel"/>
    <w:tmpl w:val="5D804DA4"/>
    <w:lvl w:ilvl="0" w:tplc="1A4062B8">
      <w:start w:val="3"/>
      <w:numFmt w:val="upperRoman"/>
      <w:lvlText w:val="%1."/>
      <w:lvlJc w:val="left"/>
      <w:pPr>
        <w:ind w:left="1080" w:hanging="72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E75DA5"/>
    <w:multiLevelType w:val="hybridMultilevel"/>
    <w:tmpl w:val="82E4CD84"/>
    <w:lvl w:ilvl="0" w:tplc="D6D64A00">
      <w:start w:val="1"/>
      <w:numFmt w:val="upperRoman"/>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D12522"/>
    <w:multiLevelType w:val="hybridMultilevel"/>
    <w:tmpl w:val="072EC6E4"/>
    <w:lvl w:ilvl="0" w:tplc="2E6EBF3C">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41A632B"/>
    <w:multiLevelType w:val="hybridMultilevel"/>
    <w:tmpl w:val="82E4C3CC"/>
    <w:lvl w:ilvl="0" w:tplc="48A407B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4FE0B52"/>
    <w:multiLevelType w:val="hybridMultilevel"/>
    <w:tmpl w:val="FF18CA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AD488F"/>
    <w:multiLevelType w:val="hybridMultilevel"/>
    <w:tmpl w:val="4B30C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35491B"/>
    <w:multiLevelType w:val="hybridMultilevel"/>
    <w:tmpl w:val="8BC205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5B52B4"/>
    <w:multiLevelType w:val="hybridMultilevel"/>
    <w:tmpl w:val="EEFE0D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8A03B1"/>
    <w:multiLevelType w:val="hybridMultilevel"/>
    <w:tmpl w:val="B36833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1F6D03"/>
    <w:multiLevelType w:val="hybridMultilevel"/>
    <w:tmpl w:val="9440E42A"/>
    <w:lvl w:ilvl="0" w:tplc="B5AE4EF6">
      <w:start w:val="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8B3669"/>
    <w:multiLevelType w:val="hybridMultilevel"/>
    <w:tmpl w:val="458A3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141D83"/>
    <w:multiLevelType w:val="hybridMultilevel"/>
    <w:tmpl w:val="68306D78"/>
    <w:lvl w:ilvl="0" w:tplc="2FCABE8A">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72654C"/>
    <w:multiLevelType w:val="hybridMultilevel"/>
    <w:tmpl w:val="C92C4CAA"/>
    <w:lvl w:ilvl="0" w:tplc="A3045E0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A312AF9"/>
    <w:multiLevelType w:val="hybridMultilevel"/>
    <w:tmpl w:val="D71614DA"/>
    <w:lvl w:ilvl="0" w:tplc="43F8D52E">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3AC147DA"/>
    <w:multiLevelType w:val="hybridMultilevel"/>
    <w:tmpl w:val="62000EF0"/>
    <w:lvl w:ilvl="0" w:tplc="5C42A37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BDD4167"/>
    <w:multiLevelType w:val="hybridMultilevel"/>
    <w:tmpl w:val="B2284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D66FCB"/>
    <w:multiLevelType w:val="hybridMultilevel"/>
    <w:tmpl w:val="FD22B29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4384B6D"/>
    <w:multiLevelType w:val="hybridMultilevel"/>
    <w:tmpl w:val="7BDE5CF0"/>
    <w:lvl w:ilvl="0" w:tplc="A25C408A">
      <w:start w:val="1"/>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522008"/>
    <w:multiLevelType w:val="multilevel"/>
    <w:tmpl w:val="3704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222563"/>
    <w:multiLevelType w:val="hybridMultilevel"/>
    <w:tmpl w:val="5DB45CB2"/>
    <w:lvl w:ilvl="0" w:tplc="FFA611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EFD14F2"/>
    <w:multiLevelType w:val="hybridMultilevel"/>
    <w:tmpl w:val="4F421B1E"/>
    <w:lvl w:ilvl="0" w:tplc="95B26800">
      <w:start w:val="1"/>
      <w:numFmt w:val="bullet"/>
      <w:lvlText w:val="-"/>
      <w:lvlJc w:val="left"/>
      <w:pPr>
        <w:ind w:left="502" w:hanging="360"/>
      </w:pPr>
      <w:rPr>
        <w:rFonts w:ascii="Times New Roman" w:eastAsia="Calibri" w:hAnsi="Times New Roman" w:cs="Times New Roman" w:hint="default"/>
        <w:b w:val="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2" w15:restartNumberingAfterBreak="0">
    <w:nsid w:val="502D15B5"/>
    <w:multiLevelType w:val="hybridMultilevel"/>
    <w:tmpl w:val="60D8A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2D87298"/>
    <w:multiLevelType w:val="hybridMultilevel"/>
    <w:tmpl w:val="C6B22D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8E92A3F"/>
    <w:multiLevelType w:val="hybridMultilevel"/>
    <w:tmpl w:val="C8109A62"/>
    <w:lvl w:ilvl="0" w:tplc="32C8A54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BC8555A"/>
    <w:multiLevelType w:val="hybridMultilevel"/>
    <w:tmpl w:val="588C50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F9D43E0"/>
    <w:multiLevelType w:val="hybridMultilevel"/>
    <w:tmpl w:val="3446E77E"/>
    <w:lvl w:ilvl="0" w:tplc="68EA5C3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1C759FB"/>
    <w:multiLevelType w:val="hybridMultilevel"/>
    <w:tmpl w:val="837EF13C"/>
    <w:lvl w:ilvl="0" w:tplc="1CDCA220">
      <w:start w:val="1"/>
      <w:numFmt w:val="upperRoman"/>
      <w:lvlText w:val="%1."/>
      <w:lvlJc w:val="left"/>
      <w:pPr>
        <w:ind w:left="1080" w:hanging="72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8A718DC"/>
    <w:multiLevelType w:val="hybridMultilevel"/>
    <w:tmpl w:val="13D40A1C"/>
    <w:lvl w:ilvl="0" w:tplc="13CCEC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F747F1D"/>
    <w:multiLevelType w:val="multilevel"/>
    <w:tmpl w:val="B16C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8747C4"/>
    <w:multiLevelType w:val="hybridMultilevel"/>
    <w:tmpl w:val="B884231C"/>
    <w:lvl w:ilvl="0" w:tplc="8C18FDE2">
      <w:numFmt w:val="bullet"/>
      <w:lvlText w:val="-"/>
      <w:lvlJc w:val="left"/>
      <w:pPr>
        <w:ind w:left="360" w:hanging="360"/>
      </w:pPr>
      <w:rPr>
        <w:rFonts w:ascii="Calibri" w:eastAsia="Calibri" w:hAnsi="Calibri"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1" w15:restartNumberingAfterBreak="0">
    <w:nsid w:val="764C0F60"/>
    <w:multiLevelType w:val="hybridMultilevel"/>
    <w:tmpl w:val="D58E5320"/>
    <w:lvl w:ilvl="0" w:tplc="19D44AE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1"/>
  </w:num>
  <w:num w:numId="2">
    <w:abstractNumId w:val="7"/>
  </w:num>
  <w:num w:numId="3">
    <w:abstractNumId w:val="25"/>
  </w:num>
  <w:num w:numId="4">
    <w:abstractNumId w:val="19"/>
  </w:num>
  <w:num w:numId="5">
    <w:abstractNumId w:val="29"/>
  </w:num>
  <w:num w:numId="6">
    <w:abstractNumId w:val="0"/>
  </w:num>
  <w:num w:numId="7">
    <w:abstractNumId w:val="21"/>
  </w:num>
  <w:num w:numId="8">
    <w:abstractNumId w:val="11"/>
  </w:num>
  <w:num w:numId="9">
    <w:abstractNumId w:val="30"/>
  </w:num>
  <w:num w:numId="10">
    <w:abstractNumId w:val="16"/>
  </w:num>
  <w:num w:numId="11">
    <w:abstractNumId w:val="15"/>
  </w:num>
  <w:num w:numId="12">
    <w:abstractNumId w:val="9"/>
  </w:num>
  <w:num w:numId="13">
    <w:abstractNumId w:val="2"/>
  </w:num>
  <w:num w:numId="14">
    <w:abstractNumId w:val="12"/>
  </w:num>
  <w:num w:numId="15">
    <w:abstractNumId w:val="24"/>
  </w:num>
  <w:num w:numId="16">
    <w:abstractNumId w:val="23"/>
  </w:num>
  <w:num w:numId="17">
    <w:abstractNumId w:val="17"/>
  </w:num>
  <w:num w:numId="18">
    <w:abstractNumId w:val="18"/>
  </w:num>
  <w:num w:numId="19">
    <w:abstractNumId w:val="13"/>
  </w:num>
  <w:num w:numId="20">
    <w:abstractNumId w:val="14"/>
  </w:num>
  <w:num w:numId="21">
    <w:abstractNumId w:val="26"/>
  </w:num>
  <w:num w:numId="22">
    <w:abstractNumId w:val="20"/>
  </w:num>
  <w:num w:numId="23">
    <w:abstractNumId w:val="27"/>
  </w:num>
  <w:num w:numId="24">
    <w:abstractNumId w:val="5"/>
  </w:num>
  <w:num w:numId="25">
    <w:abstractNumId w:val="8"/>
  </w:num>
  <w:num w:numId="26">
    <w:abstractNumId w:val="22"/>
  </w:num>
  <w:num w:numId="27">
    <w:abstractNumId w:val="10"/>
  </w:num>
  <w:num w:numId="28">
    <w:abstractNumId w:val="6"/>
  </w:num>
  <w:num w:numId="29">
    <w:abstractNumId w:val="28"/>
  </w:num>
  <w:num w:numId="30">
    <w:abstractNumId w:val="4"/>
  </w:num>
  <w:num w:numId="31">
    <w:abstractNumId w:val="1"/>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60"/>
    <w:rsid w:val="0000577F"/>
    <w:rsid w:val="00012EC8"/>
    <w:rsid w:val="000139AD"/>
    <w:rsid w:val="00021FAC"/>
    <w:rsid w:val="00022812"/>
    <w:rsid w:val="00027D77"/>
    <w:rsid w:val="00030DD8"/>
    <w:rsid w:val="00031078"/>
    <w:rsid w:val="00046FD3"/>
    <w:rsid w:val="00060F3B"/>
    <w:rsid w:val="00066058"/>
    <w:rsid w:val="00074714"/>
    <w:rsid w:val="000749E1"/>
    <w:rsid w:val="000877F1"/>
    <w:rsid w:val="000A5A56"/>
    <w:rsid w:val="000A6E78"/>
    <w:rsid w:val="000A7198"/>
    <w:rsid w:val="000C285D"/>
    <w:rsid w:val="000C591E"/>
    <w:rsid w:val="000D2FE8"/>
    <w:rsid w:val="000D4EE5"/>
    <w:rsid w:val="000D5050"/>
    <w:rsid w:val="000F26A9"/>
    <w:rsid w:val="000F6A40"/>
    <w:rsid w:val="000F7186"/>
    <w:rsid w:val="0011327B"/>
    <w:rsid w:val="001164E3"/>
    <w:rsid w:val="00130AA5"/>
    <w:rsid w:val="00140D6B"/>
    <w:rsid w:val="00142700"/>
    <w:rsid w:val="00155E8D"/>
    <w:rsid w:val="00155F31"/>
    <w:rsid w:val="00160E9A"/>
    <w:rsid w:val="001647D8"/>
    <w:rsid w:val="00171268"/>
    <w:rsid w:val="0017165E"/>
    <w:rsid w:val="00175808"/>
    <w:rsid w:val="00181B42"/>
    <w:rsid w:val="001829A0"/>
    <w:rsid w:val="0019295B"/>
    <w:rsid w:val="00196648"/>
    <w:rsid w:val="001A5753"/>
    <w:rsid w:val="001B01E5"/>
    <w:rsid w:val="001B3001"/>
    <w:rsid w:val="001C0D10"/>
    <w:rsid w:val="001C2626"/>
    <w:rsid w:val="001D02CF"/>
    <w:rsid w:val="001D4630"/>
    <w:rsid w:val="001D6D03"/>
    <w:rsid w:val="001E034D"/>
    <w:rsid w:val="001E7703"/>
    <w:rsid w:val="00203502"/>
    <w:rsid w:val="00206444"/>
    <w:rsid w:val="00214A0B"/>
    <w:rsid w:val="00220924"/>
    <w:rsid w:val="00225FA6"/>
    <w:rsid w:val="00226AAC"/>
    <w:rsid w:val="002302C2"/>
    <w:rsid w:val="00241584"/>
    <w:rsid w:val="002428CB"/>
    <w:rsid w:val="0024456F"/>
    <w:rsid w:val="00253659"/>
    <w:rsid w:val="00266FA9"/>
    <w:rsid w:val="00270181"/>
    <w:rsid w:val="00270AEB"/>
    <w:rsid w:val="002803D7"/>
    <w:rsid w:val="00281FEA"/>
    <w:rsid w:val="00282260"/>
    <w:rsid w:val="002852BC"/>
    <w:rsid w:val="002A7151"/>
    <w:rsid w:val="002C686B"/>
    <w:rsid w:val="002E5618"/>
    <w:rsid w:val="002F089B"/>
    <w:rsid w:val="002F559A"/>
    <w:rsid w:val="00300A28"/>
    <w:rsid w:val="003150C3"/>
    <w:rsid w:val="00317439"/>
    <w:rsid w:val="003174A5"/>
    <w:rsid w:val="00317F98"/>
    <w:rsid w:val="00320C91"/>
    <w:rsid w:val="0032618A"/>
    <w:rsid w:val="00331B56"/>
    <w:rsid w:val="003370F0"/>
    <w:rsid w:val="00341F51"/>
    <w:rsid w:val="00346841"/>
    <w:rsid w:val="00351DB2"/>
    <w:rsid w:val="00353029"/>
    <w:rsid w:val="00354238"/>
    <w:rsid w:val="003553CE"/>
    <w:rsid w:val="00364413"/>
    <w:rsid w:val="00365F1E"/>
    <w:rsid w:val="00380EB8"/>
    <w:rsid w:val="00387042"/>
    <w:rsid w:val="00390291"/>
    <w:rsid w:val="0039452F"/>
    <w:rsid w:val="003A2432"/>
    <w:rsid w:val="003B6E06"/>
    <w:rsid w:val="003C4477"/>
    <w:rsid w:val="003C4709"/>
    <w:rsid w:val="003D11BA"/>
    <w:rsid w:val="003F1D8E"/>
    <w:rsid w:val="003F453A"/>
    <w:rsid w:val="003F7F1E"/>
    <w:rsid w:val="004150D9"/>
    <w:rsid w:val="00441FA1"/>
    <w:rsid w:val="004562C9"/>
    <w:rsid w:val="00462A27"/>
    <w:rsid w:val="00465357"/>
    <w:rsid w:val="00467B5B"/>
    <w:rsid w:val="00470033"/>
    <w:rsid w:val="00472FA3"/>
    <w:rsid w:val="004749DB"/>
    <w:rsid w:val="00474AEC"/>
    <w:rsid w:val="004773ED"/>
    <w:rsid w:val="00486D79"/>
    <w:rsid w:val="00487EE6"/>
    <w:rsid w:val="004936E1"/>
    <w:rsid w:val="00496F43"/>
    <w:rsid w:val="004A62D1"/>
    <w:rsid w:val="004B20BE"/>
    <w:rsid w:val="004C41FE"/>
    <w:rsid w:val="004C4DD8"/>
    <w:rsid w:val="004E1D68"/>
    <w:rsid w:val="004E2B0D"/>
    <w:rsid w:val="004F1237"/>
    <w:rsid w:val="00500633"/>
    <w:rsid w:val="0050299A"/>
    <w:rsid w:val="00503CDD"/>
    <w:rsid w:val="00506EC8"/>
    <w:rsid w:val="00510F30"/>
    <w:rsid w:val="005217F1"/>
    <w:rsid w:val="00542EE4"/>
    <w:rsid w:val="00542EE8"/>
    <w:rsid w:val="00545CC7"/>
    <w:rsid w:val="00550935"/>
    <w:rsid w:val="00560EFB"/>
    <w:rsid w:val="00562637"/>
    <w:rsid w:val="005668DA"/>
    <w:rsid w:val="00597E8F"/>
    <w:rsid w:val="005A37B6"/>
    <w:rsid w:val="005A5531"/>
    <w:rsid w:val="005C3299"/>
    <w:rsid w:val="005D2427"/>
    <w:rsid w:val="005D2ABD"/>
    <w:rsid w:val="005D60F1"/>
    <w:rsid w:val="005F188B"/>
    <w:rsid w:val="005F207B"/>
    <w:rsid w:val="005F5297"/>
    <w:rsid w:val="005F7CE1"/>
    <w:rsid w:val="00606A35"/>
    <w:rsid w:val="0061286F"/>
    <w:rsid w:val="00616852"/>
    <w:rsid w:val="00626423"/>
    <w:rsid w:val="00627E94"/>
    <w:rsid w:val="00654AD3"/>
    <w:rsid w:val="006659CA"/>
    <w:rsid w:val="00675531"/>
    <w:rsid w:val="00682801"/>
    <w:rsid w:val="00685909"/>
    <w:rsid w:val="00686799"/>
    <w:rsid w:val="00691455"/>
    <w:rsid w:val="006915AF"/>
    <w:rsid w:val="00692577"/>
    <w:rsid w:val="00693353"/>
    <w:rsid w:val="006A43BD"/>
    <w:rsid w:val="006A75BC"/>
    <w:rsid w:val="006C218D"/>
    <w:rsid w:val="006D1291"/>
    <w:rsid w:val="006D1879"/>
    <w:rsid w:val="006D242C"/>
    <w:rsid w:val="006D2EE5"/>
    <w:rsid w:val="006E0047"/>
    <w:rsid w:val="006F6193"/>
    <w:rsid w:val="00711B56"/>
    <w:rsid w:val="00714F0A"/>
    <w:rsid w:val="00715D1E"/>
    <w:rsid w:val="00716A36"/>
    <w:rsid w:val="00717850"/>
    <w:rsid w:val="0072192E"/>
    <w:rsid w:val="00723514"/>
    <w:rsid w:val="00725435"/>
    <w:rsid w:val="00731BB8"/>
    <w:rsid w:val="007438E7"/>
    <w:rsid w:val="00744B78"/>
    <w:rsid w:val="00757045"/>
    <w:rsid w:val="00772E07"/>
    <w:rsid w:val="00790683"/>
    <w:rsid w:val="0079242F"/>
    <w:rsid w:val="00794D58"/>
    <w:rsid w:val="0079644D"/>
    <w:rsid w:val="007A0859"/>
    <w:rsid w:val="007A1379"/>
    <w:rsid w:val="007A5646"/>
    <w:rsid w:val="007B505F"/>
    <w:rsid w:val="007C1E42"/>
    <w:rsid w:val="007C3A0D"/>
    <w:rsid w:val="007C73C5"/>
    <w:rsid w:val="007C7E35"/>
    <w:rsid w:val="007D39B0"/>
    <w:rsid w:val="007D3CE4"/>
    <w:rsid w:val="007D5EB8"/>
    <w:rsid w:val="007E4CA0"/>
    <w:rsid w:val="00800BF6"/>
    <w:rsid w:val="00806DDC"/>
    <w:rsid w:val="008123D5"/>
    <w:rsid w:val="008278FA"/>
    <w:rsid w:val="00834C02"/>
    <w:rsid w:val="0083749C"/>
    <w:rsid w:val="00841B06"/>
    <w:rsid w:val="00843827"/>
    <w:rsid w:val="00852A9B"/>
    <w:rsid w:val="008541C1"/>
    <w:rsid w:val="00866015"/>
    <w:rsid w:val="00875461"/>
    <w:rsid w:val="008874C5"/>
    <w:rsid w:val="00887D3E"/>
    <w:rsid w:val="00895094"/>
    <w:rsid w:val="00895EBE"/>
    <w:rsid w:val="008B0A44"/>
    <w:rsid w:val="008C1A08"/>
    <w:rsid w:val="008D09C5"/>
    <w:rsid w:val="008D19BD"/>
    <w:rsid w:val="008D2E1B"/>
    <w:rsid w:val="008F4B7F"/>
    <w:rsid w:val="009034C0"/>
    <w:rsid w:val="00911BCD"/>
    <w:rsid w:val="00914148"/>
    <w:rsid w:val="00915CDE"/>
    <w:rsid w:val="0094577A"/>
    <w:rsid w:val="00950FEA"/>
    <w:rsid w:val="00953E03"/>
    <w:rsid w:val="00975C84"/>
    <w:rsid w:val="00977A13"/>
    <w:rsid w:val="00977E60"/>
    <w:rsid w:val="009A3076"/>
    <w:rsid w:val="009A72B0"/>
    <w:rsid w:val="009B00F5"/>
    <w:rsid w:val="009B2514"/>
    <w:rsid w:val="009B40FD"/>
    <w:rsid w:val="009C7422"/>
    <w:rsid w:val="009D3499"/>
    <w:rsid w:val="009D3746"/>
    <w:rsid w:val="009E3C20"/>
    <w:rsid w:val="009E4A75"/>
    <w:rsid w:val="009E5B74"/>
    <w:rsid w:val="009F1D0B"/>
    <w:rsid w:val="009F5148"/>
    <w:rsid w:val="009F53D4"/>
    <w:rsid w:val="009F7CE9"/>
    <w:rsid w:val="00A030B6"/>
    <w:rsid w:val="00A17A84"/>
    <w:rsid w:val="00A42B48"/>
    <w:rsid w:val="00A679BF"/>
    <w:rsid w:val="00A72C3B"/>
    <w:rsid w:val="00A72EAE"/>
    <w:rsid w:val="00A74FB6"/>
    <w:rsid w:val="00A764FB"/>
    <w:rsid w:val="00A77BCF"/>
    <w:rsid w:val="00A81E9A"/>
    <w:rsid w:val="00A81F9E"/>
    <w:rsid w:val="00AA1DB4"/>
    <w:rsid w:val="00AA6FAB"/>
    <w:rsid w:val="00AB4859"/>
    <w:rsid w:val="00AB7F23"/>
    <w:rsid w:val="00AD3A7F"/>
    <w:rsid w:val="00AD529E"/>
    <w:rsid w:val="00AE50B0"/>
    <w:rsid w:val="00AE7329"/>
    <w:rsid w:val="00AF6230"/>
    <w:rsid w:val="00AF69BC"/>
    <w:rsid w:val="00AF7932"/>
    <w:rsid w:val="00B02DC4"/>
    <w:rsid w:val="00B25E15"/>
    <w:rsid w:val="00B544C8"/>
    <w:rsid w:val="00B55DFE"/>
    <w:rsid w:val="00B55F77"/>
    <w:rsid w:val="00B61AA2"/>
    <w:rsid w:val="00B717C6"/>
    <w:rsid w:val="00B719A6"/>
    <w:rsid w:val="00B81BB2"/>
    <w:rsid w:val="00B87270"/>
    <w:rsid w:val="00BA0C5E"/>
    <w:rsid w:val="00BA17CC"/>
    <w:rsid w:val="00BA1D97"/>
    <w:rsid w:val="00BA67B6"/>
    <w:rsid w:val="00BB2E59"/>
    <w:rsid w:val="00BB7D5A"/>
    <w:rsid w:val="00BD0241"/>
    <w:rsid w:val="00BE6D8A"/>
    <w:rsid w:val="00C0216F"/>
    <w:rsid w:val="00C044B2"/>
    <w:rsid w:val="00C2161E"/>
    <w:rsid w:val="00C2450E"/>
    <w:rsid w:val="00C27A4A"/>
    <w:rsid w:val="00C3320C"/>
    <w:rsid w:val="00C3743F"/>
    <w:rsid w:val="00C3766B"/>
    <w:rsid w:val="00C529DC"/>
    <w:rsid w:val="00C6324E"/>
    <w:rsid w:val="00C713B5"/>
    <w:rsid w:val="00C733DF"/>
    <w:rsid w:val="00C73F99"/>
    <w:rsid w:val="00C9023D"/>
    <w:rsid w:val="00CB0939"/>
    <w:rsid w:val="00CB5887"/>
    <w:rsid w:val="00CC2698"/>
    <w:rsid w:val="00CC2AC0"/>
    <w:rsid w:val="00CC2B1B"/>
    <w:rsid w:val="00CD10E0"/>
    <w:rsid w:val="00CD16A8"/>
    <w:rsid w:val="00CD407A"/>
    <w:rsid w:val="00CD7BDD"/>
    <w:rsid w:val="00CF0DD8"/>
    <w:rsid w:val="00CF53AE"/>
    <w:rsid w:val="00CF62A2"/>
    <w:rsid w:val="00D034E6"/>
    <w:rsid w:val="00D06700"/>
    <w:rsid w:val="00D14815"/>
    <w:rsid w:val="00D15981"/>
    <w:rsid w:val="00D22102"/>
    <w:rsid w:val="00D41F46"/>
    <w:rsid w:val="00D457EC"/>
    <w:rsid w:val="00D47034"/>
    <w:rsid w:val="00D502F1"/>
    <w:rsid w:val="00D55802"/>
    <w:rsid w:val="00D562AA"/>
    <w:rsid w:val="00D67827"/>
    <w:rsid w:val="00D71EEC"/>
    <w:rsid w:val="00D7391A"/>
    <w:rsid w:val="00D75668"/>
    <w:rsid w:val="00D8713D"/>
    <w:rsid w:val="00DA30EB"/>
    <w:rsid w:val="00DA3CC2"/>
    <w:rsid w:val="00DB1585"/>
    <w:rsid w:val="00DB360C"/>
    <w:rsid w:val="00DC2BB6"/>
    <w:rsid w:val="00DD3E2B"/>
    <w:rsid w:val="00DE5845"/>
    <w:rsid w:val="00DF1130"/>
    <w:rsid w:val="00E06B4E"/>
    <w:rsid w:val="00E203AC"/>
    <w:rsid w:val="00E21636"/>
    <w:rsid w:val="00E24AA8"/>
    <w:rsid w:val="00E24F9D"/>
    <w:rsid w:val="00E34EDC"/>
    <w:rsid w:val="00E417DB"/>
    <w:rsid w:val="00E41ECC"/>
    <w:rsid w:val="00E42879"/>
    <w:rsid w:val="00E465BE"/>
    <w:rsid w:val="00E51F48"/>
    <w:rsid w:val="00E576F5"/>
    <w:rsid w:val="00E60066"/>
    <w:rsid w:val="00E60A75"/>
    <w:rsid w:val="00E73F26"/>
    <w:rsid w:val="00E7737D"/>
    <w:rsid w:val="00E84690"/>
    <w:rsid w:val="00E84EF2"/>
    <w:rsid w:val="00E85524"/>
    <w:rsid w:val="00E9239D"/>
    <w:rsid w:val="00E96075"/>
    <w:rsid w:val="00EA5036"/>
    <w:rsid w:val="00EB2966"/>
    <w:rsid w:val="00EB486C"/>
    <w:rsid w:val="00EB5C78"/>
    <w:rsid w:val="00EC4464"/>
    <w:rsid w:val="00ED31F4"/>
    <w:rsid w:val="00EE2527"/>
    <w:rsid w:val="00F00650"/>
    <w:rsid w:val="00F0612B"/>
    <w:rsid w:val="00F169B5"/>
    <w:rsid w:val="00F27A85"/>
    <w:rsid w:val="00F42DB0"/>
    <w:rsid w:val="00F62DEE"/>
    <w:rsid w:val="00F640B3"/>
    <w:rsid w:val="00F71B4B"/>
    <w:rsid w:val="00F71FEE"/>
    <w:rsid w:val="00F72247"/>
    <w:rsid w:val="00F83ECD"/>
    <w:rsid w:val="00F92C4D"/>
    <w:rsid w:val="00FA5EA7"/>
    <w:rsid w:val="00FA7542"/>
    <w:rsid w:val="00FC119D"/>
    <w:rsid w:val="00FD0A3F"/>
    <w:rsid w:val="00FD7413"/>
    <w:rsid w:val="00FE7BB1"/>
    <w:rsid w:val="00FF196C"/>
    <w:rsid w:val="00FF3A4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B3A89"/>
  <w15:docId w15:val="{EB8CAE8C-CE6A-493A-928B-E664B9E5B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D0B"/>
    <w:rPr>
      <w:rFonts w:ascii="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17F1"/>
    <w:pPr>
      <w:ind w:left="720"/>
      <w:contextualSpacing/>
    </w:pPr>
  </w:style>
  <w:style w:type="paragraph" w:styleId="Textedebulles">
    <w:name w:val="Balloon Text"/>
    <w:basedOn w:val="Normal"/>
    <w:link w:val="TextedebullesCar"/>
    <w:uiPriority w:val="99"/>
    <w:semiHidden/>
    <w:unhideWhenUsed/>
    <w:rsid w:val="00D71E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1EEC"/>
    <w:rPr>
      <w:rFonts w:ascii="Tahoma" w:hAnsi="Tahoma" w:cs="Tahoma"/>
      <w:sz w:val="16"/>
      <w:szCs w:val="16"/>
    </w:rPr>
  </w:style>
  <w:style w:type="paragraph" w:styleId="En-tte">
    <w:name w:val="header"/>
    <w:basedOn w:val="Normal"/>
    <w:link w:val="En-tteCar"/>
    <w:uiPriority w:val="99"/>
    <w:unhideWhenUsed/>
    <w:rsid w:val="00685909"/>
    <w:pPr>
      <w:tabs>
        <w:tab w:val="center" w:pos="4536"/>
        <w:tab w:val="right" w:pos="9072"/>
      </w:tabs>
      <w:spacing w:after="0" w:line="240" w:lineRule="auto"/>
    </w:pPr>
  </w:style>
  <w:style w:type="character" w:customStyle="1" w:styleId="En-tteCar">
    <w:name w:val="En-tête Car"/>
    <w:basedOn w:val="Policepardfaut"/>
    <w:link w:val="En-tte"/>
    <w:uiPriority w:val="99"/>
    <w:rsid w:val="00685909"/>
    <w:rPr>
      <w:rFonts w:ascii="Calibri" w:hAnsi="Calibri" w:cs="Arial"/>
    </w:rPr>
  </w:style>
  <w:style w:type="paragraph" w:styleId="Pieddepage">
    <w:name w:val="footer"/>
    <w:basedOn w:val="Normal"/>
    <w:link w:val="PieddepageCar"/>
    <w:uiPriority w:val="99"/>
    <w:unhideWhenUsed/>
    <w:rsid w:val="006859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5909"/>
    <w:rPr>
      <w:rFonts w:ascii="Calibri" w:hAnsi="Calibri" w:cs="Arial"/>
    </w:rPr>
  </w:style>
  <w:style w:type="character" w:customStyle="1" w:styleId="apple-style-span">
    <w:name w:val="apple-style-span"/>
    <w:basedOn w:val="Policepardfaut"/>
    <w:rsid w:val="002F089B"/>
  </w:style>
  <w:style w:type="character" w:customStyle="1" w:styleId="apple-converted-space">
    <w:name w:val="apple-converted-space"/>
    <w:basedOn w:val="Policepardfaut"/>
    <w:rsid w:val="002F089B"/>
  </w:style>
  <w:style w:type="character" w:styleId="Lienhypertexte">
    <w:name w:val="Hyperlink"/>
    <w:basedOn w:val="Policepardfaut"/>
    <w:uiPriority w:val="99"/>
    <w:semiHidden/>
    <w:unhideWhenUsed/>
    <w:rsid w:val="002F08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637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2264">
          <w:marLeft w:val="0"/>
          <w:marRight w:val="0"/>
          <w:marTop w:val="0"/>
          <w:marBottom w:val="0"/>
          <w:divBdr>
            <w:top w:val="none" w:sz="0" w:space="0" w:color="auto"/>
            <w:left w:val="none" w:sz="0" w:space="0" w:color="auto"/>
            <w:bottom w:val="none" w:sz="0" w:space="0" w:color="auto"/>
            <w:right w:val="none" w:sz="0" w:space="0" w:color="auto"/>
          </w:divBdr>
          <w:divsChild>
            <w:div w:id="1083912372">
              <w:marLeft w:val="30"/>
              <w:marRight w:val="30"/>
              <w:marTop w:val="30"/>
              <w:marBottom w:val="30"/>
              <w:divBdr>
                <w:top w:val="single" w:sz="2" w:space="0" w:color="C8CCD1"/>
                <w:left w:val="single" w:sz="2" w:space="0" w:color="C8CCD1"/>
                <w:bottom w:val="single" w:sz="2" w:space="0" w:color="C8CCD1"/>
                <w:right w:val="single" w:sz="2" w:space="0" w:color="C8CCD1"/>
              </w:divBdr>
              <w:divsChild>
                <w:div w:id="192637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09304">
          <w:marLeft w:val="0"/>
          <w:marRight w:val="0"/>
          <w:marTop w:val="0"/>
          <w:marBottom w:val="0"/>
          <w:divBdr>
            <w:top w:val="none" w:sz="0" w:space="0" w:color="auto"/>
            <w:left w:val="none" w:sz="0" w:space="0" w:color="auto"/>
            <w:bottom w:val="none" w:sz="0" w:space="0" w:color="auto"/>
            <w:right w:val="none" w:sz="0" w:space="0" w:color="auto"/>
          </w:divBdr>
          <w:divsChild>
            <w:div w:id="19089925">
              <w:marLeft w:val="30"/>
              <w:marRight w:val="30"/>
              <w:marTop w:val="30"/>
              <w:marBottom w:val="30"/>
              <w:divBdr>
                <w:top w:val="single" w:sz="2" w:space="0" w:color="C8CCD1"/>
                <w:left w:val="single" w:sz="2" w:space="0" w:color="C8CCD1"/>
                <w:bottom w:val="single" w:sz="2" w:space="0" w:color="C8CCD1"/>
                <w:right w:val="single" w:sz="2" w:space="0" w:color="C8CCD1"/>
              </w:divBdr>
              <w:divsChild>
                <w:div w:id="199564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82970">
          <w:marLeft w:val="0"/>
          <w:marRight w:val="0"/>
          <w:marTop w:val="0"/>
          <w:marBottom w:val="0"/>
          <w:divBdr>
            <w:top w:val="none" w:sz="0" w:space="0" w:color="auto"/>
            <w:left w:val="none" w:sz="0" w:space="0" w:color="auto"/>
            <w:bottom w:val="none" w:sz="0" w:space="0" w:color="auto"/>
            <w:right w:val="none" w:sz="0" w:space="0" w:color="auto"/>
          </w:divBdr>
          <w:divsChild>
            <w:div w:id="182518733">
              <w:marLeft w:val="30"/>
              <w:marRight w:val="30"/>
              <w:marTop w:val="30"/>
              <w:marBottom w:val="30"/>
              <w:divBdr>
                <w:top w:val="single" w:sz="2" w:space="0" w:color="C8CCD1"/>
                <w:left w:val="single" w:sz="2" w:space="0" w:color="C8CCD1"/>
                <w:bottom w:val="single" w:sz="2" w:space="0" w:color="C8CCD1"/>
                <w:right w:val="single" w:sz="2" w:space="0" w:color="C8CCD1"/>
              </w:divBdr>
              <w:divsChild>
                <w:div w:id="56865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26814">
          <w:marLeft w:val="0"/>
          <w:marRight w:val="0"/>
          <w:marTop w:val="0"/>
          <w:marBottom w:val="0"/>
          <w:divBdr>
            <w:top w:val="none" w:sz="0" w:space="0" w:color="auto"/>
            <w:left w:val="none" w:sz="0" w:space="0" w:color="auto"/>
            <w:bottom w:val="none" w:sz="0" w:space="0" w:color="auto"/>
            <w:right w:val="none" w:sz="0" w:space="0" w:color="auto"/>
          </w:divBdr>
          <w:divsChild>
            <w:div w:id="1980308366">
              <w:marLeft w:val="30"/>
              <w:marRight w:val="30"/>
              <w:marTop w:val="30"/>
              <w:marBottom w:val="30"/>
              <w:divBdr>
                <w:top w:val="single" w:sz="2" w:space="0" w:color="C8CCD1"/>
                <w:left w:val="single" w:sz="2" w:space="0" w:color="C8CCD1"/>
                <w:bottom w:val="single" w:sz="2" w:space="0" w:color="C8CCD1"/>
                <w:right w:val="single" w:sz="2" w:space="0" w:color="C8CCD1"/>
              </w:divBdr>
              <w:divsChild>
                <w:div w:id="61217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66784">
          <w:marLeft w:val="0"/>
          <w:marRight w:val="0"/>
          <w:marTop w:val="0"/>
          <w:marBottom w:val="0"/>
          <w:divBdr>
            <w:top w:val="none" w:sz="0" w:space="0" w:color="auto"/>
            <w:left w:val="none" w:sz="0" w:space="0" w:color="auto"/>
            <w:bottom w:val="none" w:sz="0" w:space="0" w:color="auto"/>
            <w:right w:val="none" w:sz="0" w:space="0" w:color="auto"/>
          </w:divBdr>
          <w:divsChild>
            <w:div w:id="1165587545">
              <w:marLeft w:val="30"/>
              <w:marRight w:val="30"/>
              <w:marTop w:val="30"/>
              <w:marBottom w:val="30"/>
              <w:divBdr>
                <w:top w:val="single" w:sz="2" w:space="0" w:color="C8CCD1"/>
                <w:left w:val="single" w:sz="2" w:space="0" w:color="C8CCD1"/>
                <w:bottom w:val="single" w:sz="2" w:space="0" w:color="C8CCD1"/>
                <w:right w:val="single" w:sz="2" w:space="0" w:color="C8CCD1"/>
              </w:divBdr>
              <w:divsChild>
                <w:div w:id="20364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35471">
          <w:marLeft w:val="0"/>
          <w:marRight w:val="0"/>
          <w:marTop w:val="0"/>
          <w:marBottom w:val="0"/>
          <w:divBdr>
            <w:top w:val="none" w:sz="0" w:space="0" w:color="auto"/>
            <w:left w:val="none" w:sz="0" w:space="0" w:color="auto"/>
            <w:bottom w:val="none" w:sz="0" w:space="0" w:color="auto"/>
            <w:right w:val="none" w:sz="0" w:space="0" w:color="auto"/>
          </w:divBdr>
          <w:divsChild>
            <w:div w:id="942111989">
              <w:marLeft w:val="30"/>
              <w:marRight w:val="30"/>
              <w:marTop w:val="30"/>
              <w:marBottom w:val="30"/>
              <w:divBdr>
                <w:top w:val="single" w:sz="2" w:space="0" w:color="C8CCD1"/>
                <w:left w:val="single" w:sz="2" w:space="0" w:color="C8CCD1"/>
                <w:bottom w:val="single" w:sz="2" w:space="0" w:color="C8CCD1"/>
                <w:right w:val="single" w:sz="2" w:space="0" w:color="C8CCD1"/>
              </w:divBdr>
              <w:divsChild>
                <w:div w:id="70583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2AF480F06C428C99B2CB0C93F966B6"/>
        <w:category>
          <w:name w:val="Général"/>
          <w:gallery w:val="placeholder"/>
        </w:category>
        <w:types>
          <w:type w:val="bbPlcHdr"/>
        </w:types>
        <w:behaviors>
          <w:behavior w:val="content"/>
        </w:behaviors>
        <w:guid w:val="{FA3203BD-F362-478C-A603-7FD5108E4DF3}"/>
      </w:docPartPr>
      <w:docPartBody>
        <w:p w:rsidR="00F305F7" w:rsidRDefault="00584258" w:rsidP="00584258">
          <w:pPr>
            <w:pStyle w:val="952AF480F06C428C99B2CB0C93F966B6"/>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5C5C"/>
    <w:rsid w:val="000B1CDF"/>
    <w:rsid w:val="000D152B"/>
    <w:rsid w:val="000D6D93"/>
    <w:rsid w:val="00165269"/>
    <w:rsid w:val="00172299"/>
    <w:rsid w:val="001E5E61"/>
    <w:rsid w:val="00245C5C"/>
    <w:rsid w:val="00312A34"/>
    <w:rsid w:val="003842BF"/>
    <w:rsid w:val="00500F80"/>
    <w:rsid w:val="00584258"/>
    <w:rsid w:val="00600D68"/>
    <w:rsid w:val="00716F47"/>
    <w:rsid w:val="00734A2F"/>
    <w:rsid w:val="008B5C7F"/>
    <w:rsid w:val="0092363C"/>
    <w:rsid w:val="00932E41"/>
    <w:rsid w:val="00995FBF"/>
    <w:rsid w:val="00A8157C"/>
    <w:rsid w:val="00A90F90"/>
    <w:rsid w:val="00AC3195"/>
    <w:rsid w:val="00AD0941"/>
    <w:rsid w:val="00B10ADF"/>
    <w:rsid w:val="00BB650D"/>
    <w:rsid w:val="00C04364"/>
    <w:rsid w:val="00D108C0"/>
    <w:rsid w:val="00D30BC4"/>
    <w:rsid w:val="00E84D75"/>
    <w:rsid w:val="00EA74D1"/>
    <w:rsid w:val="00F305F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E725BC3DE434B23A730B61C4357BCF0">
    <w:name w:val="2E725BC3DE434B23A730B61C4357BCF0"/>
    <w:rsid w:val="00245C5C"/>
  </w:style>
  <w:style w:type="paragraph" w:customStyle="1" w:styleId="952AF480F06C428C99B2CB0C93F966B6">
    <w:name w:val="952AF480F06C428C99B2CB0C93F966B6"/>
    <w:rsid w:val="005842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BB967-35E7-4541-9CB0-A02751BC4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6</Pages>
  <Words>1305</Words>
  <Characters>7442</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Université de Abdelhafid Boussouf. Mila                                                 Cours de Biologie moléculaire                                                                                               3ème Année Biochimie</vt:lpstr>
    </vt:vector>
  </TitlesOfParts>
  <Company>Toshiba</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Universitaire Abdelhafid Boussouf. Mila                                    Cours de Biologie moléculaire                                                                                               3ème Année Biochimie</dc:title>
  <dc:creator>AMINAPC</dc:creator>
  <cp:lastModifiedBy>toshiba</cp:lastModifiedBy>
  <cp:revision>47</cp:revision>
  <dcterms:created xsi:type="dcterms:W3CDTF">2020-04-15T08:23:00Z</dcterms:created>
  <dcterms:modified xsi:type="dcterms:W3CDTF">2025-04-15T12:47:00Z</dcterms:modified>
</cp:coreProperties>
</file>