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D9" w:rsidRPr="00BD0DD9" w:rsidRDefault="00BD0DD9" w:rsidP="001D246D">
      <w:pPr>
        <w:spacing w:line="36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D0DD9">
        <w:rPr>
          <w:rFonts w:asciiTheme="majorBidi" w:hAnsiTheme="majorBidi" w:cstheme="majorBidi"/>
          <w:b/>
          <w:bCs/>
          <w:sz w:val="24"/>
          <w:szCs w:val="24"/>
        </w:rPr>
        <w:t>Lecture 2: Discourse and Grammar</w:t>
      </w:r>
    </w:p>
    <w:p w:rsidR="00F672A3" w:rsidRDefault="00B41318" w:rsidP="001D246D">
      <w:pPr>
        <w:spacing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B41318">
        <w:rPr>
          <w:rFonts w:asciiTheme="majorBidi" w:hAnsiTheme="majorBidi" w:cstheme="majorBidi"/>
          <w:sz w:val="24"/>
          <w:szCs w:val="24"/>
        </w:rPr>
        <w:t>Traditionally, grammar refers to the set of rules that govern the way sentences are form</w:t>
      </w:r>
      <w:r w:rsidR="00F672A3">
        <w:rPr>
          <w:rFonts w:asciiTheme="majorBidi" w:hAnsiTheme="majorBidi" w:cstheme="majorBidi"/>
          <w:sz w:val="24"/>
          <w:szCs w:val="24"/>
        </w:rPr>
        <w:t>ed</w:t>
      </w:r>
      <w:r w:rsidRPr="00B41318">
        <w:rPr>
          <w:rFonts w:asciiTheme="majorBidi" w:hAnsiTheme="majorBidi" w:cstheme="majorBidi"/>
          <w:sz w:val="24"/>
          <w:szCs w:val="24"/>
        </w:rPr>
        <w:t xml:space="preserve"> using di</w:t>
      </w:r>
      <w:r w:rsidR="00F672A3">
        <w:rPr>
          <w:rFonts w:asciiTheme="majorBidi" w:hAnsiTheme="majorBidi" w:cstheme="majorBidi"/>
          <w:sz w:val="24"/>
          <w:szCs w:val="24"/>
        </w:rPr>
        <w:t>fferent patterns and structures</w:t>
      </w:r>
      <w:r w:rsidRPr="00B41318">
        <w:rPr>
          <w:rFonts w:asciiTheme="majorBidi" w:hAnsiTheme="majorBidi" w:cstheme="majorBidi"/>
          <w:sz w:val="24"/>
          <w:szCs w:val="24"/>
        </w:rPr>
        <w:t>.</w:t>
      </w:r>
      <w:r w:rsidR="00F672A3">
        <w:rPr>
          <w:rFonts w:asciiTheme="majorBidi" w:hAnsiTheme="majorBidi" w:cstheme="majorBidi"/>
          <w:sz w:val="24"/>
          <w:szCs w:val="24"/>
        </w:rPr>
        <w:t xml:space="preserve"> </w:t>
      </w:r>
      <w:r w:rsidRPr="00B41318">
        <w:rPr>
          <w:rFonts w:asciiTheme="majorBidi" w:hAnsiTheme="majorBidi" w:cstheme="majorBidi"/>
          <w:sz w:val="24"/>
          <w:szCs w:val="24"/>
        </w:rPr>
        <w:t>Emphasis is put on the well-</w:t>
      </w:r>
      <w:proofErr w:type="spellStart"/>
      <w:r w:rsidRPr="00B41318">
        <w:rPr>
          <w:rFonts w:asciiTheme="majorBidi" w:hAnsiTheme="majorBidi" w:cstheme="majorBidi"/>
          <w:sz w:val="24"/>
          <w:szCs w:val="24"/>
        </w:rPr>
        <w:t>formdeness</w:t>
      </w:r>
      <w:proofErr w:type="spellEnd"/>
      <w:r w:rsidRPr="00B41318">
        <w:rPr>
          <w:rFonts w:asciiTheme="majorBidi" w:hAnsiTheme="majorBidi" w:cstheme="majorBidi"/>
          <w:sz w:val="24"/>
          <w:szCs w:val="24"/>
        </w:rPr>
        <w:t xml:space="preserve"> of the resultant constructed items i.e. sentence</w:t>
      </w:r>
      <w:r>
        <w:rPr>
          <w:rFonts w:asciiTheme="majorBidi" w:hAnsiTheme="majorBidi" w:cstheme="majorBidi"/>
          <w:sz w:val="24"/>
          <w:szCs w:val="24"/>
        </w:rPr>
        <w:t>s which express a complete idea.</w:t>
      </w:r>
      <w:r w:rsidR="00F672A3">
        <w:rPr>
          <w:rFonts w:asciiTheme="majorBidi" w:hAnsiTheme="majorBidi" w:cstheme="majorBidi"/>
          <w:sz w:val="24"/>
          <w:szCs w:val="24"/>
        </w:rPr>
        <w:t xml:space="preserve"> There are certain rules to be followed so that the speaker or writer produces correct sentences or utterances. For example, in English a sentence begins with a subject </w:t>
      </w:r>
      <w:proofErr w:type="gramStart"/>
      <w:r w:rsidR="00F672A3">
        <w:rPr>
          <w:rFonts w:asciiTheme="majorBidi" w:hAnsiTheme="majorBidi" w:cstheme="majorBidi"/>
          <w:sz w:val="24"/>
          <w:szCs w:val="24"/>
        </w:rPr>
        <w:t>which</w:t>
      </w:r>
      <w:proofErr w:type="gramEnd"/>
      <w:r w:rsidR="00F672A3">
        <w:rPr>
          <w:rFonts w:asciiTheme="majorBidi" w:hAnsiTheme="majorBidi" w:cstheme="majorBidi"/>
          <w:sz w:val="24"/>
          <w:szCs w:val="24"/>
        </w:rPr>
        <w:t xml:space="preserve"> must have a finite verb then an object or complement. In the interrogative form, however, we make subject-verb inversion. A good example of this:</w:t>
      </w:r>
    </w:p>
    <w:p w:rsidR="004610A1" w:rsidRPr="00F672A3" w:rsidRDefault="00F672A3" w:rsidP="00F672A3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 is ready for the exam</w:t>
      </w:r>
      <w:r w:rsidRPr="00F672A3">
        <w:rPr>
          <w:rFonts w:asciiTheme="majorBidi" w:hAnsiTheme="majorBidi" w:cstheme="majorBidi"/>
          <w:sz w:val="24"/>
          <w:szCs w:val="24"/>
        </w:rPr>
        <w:t>.</w:t>
      </w:r>
    </w:p>
    <w:p w:rsidR="00F672A3" w:rsidRDefault="00F672A3" w:rsidP="00F672A3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Is he ready for the exam?</w:t>
      </w:r>
    </w:p>
    <w:p w:rsidR="00BD0DD9" w:rsidRDefault="00BD0DD9" w:rsidP="00BD0DD9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 discourse analysis, ‘you are ready for the exam?’ can be regarded as a question that needs an answer even if the structure of the sentence is not that of a question.</w:t>
      </w:r>
    </w:p>
    <w:p w:rsidR="00765315" w:rsidRDefault="001D246D" w:rsidP="0076531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  <w:r w:rsidRPr="001D246D">
        <w:rPr>
          <w:rFonts w:asciiTheme="majorBidi" w:hAnsiTheme="majorBidi" w:cstheme="majorBidi"/>
          <w:sz w:val="24"/>
          <w:szCs w:val="24"/>
        </w:rPr>
        <w:t xml:space="preserve">When </w:t>
      </w:r>
      <w:r>
        <w:rPr>
          <w:rFonts w:asciiTheme="majorBidi" w:hAnsiTheme="majorBidi" w:cstheme="majorBidi"/>
          <w:sz w:val="24"/>
          <w:szCs w:val="24"/>
        </w:rPr>
        <w:t>we</w:t>
      </w:r>
      <w:r w:rsidRPr="001D246D">
        <w:rPr>
          <w:rFonts w:asciiTheme="majorBidi" w:hAnsiTheme="majorBidi" w:cstheme="majorBidi"/>
          <w:sz w:val="24"/>
          <w:szCs w:val="24"/>
        </w:rPr>
        <w:t xml:space="preserve"> tr</w:t>
      </w:r>
      <w:r>
        <w:rPr>
          <w:rFonts w:asciiTheme="majorBidi" w:hAnsiTheme="majorBidi" w:cstheme="majorBidi"/>
          <w:sz w:val="24"/>
          <w:szCs w:val="24"/>
        </w:rPr>
        <w:t>y</w:t>
      </w:r>
      <w:r w:rsidRPr="001D246D">
        <w:rPr>
          <w:rFonts w:asciiTheme="majorBidi" w:hAnsiTheme="majorBidi" w:cstheme="majorBidi"/>
          <w:sz w:val="24"/>
          <w:szCs w:val="24"/>
        </w:rPr>
        <w:t xml:space="preserve"> to </w:t>
      </w:r>
      <w:r>
        <w:rPr>
          <w:rFonts w:asciiTheme="majorBidi" w:hAnsiTheme="majorBidi" w:cstheme="majorBidi"/>
          <w:sz w:val="24"/>
          <w:szCs w:val="24"/>
        </w:rPr>
        <w:t xml:space="preserve">account for discourse grammar, we need to bear in mind that a good mastery of English grammar is very essential for communication on the part of the learner. In this lecture, some common terms will be used such as </w:t>
      </w:r>
      <w:r w:rsidRPr="00BD0DD9">
        <w:rPr>
          <w:rFonts w:asciiTheme="majorBidi" w:hAnsiTheme="majorBidi" w:cstheme="majorBidi"/>
          <w:b/>
          <w:bCs/>
          <w:sz w:val="24"/>
          <w:szCs w:val="24"/>
          <w:u w:val="single"/>
        </w:rPr>
        <w:t>clause, pronoun, adverbial, conjunction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B01B3">
        <w:rPr>
          <w:rFonts w:asciiTheme="majorBidi" w:hAnsiTheme="majorBidi" w:cstheme="majorBidi"/>
          <w:sz w:val="24"/>
          <w:szCs w:val="24"/>
        </w:rPr>
        <w:t xml:space="preserve">in addition to </w:t>
      </w:r>
      <w:r>
        <w:rPr>
          <w:rFonts w:asciiTheme="majorBidi" w:hAnsiTheme="majorBidi" w:cstheme="majorBidi"/>
          <w:sz w:val="24"/>
          <w:szCs w:val="24"/>
        </w:rPr>
        <w:t xml:space="preserve">other </w:t>
      </w:r>
      <w:r w:rsidRPr="001D246D">
        <w:rPr>
          <w:rFonts w:asciiTheme="majorBidi" w:hAnsiTheme="majorBidi" w:cstheme="majorBidi"/>
          <w:b/>
          <w:bCs/>
          <w:sz w:val="24"/>
          <w:szCs w:val="24"/>
        </w:rPr>
        <w:t>new terms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DB01B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theme, </w:t>
      </w:r>
      <w:proofErr w:type="spellStart"/>
      <w:r w:rsidRPr="00DB01B3">
        <w:rPr>
          <w:rFonts w:asciiTheme="majorBidi" w:hAnsiTheme="majorBidi" w:cstheme="majorBidi"/>
          <w:b/>
          <w:bCs/>
          <w:i/>
          <w:iCs/>
          <w:sz w:val="24"/>
          <w:szCs w:val="24"/>
        </w:rPr>
        <w:t>rheme</w:t>
      </w:r>
      <w:proofErr w:type="spellEnd"/>
      <w:r w:rsidRPr="00DB01B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, reference, anaphoric. </w:t>
      </w:r>
      <w:r w:rsidR="00DB01B3">
        <w:rPr>
          <w:rFonts w:asciiTheme="majorBidi" w:hAnsiTheme="majorBidi" w:cstheme="majorBidi"/>
          <w:sz w:val="24"/>
          <w:szCs w:val="24"/>
        </w:rPr>
        <w:t>The learner will get familiar with these new terms through relating them to the earlier, more common ones. This, on part,</w:t>
      </w:r>
      <w:r w:rsidR="008C5377">
        <w:rPr>
          <w:rFonts w:asciiTheme="majorBidi" w:hAnsiTheme="majorBidi" w:cstheme="majorBidi"/>
          <w:sz w:val="24"/>
          <w:szCs w:val="24"/>
        </w:rPr>
        <w:t xml:space="preserve"> will help make the connection between </w:t>
      </w:r>
      <w:r w:rsidR="008C5377" w:rsidRPr="00BD0DD9">
        <w:rPr>
          <w:rFonts w:asciiTheme="majorBidi" w:hAnsiTheme="majorBidi" w:cstheme="majorBidi"/>
          <w:b/>
          <w:bCs/>
          <w:sz w:val="24"/>
          <w:szCs w:val="24"/>
          <w:u w:val="single"/>
        </w:rPr>
        <w:t>grammar</w:t>
      </w:r>
      <w:r w:rsidR="008C5377">
        <w:rPr>
          <w:rFonts w:asciiTheme="majorBidi" w:hAnsiTheme="majorBidi" w:cstheme="majorBidi"/>
          <w:sz w:val="24"/>
          <w:szCs w:val="24"/>
        </w:rPr>
        <w:t xml:space="preserve"> and </w:t>
      </w:r>
      <w:r w:rsidR="008C5377" w:rsidRPr="00BD0DD9">
        <w:rPr>
          <w:rFonts w:asciiTheme="majorBidi" w:hAnsiTheme="majorBidi" w:cstheme="majorBidi"/>
          <w:b/>
          <w:bCs/>
          <w:i/>
          <w:iCs/>
          <w:sz w:val="24"/>
          <w:szCs w:val="24"/>
        </w:rPr>
        <w:t>discourse.</w:t>
      </w:r>
      <w:r w:rsidR="008C5377">
        <w:rPr>
          <w:rFonts w:asciiTheme="majorBidi" w:hAnsiTheme="majorBidi" w:cstheme="majorBidi"/>
          <w:sz w:val="24"/>
          <w:szCs w:val="24"/>
        </w:rPr>
        <w:t xml:space="preserve"> </w:t>
      </w:r>
      <w:r w:rsidR="00DB01B3">
        <w:rPr>
          <w:rFonts w:asciiTheme="majorBidi" w:hAnsiTheme="majorBidi" w:cstheme="majorBidi"/>
          <w:sz w:val="24"/>
          <w:szCs w:val="24"/>
        </w:rPr>
        <w:t xml:space="preserve"> </w:t>
      </w:r>
      <w:r w:rsidR="00765315">
        <w:rPr>
          <w:rFonts w:asciiTheme="majorBidi" w:hAnsiTheme="majorBidi" w:cstheme="majorBidi"/>
          <w:sz w:val="24"/>
          <w:szCs w:val="24"/>
        </w:rPr>
        <w:t>“</w:t>
      </w:r>
      <w:r w:rsidR="00765315">
        <w:rPr>
          <w:rFonts w:ascii="Times New Roman" w:hAnsi="Times New Roman" w:cs="Times New Roman"/>
          <w:sz w:val="27"/>
          <w:szCs w:val="27"/>
        </w:rPr>
        <w:t>We sha</w:t>
      </w:r>
      <w:r w:rsidR="00765315">
        <w:rPr>
          <w:rFonts w:ascii="Times New Roman" w:hAnsi="Times New Roman" w:cs="Times New Roman"/>
          <w:sz w:val="27"/>
          <w:szCs w:val="27"/>
        </w:rPr>
        <w:t xml:space="preserve">ll be looking at “what discourse </w:t>
      </w:r>
      <w:r w:rsidR="00765315">
        <w:rPr>
          <w:rFonts w:ascii="Times New Roman" w:hAnsi="Times New Roman" w:cs="Times New Roman"/>
          <w:sz w:val="27"/>
          <w:szCs w:val="27"/>
        </w:rPr>
        <w:t xml:space="preserve">analysts can tell us about </w:t>
      </w:r>
      <w:proofErr w:type="spellStart"/>
      <w:r w:rsidR="00765315">
        <w:rPr>
          <w:rFonts w:ascii="Times New Roman" w:hAnsi="Times New Roman" w:cs="Times New Roman"/>
          <w:sz w:val="27"/>
          <w:szCs w:val="27"/>
        </w:rPr>
        <w:t>contextualised</w:t>
      </w:r>
      <w:proofErr w:type="spellEnd"/>
      <w:r w:rsidR="00765315">
        <w:rPr>
          <w:rFonts w:ascii="Times New Roman" w:hAnsi="Times New Roman" w:cs="Times New Roman"/>
          <w:sz w:val="27"/>
          <w:szCs w:val="27"/>
        </w:rPr>
        <w:t xml:space="preserve"> uses of structures and grammatical</w:t>
      </w:r>
    </w:p>
    <w:p w:rsidR="001D246D" w:rsidRPr="00765315" w:rsidRDefault="00765315" w:rsidP="007653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items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, and considering whether </w:t>
      </w:r>
      <w:r>
        <w:rPr>
          <w:rFonts w:ascii="Times New Roman" w:hAnsi="Times New Roman" w:cs="Times New Roman"/>
          <w:sz w:val="27"/>
          <w:szCs w:val="27"/>
        </w:rPr>
        <w:t>gram</w:t>
      </w:r>
      <w:r>
        <w:rPr>
          <w:rFonts w:ascii="Times New Roman" w:hAnsi="Times New Roman" w:cs="Times New Roman"/>
          <w:sz w:val="27"/>
          <w:szCs w:val="27"/>
        </w:rPr>
        <w:t>mar teaching</w:t>
      </w:r>
      <w:r>
        <w:rPr>
          <w:rFonts w:ascii="Times New Roman" w:hAnsi="Times New Roman" w:cs="Times New Roman"/>
          <w:sz w:val="27"/>
          <w:szCs w:val="27"/>
        </w:rPr>
        <w:t xml:space="preserve"> needs to broaden or shift its orientations to cover signifi</w:t>
      </w:r>
      <w:r>
        <w:rPr>
          <w:rFonts w:ascii="Times New Roman" w:hAnsi="Times New Roman" w:cs="Times New Roman"/>
          <w:sz w:val="27"/>
          <w:szCs w:val="27"/>
        </w:rPr>
        <w:t xml:space="preserve">cant areas </w:t>
      </w:r>
      <w:r>
        <w:rPr>
          <w:rFonts w:ascii="Times New Roman" w:hAnsi="Times New Roman" w:cs="Times New Roman"/>
          <w:sz w:val="27"/>
          <w:szCs w:val="27"/>
        </w:rPr>
        <w:t xml:space="preserve">at present under-represented in </w:t>
      </w:r>
      <w:r>
        <w:rPr>
          <w:rFonts w:ascii="Times New Roman" w:hAnsi="Times New Roman" w:cs="Times New Roman"/>
          <w:sz w:val="27"/>
          <w:szCs w:val="27"/>
        </w:rPr>
        <w:t>grammar teaching.</w:t>
      </w:r>
      <w:r>
        <w:rPr>
          <w:rFonts w:ascii="Times New Roman" w:hAnsi="Times New Roman" w:cs="Times New Roman"/>
          <w:sz w:val="27"/>
          <w:szCs w:val="27"/>
        </w:rPr>
        <w:t>”</w:t>
      </w:r>
      <w:r w:rsidR="00E178DA">
        <w:rPr>
          <w:rFonts w:ascii="Times New Roman" w:hAnsi="Times New Roman" w:cs="Times New Roman"/>
          <w:sz w:val="27"/>
          <w:szCs w:val="27"/>
        </w:rPr>
        <w:t xml:space="preserve"> McC</w:t>
      </w:r>
      <w:r>
        <w:rPr>
          <w:rFonts w:ascii="Times New Roman" w:hAnsi="Times New Roman" w:cs="Times New Roman"/>
          <w:sz w:val="27"/>
          <w:szCs w:val="27"/>
        </w:rPr>
        <w:t xml:space="preserve">arthy </w:t>
      </w:r>
      <w:r w:rsidR="00E178DA">
        <w:rPr>
          <w:rFonts w:ascii="Times New Roman" w:hAnsi="Times New Roman" w:cs="Times New Roman"/>
          <w:sz w:val="27"/>
          <w:szCs w:val="27"/>
        </w:rPr>
        <w:t>(1991</w:t>
      </w:r>
      <w:r>
        <w:rPr>
          <w:rFonts w:ascii="Times New Roman" w:hAnsi="Times New Roman" w:cs="Times New Roman"/>
          <w:sz w:val="27"/>
          <w:szCs w:val="27"/>
        </w:rPr>
        <w:t>:34)</w:t>
      </w:r>
      <w:r w:rsidR="00E178DA">
        <w:rPr>
          <w:rFonts w:ascii="Times New Roman" w:hAnsi="Times New Roman" w:cs="Times New Roman"/>
          <w:sz w:val="27"/>
          <w:szCs w:val="27"/>
        </w:rPr>
        <w:t>. In fact, any learner of a foreign language should develop a good command grammar through producing well-formed clauses and sentences. Additionally, he/she should move to a higher level of competency which is structuring larger units of discourse.</w:t>
      </w:r>
    </w:p>
    <w:p w:rsidR="00765315" w:rsidRPr="00DB01B3" w:rsidRDefault="00765315" w:rsidP="00DB01B3">
      <w:pPr>
        <w:spacing w:line="360" w:lineRule="auto"/>
        <w:ind w:firstLine="360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990E61" w:rsidRDefault="00990E61" w:rsidP="00B4131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434DA8" w:rsidRDefault="00434DA8" w:rsidP="00434DA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34ADD" w:rsidRPr="00990E61" w:rsidRDefault="00990E61" w:rsidP="00AE399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90E61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Grammatical cohesion and </w:t>
      </w:r>
      <w:proofErr w:type="spellStart"/>
      <w:r w:rsidR="00AE3993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990E61">
        <w:rPr>
          <w:rFonts w:asciiTheme="majorBidi" w:hAnsiTheme="majorBidi" w:cstheme="majorBidi"/>
          <w:b/>
          <w:bCs/>
          <w:sz w:val="24"/>
          <w:szCs w:val="24"/>
        </w:rPr>
        <w:t>extuality</w:t>
      </w:r>
      <w:proofErr w:type="spellEnd"/>
      <w:r w:rsidRPr="00990E61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9C1121" w:rsidRDefault="00AE3993" w:rsidP="009C112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E3993">
        <w:rPr>
          <w:rFonts w:asciiTheme="majorBidi" w:hAnsiTheme="majorBidi" w:cstheme="majorBidi"/>
          <w:sz w:val="24"/>
          <w:szCs w:val="24"/>
        </w:rPr>
        <w:t xml:space="preserve">When speakers and writers communicate their ideas, they </w:t>
      </w:r>
      <w:r>
        <w:rPr>
          <w:rFonts w:asciiTheme="majorBidi" w:hAnsiTheme="majorBidi" w:cstheme="majorBidi"/>
          <w:sz w:val="24"/>
          <w:szCs w:val="24"/>
        </w:rPr>
        <w:t xml:space="preserve">tend to establish </w:t>
      </w:r>
      <w:r w:rsidRPr="00AE3993">
        <w:rPr>
          <w:rFonts w:asciiTheme="majorBidi" w:hAnsiTheme="majorBidi" w:cstheme="majorBidi"/>
          <w:b/>
          <w:bCs/>
          <w:sz w:val="24"/>
          <w:szCs w:val="24"/>
        </w:rPr>
        <w:t>grammatical links</w:t>
      </w:r>
      <w:r>
        <w:rPr>
          <w:rFonts w:asciiTheme="majorBidi" w:hAnsiTheme="majorBidi" w:cstheme="majorBidi"/>
          <w:sz w:val="24"/>
          <w:szCs w:val="24"/>
        </w:rPr>
        <w:t xml:space="preserve"> between the sentences or utterances they produce. These links are done through: reference, ellipsis/substitution, and conjunction.</w:t>
      </w:r>
      <w:r w:rsidR="002611F4">
        <w:rPr>
          <w:rFonts w:asciiTheme="majorBidi" w:hAnsiTheme="majorBidi" w:cstheme="majorBidi"/>
          <w:sz w:val="24"/>
          <w:szCs w:val="24"/>
        </w:rPr>
        <w:t xml:space="preserve"> </w:t>
      </w:r>
    </w:p>
    <w:p w:rsidR="009C1121" w:rsidRPr="003B2292" w:rsidRDefault="009C1121" w:rsidP="009C1121">
      <w:pPr>
        <w:pStyle w:val="Paragraphedeliste"/>
        <w:numPr>
          <w:ilvl w:val="1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B2292">
        <w:rPr>
          <w:rFonts w:asciiTheme="majorBidi" w:hAnsiTheme="majorBidi" w:cstheme="majorBidi"/>
          <w:b/>
          <w:bCs/>
          <w:sz w:val="24"/>
          <w:szCs w:val="24"/>
        </w:rPr>
        <w:t>Reference</w:t>
      </w:r>
    </w:p>
    <w:p w:rsidR="005928AE" w:rsidRDefault="0056495F" w:rsidP="009C112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C1121">
        <w:rPr>
          <w:rFonts w:asciiTheme="majorBidi" w:hAnsiTheme="majorBidi" w:cstheme="majorBidi"/>
          <w:sz w:val="24"/>
          <w:szCs w:val="24"/>
        </w:rPr>
        <w:t xml:space="preserve">In </w:t>
      </w:r>
      <w:r w:rsidR="009C1121" w:rsidRPr="009C1121">
        <w:rPr>
          <w:rFonts w:asciiTheme="majorBidi" w:hAnsiTheme="majorBidi" w:cstheme="majorBidi"/>
          <w:sz w:val="24"/>
          <w:szCs w:val="24"/>
        </w:rPr>
        <w:t>fact, there are two different views regarding reference</w:t>
      </w:r>
      <w:r w:rsidR="009C1121">
        <w:rPr>
          <w:rFonts w:asciiTheme="majorBidi" w:hAnsiTheme="majorBidi" w:cstheme="majorBidi"/>
          <w:sz w:val="24"/>
          <w:szCs w:val="24"/>
        </w:rPr>
        <w:t xml:space="preserve">. According to Lyons words refer to things. This traditional linguistic view excludes the role of the speaker or writer. </w:t>
      </w:r>
      <w:r w:rsidR="005928AE">
        <w:rPr>
          <w:rFonts w:asciiTheme="majorBidi" w:hAnsiTheme="majorBidi" w:cstheme="majorBidi"/>
          <w:sz w:val="24"/>
          <w:szCs w:val="24"/>
        </w:rPr>
        <w:t>Consider the following example:</w:t>
      </w:r>
    </w:p>
    <w:p w:rsidR="005928AE" w:rsidRDefault="005928AE" w:rsidP="005928A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John is a teacher. </w:t>
      </w:r>
      <w:r w:rsidRPr="005928AE">
        <w:rPr>
          <w:rFonts w:asciiTheme="majorBidi" w:hAnsiTheme="majorBidi" w:cstheme="majorBidi"/>
          <w:sz w:val="24"/>
          <w:szCs w:val="24"/>
          <w:u w:val="single"/>
        </w:rPr>
        <w:t>He</w:t>
      </w:r>
      <w:r>
        <w:rPr>
          <w:rFonts w:asciiTheme="majorBidi" w:hAnsiTheme="majorBidi" w:cstheme="majorBidi"/>
          <w:sz w:val="24"/>
          <w:szCs w:val="24"/>
        </w:rPr>
        <w:t xml:space="preserve"> is thirty five. </w:t>
      </w:r>
      <w:r w:rsidRPr="005928AE">
        <w:rPr>
          <w:rFonts w:asciiTheme="majorBidi" w:hAnsiTheme="majorBidi" w:cstheme="majorBidi"/>
          <w:sz w:val="24"/>
          <w:szCs w:val="24"/>
          <w:u w:val="single"/>
        </w:rPr>
        <w:t>He</w:t>
      </w:r>
      <w:r>
        <w:rPr>
          <w:rFonts w:asciiTheme="majorBidi" w:hAnsiTheme="majorBidi" w:cstheme="majorBidi"/>
          <w:sz w:val="24"/>
          <w:szCs w:val="24"/>
        </w:rPr>
        <w:t xml:space="preserve"> lives in France.</w:t>
      </w:r>
    </w:p>
    <w:p w:rsidR="005928AE" w:rsidRDefault="005928AE" w:rsidP="005928A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pronoun he refers to John.</w:t>
      </w:r>
    </w:p>
    <w:p w:rsidR="003B2292" w:rsidRDefault="009C1121" w:rsidP="003B229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More recently, however, Lyons indicated that people refer to things through words because words cannot refer to thing</w:t>
      </w:r>
      <w:r w:rsidR="005928AE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by themselves.</w:t>
      </w:r>
      <w:r w:rsidR="005928AE">
        <w:rPr>
          <w:rFonts w:asciiTheme="majorBidi" w:hAnsiTheme="majorBidi" w:cstheme="majorBidi"/>
          <w:sz w:val="24"/>
          <w:szCs w:val="24"/>
        </w:rPr>
        <w:t xml:space="preserve"> It is this view that a research analyst should have. This can be supported by </w:t>
      </w:r>
      <w:proofErr w:type="spellStart"/>
      <w:r w:rsidR="003B2292">
        <w:rPr>
          <w:rFonts w:asciiTheme="majorBidi" w:hAnsiTheme="majorBidi" w:cstheme="majorBidi"/>
          <w:sz w:val="24"/>
          <w:szCs w:val="24"/>
        </w:rPr>
        <w:t>Strawson’s</w:t>
      </w:r>
      <w:proofErr w:type="spellEnd"/>
      <w:r w:rsidR="003B2292">
        <w:rPr>
          <w:rFonts w:asciiTheme="majorBidi" w:hAnsiTheme="majorBidi" w:cstheme="majorBidi"/>
          <w:sz w:val="24"/>
          <w:szCs w:val="24"/>
        </w:rPr>
        <w:t xml:space="preserve"> (1950) claiming that “referring” is something an expression does. It is something that someone can use an expression to do’. Therefore, from a discourse analyst viewpoint it is the speaker or the writer who refers to entities in the world by means of words.</w:t>
      </w:r>
      <w:r w:rsidR="005647CB">
        <w:rPr>
          <w:rFonts w:asciiTheme="majorBidi" w:hAnsiTheme="majorBidi" w:cstheme="majorBidi"/>
          <w:sz w:val="24"/>
          <w:szCs w:val="24"/>
        </w:rPr>
        <w:t xml:space="preserve"> Brown and Yule (1983)</w:t>
      </w:r>
    </w:p>
    <w:p w:rsidR="003B2292" w:rsidRDefault="003B2292" w:rsidP="003B229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Now, reconsider the previous example: John is a teacher. He is thirty five. </w:t>
      </w:r>
    </w:p>
    <w:p w:rsidR="00534ADD" w:rsidRDefault="00434DA8" w:rsidP="003B229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C1121">
        <w:rPr>
          <w:rFonts w:asciiTheme="majorBidi" w:hAnsiTheme="majorBidi" w:cstheme="majorBidi"/>
          <w:sz w:val="24"/>
          <w:szCs w:val="24"/>
        </w:rPr>
        <w:t xml:space="preserve">  </w:t>
      </w:r>
      <w:r w:rsidR="003B2292">
        <w:rPr>
          <w:rFonts w:asciiTheme="majorBidi" w:hAnsiTheme="majorBidi" w:cstheme="majorBidi"/>
          <w:sz w:val="24"/>
          <w:szCs w:val="24"/>
        </w:rPr>
        <w:t xml:space="preserve">From a discourse analyst stance, </w:t>
      </w:r>
      <w:r w:rsidR="00CA6162">
        <w:rPr>
          <w:rFonts w:asciiTheme="majorBidi" w:hAnsiTheme="majorBidi" w:cstheme="majorBidi"/>
          <w:sz w:val="24"/>
          <w:szCs w:val="24"/>
        </w:rPr>
        <w:t xml:space="preserve">it is the </w:t>
      </w:r>
      <w:r w:rsidR="00CA6162" w:rsidRPr="00CA6162">
        <w:rPr>
          <w:rFonts w:asciiTheme="majorBidi" w:hAnsiTheme="majorBidi" w:cstheme="majorBidi"/>
          <w:b/>
          <w:bCs/>
          <w:sz w:val="24"/>
          <w:szCs w:val="24"/>
          <w:u w:val="single"/>
        </w:rPr>
        <w:t>writer</w:t>
      </w:r>
      <w:r w:rsidR="00CA6162" w:rsidRPr="00CA6162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CA6162">
        <w:rPr>
          <w:rFonts w:asciiTheme="majorBidi" w:hAnsiTheme="majorBidi" w:cstheme="majorBidi"/>
          <w:sz w:val="24"/>
          <w:szCs w:val="24"/>
        </w:rPr>
        <w:t>who used “</w:t>
      </w:r>
      <w:r w:rsidR="00CA6162" w:rsidRPr="00CA6162">
        <w:rPr>
          <w:rFonts w:asciiTheme="majorBidi" w:hAnsiTheme="majorBidi" w:cstheme="majorBidi"/>
          <w:b/>
          <w:bCs/>
          <w:sz w:val="24"/>
          <w:szCs w:val="24"/>
        </w:rPr>
        <w:t>John</w:t>
      </w:r>
      <w:r w:rsidR="00CA6162">
        <w:rPr>
          <w:rFonts w:asciiTheme="majorBidi" w:hAnsiTheme="majorBidi" w:cstheme="majorBidi"/>
          <w:sz w:val="24"/>
          <w:szCs w:val="24"/>
        </w:rPr>
        <w:t xml:space="preserve"> and </w:t>
      </w:r>
      <w:r w:rsidR="00CA6162" w:rsidRPr="00CA6162">
        <w:rPr>
          <w:rFonts w:asciiTheme="majorBidi" w:hAnsiTheme="majorBidi" w:cstheme="majorBidi"/>
          <w:b/>
          <w:bCs/>
          <w:sz w:val="24"/>
          <w:szCs w:val="24"/>
        </w:rPr>
        <w:t>he</w:t>
      </w:r>
      <w:r w:rsidR="00CA6162">
        <w:rPr>
          <w:rFonts w:asciiTheme="majorBidi" w:hAnsiTheme="majorBidi" w:cstheme="majorBidi"/>
          <w:sz w:val="24"/>
          <w:szCs w:val="24"/>
        </w:rPr>
        <w:t xml:space="preserve">” to </w:t>
      </w:r>
      <w:r w:rsidR="00CA6162" w:rsidRPr="00CA6162">
        <w:rPr>
          <w:rFonts w:asciiTheme="majorBidi" w:hAnsiTheme="majorBidi" w:cstheme="majorBidi"/>
          <w:b/>
          <w:bCs/>
          <w:sz w:val="24"/>
          <w:szCs w:val="24"/>
          <w:u w:val="single"/>
        </w:rPr>
        <w:t>refer</w:t>
      </w:r>
      <w:r w:rsidR="00CA6162" w:rsidRPr="00CA6162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CA6162">
        <w:rPr>
          <w:rFonts w:asciiTheme="majorBidi" w:hAnsiTheme="majorBidi" w:cstheme="majorBidi"/>
          <w:sz w:val="24"/>
          <w:szCs w:val="24"/>
        </w:rPr>
        <w:t>to the same person.</w:t>
      </w:r>
    </w:p>
    <w:p w:rsidR="00534ADD" w:rsidRDefault="005647CB" w:rsidP="0081521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 English, the pronouns (he, she, it, him, his, they, </w:t>
      </w:r>
      <w:proofErr w:type="spellStart"/>
      <w:r>
        <w:rPr>
          <w:rFonts w:asciiTheme="majorBidi" w:hAnsiTheme="majorBidi" w:cstheme="majorBidi"/>
          <w:sz w:val="24"/>
          <w:szCs w:val="24"/>
        </w:rPr>
        <w:t>etc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in addition to demonstrative pronouns (this, that, these, those) and the article “the” are all reference items. </w:t>
      </w:r>
      <w:r w:rsidR="00815212">
        <w:rPr>
          <w:rFonts w:asciiTheme="majorBidi" w:hAnsiTheme="majorBidi" w:cstheme="majorBidi"/>
          <w:sz w:val="24"/>
          <w:szCs w:val="24"/>
        </w:rPr>
        <w:t xml:space="preserve">  </w:t>
      </w:r>
      <w:bookmarkStart w:id="0" w:name="_GoBack"/>
      <w:bookmarkEnd w:id="0"/>
    </w:p>
    <w:p w:rsidR="00534ADD" w:rsidRDefault="00534ADD" w:rsidP="00B4131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34ADD" w:rsidRDefault="00534ADD" w:rsidP="00B4131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34ADD" w:rsidRDefault="00534ADD" w:rsidP="00B4131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34ADD" w:rsidRDefault="00534ADD" w:rsidP="00B4131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34ADD" w:rsidRPr="00B41318" w:rsidRDefault="00534ADD" w:rsidP="00B4131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534ADD" w:rsidRPr="00B41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667BF"/>
    <w:multiLevelType w:val="hybridMultilevel"/>
    <w:tmpl w:val="A5228FFA"/>
    <w:lvl w:ilvl="0" w:tplc="0DEA2D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17D65"/>
    <w:multiLevelType w:val="multilevel"/>
    <w:tmpl w:val="B42A2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318"/>
    <w:rsid w:val="000B25E9"/>
    <w:rsid w:val="001D246D"/>
    <w:rsid w:val="002611F4"/>
    <w:rsid w:val="0029580C"/>
    <w:rsid w:val="003000D3"/>
    <w:rsid w:val="003B2292"/>
    <w:rsid w:val="00434DA8"/>
    <w:rsid w:val="004610A1"/>
    <w:rsid w:val="00534ADD"/>
    <w:rsid w:val="005647CB"/>
    <w:rsid w:val="0056495F"/>
    <w:rsid w:val="005928AE"/>
    <w:rsid w:val="00765315"/>
    <w:rsid w:val="00815212"/>
    <w:rsid w:val="008C5377"/>
    <w:rsid w:val="00976202"/>
    <w:rsid w:val="00990E61"/>
    <w:rsid w:val="009C1121"/>
    <w:rsid w:val="00AE3993"/>
    <w:rsid w:val="00B41318"/>
    <w:rsid w:val="00BD0DD9"/>
    <w:rsid w:val="00CA6162"/>
    <w:rsid w:val="00CA7F61"/>
    <w:rsid w:val="00DB01B3"/>
    <w:rsid w:val="00E178DA"/>
    <w:rsid w:val="00F6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7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7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2025-03-17T09:47:00Z</dcterms:created>
  <dcterms:modified xsi:type="dcterms:W3CDTF">2025-03-20T06:40:00Z</dcterms:modified>
</cp:coreProperties>
</file>