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9C789">
      <w:pPr>
        <w:keepNext w:val="0"/>
        <w:keepLines w:val="0"/>
        <w:widowControl/>
        <w:suppressLineNumbers w:val="0"/>
        <w:jc w:val="left"/>
      </w:pPr>
      <w:r>
        <w:rPr>
          <w:rFonts w:hint="default" w:ascii="Times New Roman" w:hAnsi="Times New Roman" w:eastAsia="SimSun" w:cs="Times New Roman"/>
          <w:b/>
          <w:bCs/>
          <w:color w:val="000000"/>
          <w:kern w:val="0"/>
          <w:sz w:val="28"/>
          <w:szCs w:val="28"/>
          <w:lang w:val="en-US" w:eastAsia="zh-CN" w:bidi="ar"/>
        </w:rPr>
        <w:t xml:space="preserve">VII. Aspect génétique : conformité du matériel reproduit in vitro </w:t>
      </w:r>
    </w:p>
    <w:p w14:paraId="5A67991A">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4D88FA7C">
      <w:pPr>
        <w:keepNext w:val="0"/>
        <w:keepLines w:val="0"/>
        <w:widowControl/>
        <w:numPr>
          <w:ilvl w:val="0"/>
          <w:numId w:val="1"/>
        </w:numPr>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La </w:t>
      </w:r>
      <w:r>
        <w:rPr>
          <w:rFonts w:hint="default" w:ascii="Times New Roman" w:hAnsi="Times New Roman" w:eastAsia="SimSun" w:cs="Times New Roman"/>
          <w:b/>
          <w:bCs/>
          <w:i/>
          <w:iCs/>
          <w:color w:val="000000"/>
          <w:kern w:val="0"/>
          <w:sz w:val="24"/>
          <w:szCs w:val="24"/>
          <w:lang w:val="en-US" w:eastAsia="zh-CN" w:bidi="ar"/>
        </w:rPr>
        <w:t xml:space="preserve">culture in vitro de tissus végétaux est à l'origine de variations somaclonales </w:t>
      </w:r>
    </w:p>
    <w:p w14:paraId="4350AB3E">
      <w:pPr>
        <w:keepNext w:val="0"/>
        <w:keepLines w:val="0"/>
        <w:widowControl/>
        <w:numPr>
          <w:numId w:val="0"/>
        </w:numPr>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au sein des plantes néoformées après passage par un stade cal. Ces variations font l'objet d'études en vue de leur utilisation pour l'amélioration des plantes. </w:t>
      </w:r>
    </w:p>
    <w:p w14:paraId="6617AE5E">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Les variations somaclonales sont de deux types : </w:t>
      </w:r>
    </w:p>
    <w:p w14:paraId="53F42356">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 Variations épigénétiques </w:t>
      </w:r>
    </w:p>
    <w:p w14:paraId="6AB5BF05">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 Variations somaclonales et gamétoclonales </w:t>
      </w:r>
    </w:p>
    <w:p w14:paraId="5CE38132">
      <w:pPr>
        <w:keepNext w:val="0"/>
        <w:keepLines w:val="0"/>
        <w:widowControl/>
        <w:suppressLineNumbers w:val="0"/>
        <w:spacing w:line="360" w:lineRule="auto"/>
        <w:jc w:val="left"/>
      </w:pPr>
      <w:r>
        <w:rPr>
          <w:rFonts w:hint="default" w:ascii="Times New Roman" w:hAnsi="Times New Roman" w:eastAsia="SimSun" w:cs="Times New Roman"/>
          <w:b/>
          <w:bCs/>
          <w:color w:val="000000"/>
          <w:kern w:val="0"/>
          <w:sz w:val="24"/>
          <w:szCs w:val="24"/>
          <w:lang w:val="en-US" w:eastAsia="zh-CN" w:bidi="ar"/>
        </w:rPr>
        <w:t xml:space="preserve">Variations épigénétiques </w:t>
      </w:r>
      <w:r>
        <w:rPr>
          <w:rFonts w:hint="default" w:ascii="Times New Roman" w:hAnsi="Times New Roman" w:eastAsia="SimSun" w:cs="Times New Roman"/>
          <w:color w:val="000000"/>
          <w:kern w:val="0"/>
          <w:sz w:val="24"/>
          <w:szCs w:val="24"/>
          <w:lang w:val="en-US" w:eastAsia="zh-CN" w:bidi="ar"/>
        </w:rPr>
        <w:t xml:space="preserve">: </w:t>
      </w:r>
    </w:p>
    <w:p w14:paraId="45DBB003">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Les variations épigénétiques sont dues à l’environnement physico chimique de la </w:t>
      </w:r>
    </w:p>
    <w:p w14:paraId="01DA35D9">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culture </w:t>
      </w:r>
      <w:r>
        <w:rPr>
          <w:rFonts w:hint="default" w:ascii="Times New Roman" w:hAnsi="Times New Roman" w:eastAsia="SimSun" w:cs="Times New Roman"/>
          <w:i/>
          <w:iCs/>
          <w:color w:val="000000"/>
          <w:kern w:val="0"/>
          <w:sz w:val="24"/>
          <w:szCs w:val="24"/>
          <w:lang w:val="en-US" w:eastAsia="zh-CN" w:bidi="ar"/>
        </w:rPr>
        <w:t xml:space="preserve">in vitro </w:t>
      </w:r>
      <w:r>
        <w:rPr>
          <w:rFonts w:hint="default" w:ascii="Times New Roman" w:hAnsi="Times New Roman" w:eastAsia="SimSun" w:cs="Times New Roman"/>
          <w:color w:val="000000"/>
          <w:kern w:val="0"/>
          <w:sz w:val="24"/>
          <w:szCs w:val="24"/>
          <w:lang w:val="en-US" w:eastAsia="zh-CN" w:bidi="ar"/>
        </w:rPr>
        <w:t xml:space="preserve">comme une composition du milieu devenue mal adaptée avec l’allongement </w:t>
      </w:r>
    </w:p>
    <w:p w14:paraId="718E2E4D">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du temps de culture entrainant : </w:t>
      </w:r>
    </w:p>
    <w:p w14:paraId="41A6DECA">
      <w:pPr>
        <w:keepNext w:val="0"/>
        <w:keepLines w:val="0"/>
        <w:widowControl/>
        <w:suppressLineNumbers w:val="0"/>
        <w:spacing w:line="360" w:lineRule="auto"/>
        <w:jc w:val="left"/>
      </w:pPr>
      <w:r>
        <w:rPr>
          <w:rFonts w:ascii="Microsoft JhengHei" w:hAnsi="Microsoft JhengHei" w:eastAsia="Microsoft JhengHei" w:cs="Microsoft JhengHei"/>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L'épuisement de certains éléments, acidité, pression osmotique etc… </w:t>
      </w:r>
    </w:p>
    <w:p w14:paraId="3E9EC874">
      <w:pPr>
        <w:keepNext w:val="0"/>
        <w:keepLines w:val="0"/>
        <w:widowControl/>
        <w:suppressLineNumbers w:val="0"/>
        <w:spacing w:line="360" w:lineRule="auto"/>
        <w:jc w:val="left"/>
      </w:pPr>
      <w:r>
        <w:rPr>
          <w:rFonts w:hint="eastAsia" w:ascii="Microsoft JhengHei" w:hAnsi="Microsoft JhengHei" w:eastAsia="Microsoft JhengHei" w:cs="Microsoft JhengHei"/>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La compétition entre les structures tissulaires ou les plantules dans un espace devenu </w:t>
      </w:r>
      <w:r>
        <w:rPr>
          <w:rFonts w:hint="default" w:ascii="Times New Roman" w:hAnsi="Times New Roman" w:eastAsia="SimSun" w:cs="Times New Roman"/>
          <w:color w:val="000000"/>
          <w:kern w:val="0"/>
          <w:sz w:val="24"/>
          <w:szCs w:val="24"/>
          <w:lang w:val="fr-FR" w:eastAsia="zh-CN" w:bidi="ar"/>
        </w:rPr>
        <w:t xml:space="preserve"> </w:t>
      </w:r>
      <w:r>
        <w:rPr>
          <w:rFonts w:hint="default" w:ascii="Times New Roman" w:hAnsi="Times New Roman" w:eastAsia="SimSun" w:cs="Times New Roman"/>
          <w:color w:val="000000"/>
          <w:kern w:val="0"/>
          <w:sz w:val="24"/>
          <w:szCs w:val="24"/>
          <w:lang w:val="en-US" w:eastAsia="zh-CN" w:bidi="ar"/>
        </w:rPr>
        <w:t xml:space="preserve">trop réduit. Les variations épigénétiques disparaissent en général après le repiquage ou après le </w:t>
      </w:r>
    </w:p>
    <w:p w14:paraId="3F49CEBC">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sevrage. Même si elles persistent, elles </w:t>
      </w:r>
      <w:r>
        <w:rPr>
          <w:rFonts w:hint="default" w:ascii="Times New Roman" w:hAnsi="Times New Roman" w:eastAsia="SimSun" w:cs="Times New Roman"/>
          <w:b/>
          <w:bCs/>
          <w:color w:val="000000"/>
          <w:kern w:val="0"/>
          <w:sz w:val="24"/>
          <w:szCs w:val="24"/>
          <w:lang w:val="en-US" w:eastAsia="zh-CN" w:bidi="ar"/>
        </w:rPr>
        <w:t xml:space="preserve">ne se transmettront pas </w:t>
      </w:r>
      <w:r>
        <w:rPr>
          <w:rFonts w:hint="default" w:ascii="Times New Roman" w:hAnsi="Times New Roman" w:eastAsia="SimSun" w:cs="Times New Roman"/>
          <w:color w:val="000000"/>
          <w:kern w:val="0"/>
          <w:sz w:val="24"/>
          <w:szCs w:val="24"/>
          <w:lang w:val="en-US" w:eastAsia="zh-CN" w:bidi="ar"/>
        </w:rPr>
        <w:t xml:space="preserve">à la descendance. </w:t>
      </w:r>
    </w:p>
    <w:p w14:paraId="5740D32D">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b/>
          <w:bCs/>
          <w:color w:val="000000"/>
          <w:kern w:val="0"/>
          <w:sz w:val="24"/>
          <w:szCs w:val="24"/>
          <w:lang w:val="en-US" w:eastAsia="zh-CN" w:bidi="ar"/>
        </w:rPr>
        <w:t xml:space="preserve">Variations somaclonales ou gamétoglonales: </w:t>
      </w:r>
    </w:p>
    <w:p w14:paraId="35D08FC3">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Les variations somaclonales sont des variations </w:t>
      </w:r>
      <w:r>
        <w:rPr>
          <w:rFonts w:hint="default" w:ascii="Times New Roman" w:hAnsi="Times New Roman" w:eastAsia="SimSun" w:cs="Times New Roman"/>
          <w:b/>
          <w:bCs/>
          <w:color w:val="000000"/>
          <w:kern w:val="0"/>
          <w:sz w:val="24"/>
          <w:szCs w:val="24"/>
          <w:lang w:val="en-US" w:eastAsia="zh-CN" w:bidi="ar"/>
        </w:rPr>
        <w:t xml:space="preserve">stables </w:t>
      </w:r>
      <w:r>
        <w:rPr>
          <w:rFonts w:hint="default" w:ascii="Times New Roman" w:hAnsi="Times New Roman" w:eastAsia="SimSun" w:cs="Times New Roman"/>
          <w:color w:val="000000"/>
          <w:kern w:val="0"/>
          <w:sz w:val="24"/>
          <w:szCs w:val="24"/>
          <w:lang w:val="en-US" w:eastAsia="zh-CN" w:bidi="ar"/>
        </w:rPr>
        <w:t xml:space="preserve">et sont </w:t>
      </w:r>
      <w:r>
        <w:rPr>
          <w:rFonts w:hint="default" w:ascii="Times New Roman" w:hAnsi="Times New Roman" w:eastAsia="SimSun" w:cs="Times New Roman"/>
          <w:b/>
          <w:bCs/>
          <w:color w:val="000000"/>
          <w:kern w:val="0"/>
          <w:sz w:val="24"/>
          <w:szCs w:val="24"/>
          <w:lang w:val="en-US" w:eastAsia="zh-CN" w:bidi="ar"/>
        </w:rPr>
        <w:t xml:space="preserve">transmises à la </w:t>
      </w:r>
    </w:p>
    <w:p w14:paraId="33225884">
      <w:pPr>
        <w:keepNext w:val="0"/>
        <w:keepLines w:val="0"/>
        <w:widowControl/>
        <w:suppressLineNumbers w:val="0"/>
        <w:spacing w:line="360" w:lineRule="auto"/>
        <w:jc w:val="left"/>
      </w:pPr>
      <w:r>
        <w:rPr>
          <w:rFonts w:hint="default" w:ascii="Times New Roman" w:hAnsi="Times New Roman" w:eastAsia="SimSun" w:cs="Times New Roman"/>
          <w:b/>
          <w:bCs/>
          <w:color w:val="000000"/>
          <w:kern w:val="0"/>
          <w:sz w:val="24"/>
          <w:szCs w:val="24"/>
          <w:lang w:val="en-US" w:eastAsia="zh-CN" w:bidi="ar"/>
        </w:rPr>
        <w:t xml:space="preserve">descendance </w:t>
      </w:r>
      <w:r>
        <w:rPr>
          <w:rFonts w:hint="default" w:ascii="Times New Roman" w:hAnsi="Times New Roman" w:eastAsia="SimSun" w:cs="Times New Roman"/>
          <w:color w:val="000000"/>
          <w:kern w:val="0"/>
          <w:sz w:val="24"/>
          <w:szCs w:val="24"/>
          <w:lang w:val="en-US" w:eastAsia="zh-CN" w:bidi="ar"/>
        </w:rPr>
        <w:t xml:space="preserve">par croisement et par culture </w:t>
      </w:r>
      <w:r>
        <w:rPr>
          <w:rFonts w:hint="default" w:ascii="Times New Roman" w:hAnsi="Times New Roman" w:eastAsia="SimSun" w:cs="Times New Roman"/>
          <w:i/>
          <w:iCs/>
          <w:color w:val="000000"/>
          <w:kern w:val="0"/>
          <w:sz w:val="24"/>
          <w:szCs w:val="24"/>
          <w:lang w:val="en-US" w:eastAsia="zh-CN" w:bidi="ar"/>
        </w:rPr>
        <w:t>in vitro</w:t>
      </w:r>
      <w:r>
        <w:rPr>
          <w:rFonts w:hint="default" w:ascii="Times New Roman" w:hAnsi="Times New Roman" w:eastAsia="SimSun" w:cs="Times New Roman"/>
          <w:color w:val="000000"/>
          <w:kern w:val="0"/>
          <w:sz w:val="24"/>
          <w:szCs w:val="24"/>
          <w:lang w:val="en-US" w:eastAsia="zh-CN" w:bidi="ar"/>
        </w:rPr>
        <w:t xml:space="preserve">. </w:t>
      </w:r>
    </w:p>
    <w:p w14:paraId="77B5FCC3">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Les </w:t>
      </w:r>
      <w:r>
        <w:rPr>
          <w:rFonts w:hint="default" w:ascii="Times New Roman" w:hAnsi="Times New Roman" w:eastAsia="SimSun" w:cs="Times New Roman"/>
          <w:b/>
          <w:bCs/>
          <w:color w:val="000000"/>
          <w:kern w:val="0"/>
          <w:sz w:val="24"/>
          <w:szCs w:val="24"/>
          <w:lang w:val="en-US" w:eastAsia="zh-CN" w:bidi="ar"/>
        </w:rPr>
        <w:t xml:space="preserve">variations gamétoclonales </w:t>
      </w:r>
      <w:r>
        <w:rPr>
          <w:rFonts w:hint="default" w:ascii="Times New Roman" w:hAnsi="Times New Roman" w:eastAsia="SimSun" w:cs="Times New Roman"/>
          <w:color w:val="000000"/>
          <w:kern w:val="0"/>
          <w:sz w:val="24"/>
          <w:szCs w:val="24"/>
          <w:lang w:val="en-US" w:eastAsia="zh-CN" w:bidi="ar"/>
        </w:rPr>
        <w:t xml:space="preserve">sont observées dans les cultures visant </w:t>
      </w:r>
      <w:r>
        <w:rPr>
          <w:rFonts w:hint="default" w:ascii="Times New Roman" w:hAnsi="Times New Roman" w:eastAsia="SimSun" w:cs="Times New Roman"/>
          <w:color w:val="000000"/>
          <w:kern w:val="0"/>
          <w:sz w:val="24"/>
          <w:szCs w:val="24"/>
          <w:lang w:val="fr-FR" w:eastAsia="zh-CN" w:bidi="ar"/>
        </w:rPr>
        <w:t xml:space="preserve"> </w:t>
      </w:r>
      <w:r>
        <w:rPr>
          <w:rFonts w:hint="default" w:ascii="Times New Roman" w:hAnsi="Times New Roman" w:eastAsia="SimSun" w:cs="Times New Roman"/>
          <w:color w:val="000000"/>
          <w:kern w:val="0"/>
          <w:sz w:val="24"/>
          <w:szCs w:val="24"/>
          <w:lang w:val="en-US" w:eastAsia="zh-CN" w:bidi="ar"/>
        </w:rPr>
        <w:t xml:space="preserve">l’haplodiploïdisation. </w:t>
      </w:r>
    </w:p>
    <w:p w14:paraId="7E16EC10">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Les variations somaclonales sont des modifications qui touchent le génome nucléaire ou </w:t>
      </w:r>
    </w:p>
    <w:p w14:paraId="5AFB13CA">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cytoplasmique par : </w:t>
      </w:r>
    </w:p>
    <w:p w14:paraId="548638AB">
      <w:pPr>
        <w:keepNext w:val="0"/>
        <w:keepLines w:val="0"/>
        <w:widowControl/>
        <w:suppressLineNumbers w:val="0"/>
        <w:spacing w:line="360" w:lineRule="auto"/>
        <w:jc w:val="left"/>
      </w:pPr>
      <w:r>
        <w:rPr>
          <w:rFonts w:hint="eastAsia" w:ascii="Microsoft JhengHei" w:hAnsi="Microsoft JhengHei" w:eastAsia="Microsoft JhengHei" w:cs="Microsoft JhengHei"/>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Mutations ponctuelles. </w:t>
      </w:r>
      <w:r>
        <w:rPr>
          <w:rFonts w:hint="default" w:ascii="Times New Roman" w:hAnsi="Times New Roman" w:eastAsia="SimSun" w:cs="Times New Roman"/>
          <w:color w:val="000000"/>
          <w:kern w:val="0"/>
          <w:sz w:val="24"/>
          <w:szCs w:val="24"/>
          <w:lang w:val="fr-FR" w:eastAsia="zh-CN" w:bidi="ar"/>
        </w:rPr>
        <w:t xml:space="preserve"> </w:t>
      </w:r>
      <w:r>
        <w:rPr>
          <w:rFonts w:hint="eastAsia" w:ascii="Microsoft JhengHei" w:hAnsi="Microsoft JhengHei" w:eastAsia="Microsoft JhengHei" w:cs="Microsoft JhengHei"/>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Modifications de séquences : délétions, additions ou inversions de séquences nucléotidiques. </w:t>
      </w:r>
    </w:p>
    <w:p w14:paraId="270DAF5A">
      <w:pPr>
        <w:keepNext w:val="0"/>
        <w:keepLines w:val="0"/>
        <w:widowControl/>
        <w:suppressLineNumbers w:val="0"/>
        <w:spacing w:line="360" w:lineRule="auto"/>
        <w:jc w:val="left"/>
      </w:pPr>
      <w:r>
        <w:rPr>
          <w:rFonts w:hint="eastAsia" w:ascii="Microsoft JhengHei" w:hAnsi="Microsoft JhengHei" w:eastAsia="Microsoft JhengHei" w:cs="Microsoft JhengHei"/>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Polyploïdie </w:t>
      </w:r>
      <w:r>
        <w:rPr>
          <w:rFonts w:hint="default" w:ascii="Times New Roman" w:hAnsi="Times New Roman" w:eastAsia="SimSun" w:cs="Times New Roman"/>
          <w:color w:val="000000"/>
          <w:kern w:val="0"/>
          <w:sz w:val="24"/>
          <w:szCs w:val="24"/>
          <w:lang w:val="fr-FR" w:eastAsia="zh-CN" w:bidi="ar"/>
        </w:rPr>
        <w:t xml:space="preserve"> </w:t>
      </w:r>
      <w:r>
        <w:rPr>
          <w:rFonts w:hint="eastAsia" w:ascii="Microsoft JhengHei" w:hAnsi="Microsoft JhengHei" w:eastAsia="Microsoft JhengHei" w:cs="Microsoft JhengHei"/>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Aneuploïdie (l'aneuploïdie concerne les cellules qui ne possède pas le nombre normal </w:t>
      </w:r>
    </w:p>
    <w:p w14:paraId="083C2568">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de chromosomes qui n’est pas un multiple du nombre haploïde) </w:t>
      </w:r>
    </w:p>
    <w:p w14:paraId="1F6B7FE3">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La fréquence des variations somaclonales dépend de plusieurs facteurs dont les </w:t>
      </w:r>
    </w:p>
    <w:p w14:paraId="69985086">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principaux sont : </w:t>
      </w:r>
    </w:p>
    <w:p w14:paraId="3FD24800">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 Le génotype </w:t>
      </w:r>
      <w:r>
        <w:rPr>
          <w:rFonts w:hint="default" w:ascii="Times New Roman" w:hAnsi="Times New Roman" w:eastAsia="SimSun" w:cs="Times New Roman"/>
          <w:color w:val="000000"/>
          <w:kern w:val="0"/>
          <w:sz w:val="24"/>
          <w:szCs w:val="24"/>
          <w:lang w:val="fr-FR" w:eastAsia="zh-CN" w:bidi="ar"/>
        </w:rPr>
        <w:t xml:space="preserve"> </w:t>
      </w:r>
      <w:r>
        <w:rPr>
          <w:rFonts w:hint="default" w:ascii="Times New Roman" w:hAnsi="Times New Roman" w:eastAsia="SimSun" w:cs="Times New Roman"/>
          <w:color w:val="000000"/>
          <w:kern w:val="0"/>
          <w:sz w:val="24"/>
          <w:szCs w:val="24"/>
          <w:lang w:val="en-US" w:eastAsia="zh-CN" w:bidi="ar"/>
        </w:rPr>
        <w:t xml:space="preserve">- La technique de culture et l’explant utilisé. </w:t>
      </w:r>
    </w:p>
    <w:p w14:paraId="42956F2E">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 La composition du milieu de culture. </w:t>
      </w:r>
      <w:r>
        <w:rPr>
          <w:rFonts w:hint="default" w:ascii="Times New Roman" w:hAnsi="Times New Roman" w:eastAsia="SimSun" w:cs="Times New Roman"/>
          <w:color w:val="000000"/>
          <w:kern w:val="0"/>
          <w:sz w:val="24"/>
          <w:szCs w:val="24"/>
          <w:lang w:val="fr-FR" w:eastAsia="zh-CN" w:bidi="ar"/>
        </w:rPr>
        <w:t xml:space="preserve"> </w:t>
      </w:r>
      <w:r>
        <w:rPr>
          <w:rFonts w:hint="default" w:ascii="Times New Roman" w:hAnsi="Times New Roman" w:eastAsia="SimSun" w:cs="Times New Roman"/>
          <w:color w:val="000000"/>
          <w:kern w:val="0"/>
          <w:sz w:val="24"/>
          <w:szCs w:val="24"/>
          <w:lang w:val="en-US" w:eastAsia="zh-CN" w:bidi="ar"/>
        </w:rPr>
        <w:t xml:space="preserve">- La durée de la culture </w:t>
      </w:r>
    </w:p>
    <w:p w14:paraId="438906EB">
      <w:pPr>
        <w:keepNext w:val="0"/>
        <w:keepLines w:val="0"/>
        <w:widowControl/>
        <w:suppressLineNumbers w:val="0"/>
        <w:spacing w:line="360" w:lineRule="auto"/>
        <w:jc w:val="left"/>
      </w:pPr>
      <w:r>
        <w:rPr>
          <w:rFonts w:hint="default" w:ascii="Times New Roman" w:hAnsi="Times New Roman" w:eastAsia="SimSun" w:cs="Times New Roman"/>
          <w:b/>
          <w:bCs/>
          <w:color w:val="000000"/>
          <w:kern w:val="0"/>
          <w:sz w:val="24"/>
          <w:szCs w:val="24"/>
          <w:lang w:val="en-US" w:eastAsia="zh-CN" w:bidi="ar"/>
        </w:rPr>
        <w:t xml:space="preserve">Avantages et inconvénients des variations somaclonales </w:t>
      </w:r>
    </w:p>
    <w:p w14:paraId="297F58ED">
      <w:pPr>
        <w:keepNext w:val="0"/>
        <w:keepLines w:val="0"/>
        <w:widowControl/>
        <w:suppressLineNumbers w:val="0"/>
        <w:spacing w:line="360" w:lineRule="auto"/>
        <w:jc w:val="left"/>
      </w:pPr>
      <w:r>
        <w:rPr>
          <w:rFonts w:hint="default" w:ascii="Times New Roman" w:hAnsi="Times New Roman" w:eastAsia="SimSun" w:cs="Times New Roman"/>
          <w:b/>
          <w:bCs/>
          <w:color w:val="000000"/>
          <w:kern w:val="0"/>
          <w:sz w:val="24"/>
          <w:szCs w:val="24"/>
          <w:lang w:val="en-US" w:eastAsia="zh-CN" w:bidi="ar"/>
        </w:rPr>
        <w:t xml:space="preserve">Avantages des variations somaclonales: </w:t>
      </w:r>
    </w:p>
    <w:p w14:paraId="258408A1">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Les variations somaclonales peuvent être intéressantes pour enrichir la base génétique </w:t>
      </w:r>
    </w:p>
    <w:p w14:paraId="5EA77050">
      <w:pPr>
        <w:keepNext w:val="0"/>
        <w:keepLines w:val="0"/>
        <w:widowControl/>
        <w:suppressLineNumbers w:val="0"/>
        <w:spacing w:line="360" w:lineRule="auto"/>
        <w:ind w:left="120" w:hanging="120" w:hangingChars="50"/>
        <w:jc w:val="left"/>
      </w:pPr>
      <w:r>
        <w:rPr>
          <w:rFonts w:hint="default" w:ascii="Times New Roman" w:hAnsi="Times New Roman" w:eastAsia="SimSun" w:cs="Times New Roman"/>
          <w:color w:val="000000"/>
          <w:kern w:val="0"/>
          <w:sz w:val="24"/>
          <w:szCs w:val="24"/>
          <w:lang w:val="en-US" w:eastAsia="zh-CN" w:bidi="ar"/>
        </w:rPr>
        <w:t>de la plante. En effet, certains variants sont résistants à des stress comme la salinité, la</w:t>
      </w:r>
      <w:r>
        <w:rPr>
          <w:rFonts w:hint="default" w:ascii="Times New Roman" w:hAnsi="Times New Roman" w:eastAsia="SimSun" w:cs="Times New Roman"/>
          <w:color w:val="000000"/>
          <w:kern w:val="0"/>
          <w:sz w:val="24"/>
          <w:szCs w:val="24"/>
          <w:lang w:val="fr-FR" w:eastAsia="zh-CN" w:bidi="ar"/>
        </w:rPr>
        <w:t xml:space="preserve"> </w:t>
      </w:r>
      <w:r>
        <w:rPr>
          <w:rFonts w:hint="default" w:ascii="Times New Roman" w:hAnsi="Times New Roman" w:eastAsia="SimSun" w:cs="Times New Roman"/>
          <w:color w:val="000000"/>
          <w:kern w:val="0"/>
          <w:sz w:val="24"/>
          <w:szCs w:val="24"/>
          <w:lang w:val="en-US" w:eastAsia="zh-CN" w:bidi="ar"/>
        </w:rPr>
        <w:t xml:space="preserve">sécheresse ou certains pathogènes. </w:t>
      </w:r>
    </w:p>
    <w:p w14:paraId="78A179C6">
      <w:pPr>
        <w:keepNext w:val="0"/>
        <w:keepLines w:val="0"/>
        <w:widowControl/>
        <w:suppressLineNumbers w:val="0"/>
        <w:spacing w:line="360" w:lineRule="auto"/>
        <w:jc w:val="left"/>
      </w:pPr>
      <w:r>
        <w:rPr>
          <w:rFonts w:hint="default" w:ascii="Times New Roman" w:hAnsi="Times New Roman" w:eastAsia="SimSun" w:cs="Times New Roman"/>
          <w:color w:val="000000"/>
          <w:kern w:val="0"/>
          <w:sz w:val="24"/>
          <w:szCs w:val="24"/>
          <w:lang w:val="en-US" w:eastAsia="zh-CN" w:bidi="ar"/>
        </w:rPr>
        <w:t xml:space="preserve">L’application de </w:t>
      </w:r>
      <w:r>
        <w:rPr>
          <w:rFonts w:hint="default" w:ascii="Times New Roman" w:hAnsi="Times New Roman" w:eastAsia="SimSun" w:cs="Times New Roman"/>
          <w:b/>
          <w:bCs/>
          <w:color w:val="000000"/>
          <w:kern w:val="0"/>
          <w:sz w:val="24"/>
          <w:szCs w:val="24"/>
          <w:lang w:val="en-US" w:eastAsia="zh-CN" w:bidi="ar"/>
        </w:rPr>
        <w:t xml:space="preserve">pressions de sélection </w:t>
      </w:r>
      <w:r>
        <w:rPr>
          <w:rFonts w:hint="default" w:ascii="Times New Roman" w:hAnsi="Times New Roman" w:eastAsia="SimSun" w:cs="Times New Roman"/>
          <w:color w:val="000000"/>
          <w:kern w:val="0"/>
          <w:sz w:val="24"/>
          <w:szCs w:val="24"/>
          <w:lang w:val="en-US" w:eastAsia="zh-CN" w:bidi="ar"/>
        </w:rPr>
        <w:t xml:space="preserve">permet de sélectionner ces variants </w:t>
      </w:r>
    </w:p>
    <w:p w14:paraId="15AA346B">
      <w:pPr>
        <w:keepNext w:val="0"/>
        <w:keepLines w:val="0"/>
        <w:widowControl/>
        <w:suppressLineNumbers w:val="0"/>
        <w:spacing w:line="360" w:lineRule="auto"/>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somaclonaux.</w:t>
      </w:r>
    </w:p>
    <w:p w14:paraId="613F3F30">
      <w:pPr>
        <w:keepNext w:val="0"/>
        <w:keepLines w:val="0"/>
        <w:widowControl/>
        <w:suppressLineNumbers w:val="0"/>
        <w:spacing w:line="360" w:lineRule="auto"/>
        <w:jc w:val="left"/>
        <w:rPr>
          <w:rFonts w:hint="default" w:ascii="Times New Roman" w:hAnsi="Times New Roman" w:eastAsia="SimSun" w:cs="Times New Roman"/>
          <w:color w:val="000000"/>
          <w:kern w:val="0"/>
          <w:sz w:val="24"/>
          <w:szCs w:val="24"/>
          <w:lang w:val="en-US" w:eastAsia="zh-CN" w:bidi="ar"/>
        </w:rPr>
      </w:pPr>
    </w:p>
    <w:p w14:paraId="2E9F9186">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10B39388">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794AF032">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50CC348F">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626B8162">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drawing>
          <wp:inline distT="0" distB="0" distL="114300" distR="114300">
            <wp:extent cx="4318000" cy="5635625"/>
            <wp:effectExtent l="0" t="0" r="6350" b="3175"/>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pic:cNvPicPr>
                      <a:picLocks noChangeAspect="1"/>
                    </pic:cNvPicPr>
                  </pic:nvPicPr>
                  <pic:blipFill>
                    <a:blip r:embed="rId6"/>
                    <a:stretch>
                      <a:fillRect/>
                    </a:stretch>
                  </pic:blipFill>
                  <pic:spPr>
                    <a:xfrm>
                      <a:off x="0" y="0"/>
                      <a:ext cx="4318000" cy="5635625"/>
                    </a:xfrm>
                    <a:prstGeom prst="rect">
                      <a:avLst/>
                    </a:prstGeom>
                    <a:noFill/>
                    <a:ln>
                      <a:noFill/>
                    </a:ln>
                  </pic:spPr>
                </pic:pic>
              </a:graphicData>
            </a:graphic>
          </wp:inline>
        </w:drawing>
      </w:r>
    </w:p>
    <w:p w14:paraId="49046481">
      <w:pPr>
        <w:keepNext w:val="0"/>
        <w:keepLines w:val="0"/>
        <w:widowControl/>
        <w:suppressLineNumbers w:val="0"/>
        <w:jc w:val="center"/>
      </w:pPr>
      <w:r>
        <w:rPr>
          <w:rFonts w:hint="default" w:ascii="Times New Roman" w:hAnsi="Times New Roman" w:eastAsia="SimSun" w:cs="Times New Roman"/>
          <w:b/>
          <w:bCs/>
          <w:color w:val="000000"/>
          <w:kern w:val="0"/>
          <w:sz w:val="24"/>
          <w:szCs w:val="24"/>
          <w:lang w:val="en-US" w:eastAsia="zh-CN" w:bidi="ar"/>
        </w:rPr>
        <w:t>Figure 18 : la variation somaclonales</w:t>
      </w:r>
    </w:p>
    <w:p w14:paraId="261BF1E3">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0CAEF84F">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6DB90879">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Inconvénients des variations somaclonales</w:t>
      </w:r>
      <w:r>
        <w:rPr>
          <w:rFonts w:hint="default" w:ascii="Times New Roman" w:hAnsi="Times New Roman" w:eastAsia="SimSun" w:cs="Times New Roman"/>
          <w:color w:val="000000"/>
          <w:kern w:val="0"/>
          <w:sz w:val="24"/>
          <w:szCs w:val="24"/>
          <w:lang w:val="en-US" w:eastAsia="zh-CN" w:bidi="ar"/>
        </w:rPr>
        <w:t xml:space="preserve">: </w:t>
      </w:r>
    </w:p>
    <w:p w14:paraId="32FF2D11">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 Introduction de caractéristiques indésirables dans les plantes. </w:t>
      </w:r>
    </w:p>
    <w:p w14:paraId="457386B3">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Les variants peuvent être produits de manière aléatoire et peuvent donc être </w:t>
      </w:r>
    </w:p>
    <w:p w14:paraId="10A5053C">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génétiquement instables. </w:t>
      </w:r>
    </w:p>
    <w:p w14:paraId="1B34881F">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Cela nécessite plusieurs séries d'essais sur le terrain. </w:t>
      </w:r>
    </w:p>
    <w:p w14:paraId="6A62FDDD">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 Les variantes développées par variation somaclonale peuvent avoir un effet pléitropique </w:t>
      </w:r>
    </w:p>
    <w:p w14:paraId="0F634AA0">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(touchant plusieurs caractères). </w:t>
      </w:r>
    </w:p>
    <w:p w14:paraId="4D178FB3">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 Les variations somaclonales ne sont pas utilisées pour les caractères agronomiques </w:t>
      </w:r>
    </w:p>
    <w:p w14:paraId="12D95107">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complexes, tels que le rendement et la qualité des plantes</w:t>
      </w:r>
    </w:p>
    <w:p w14:paraId="15503DBC">
      <w:pPr>
        <w:jc w:val="both"/>
        <w:rPr>
          <w:rFonts w:hint="default" w:asciiTheme="majorBidi" w:hAnsiTheme="majorBidi" w:cstheme="majorBidi"/>
          <w:b/>
          <w:bCs/>
          <w:color w:val="000000"/>
          <w:sz w:val="24"/>
          <w:szCs w:val="24"/>
          <w:lang w:val="fr-FR"/>
        </w:rPr>
      </w:pPr>
    </w:p>
    <w:p w14:paraId="0F25F6A1">
      <w:pPr>
        <w:jc w:val="both"/>
        <w:rPr>
          <w:rFonts w:hint="default" w:asciiTheme="majorBidi" w:hAnsiTheme="majorBidi" w:cstheme="majorBidi"/>
          <w:b/>
          <w:bCs/>
          <w:color w:val="000000"/>
          <w:sz w:val="24"/>
          <w:szCs w:val="24"/>
          <w:lang w:val="fr-FR"/>
        </w:rPr>
      </w:pPr>
      <w:r>
        <w:rPr>
          <w:rFonts w:hint="default" w:asciiTheme="majorBidi" w:hAnsiTheme="majorBidi" w:cstheme="majorBidi"/>
          <w:b/>
          <w:bCs/>
          <w:color w:val="000000"/>
          <w:sz w:val="24"/>
          <w:szCs w:val="24"/>
          <w:lang w:val="fr-FR"/>
        </w:rPr>
        <w:t>2-</w:t>
      </w:r>
      <w:r>
        <w:rPr>
          <w:rFonts w:asciiTheme="majorBidi" w:hAnsiTheme="majorBidi" w:cstheme="majorBidi"/>
          <w:b/>
          <w:bCs/>
          <w:color w:val="000000"/>
          <w:sz w:val="24"/>
          <w:szCs w:val="24"/>
        </w:rPr>
        <w:t xml:space="preserve">Méthodes de </w:t>
      </w:r>
      <w:r>
        <w:rPr>
          <w:rFonts w:hint="default" w:asciiTheme="majorBidi" w:hAnsiTheme="majorBidi" w:cstheme="majorBidi"/>
          <w:b/>
          <w:bCs/>
          <w:color w:val="000000"/>
          <w:sz w:val="24"/>
          <w:szCs w:val="24"/>
          <w:lang w:val="fr-FR"/>
        </w:rPr>
        <w:t>modification</w:t>
      </w:r>
      <w:r>
        <w:rPr>
          <w:rFonts w:asciiTheme="majorBidi" w:hAnsiTheme="majorBidi" w:cstheme="majorBidi"/>
          <w:b/>
          <w:bCs/>
          <w:color w:val="000000"/>
          <w:sz w:val="24"/>
          <w:szCs w:val="24"/>
        </w:rPr>
        <w:t xml:space="preserve"> de gènes chez les plantes</w:t>
      </w:r>
      <w:r>
        <w:rPr>
          <w:rFonts w:hint="default" w:asciiTheme="majorBidi" w:hAnsiTheme="majorBidi" w:cstheme="majorBidi"/>
          <w:b/>
          <w:bCs/>
          <w:color w:val="000000"/>
          <w:sz w:val="24"/>
          <w:szCs w:val="24"/>
          <w:lang w:val="fr-FR"/>
        </w:rPr>
        <w:t xml:space="preserve">par transgénése </w:t>
      </w:r>
    </w:p>
    <w:p w14:paraId="1FC7ED34">
      <w:pPr>
        <w:spacing w:before="0" w:beforeAutospacing="0" w:after="0" w:afterAutospacing="0" w:line="360" w:lineRule="auto"/>
        <w:jc w:val="both"/>
        <w:rPr>
          <w:rFonts w:ascii="Times New Roman" w:hAnsi="Times New Roman"/>
        </w:rPr>
      </w:pPr>
      <w:r>
        <w:rPr>
          <w:rFonts w:ascii="Times-Italic" w:hAnsi="Times-Italic"/>
          <w:i/>
          <w:iCs/>
          <w:color w:val="000000"/>
        </w:rPr>
        <w:t>Agrobacterium tumefaciens</w:t>
      </w:r>
      <w:r>
        <w:rPr>
          <w:rFonts w:ascii="Times-Roman" w:hAnsi="Times-Roman"/>
          <w:color w:val="000000"/>
        </w:rPr>
        <w:t xml:space="preserve"> est une bactérie isolée pour la première fois en 1907 dans un fragment de galle par Smith et Townsend sous le nom de </w:t>
      </w:r>
      <w:r>
        <w:rPr>
          <w:rFonts w:ascii="Times-Italic" w:hAnsi="Times-Italic"/>
          <w:i/>
          <w:iCs/>
          <w:color w:val="000000"/>
        </w:rPr>
        <w:t>Bacterium tumefaciens</w:t>
      </w:r>
      <w:r>
        <w:rPr>
          <w:rFonts w:ascii="Times-Roman" w:hAnsi="Times-Roman"/>
          <w:color w:val="000000"/>
        </w:rPr>
        <w:t xml:space="preserve">. Cette maladie affecte le développement et la productivité de nombreuses plantes dont un certain nombre sont d’intérêt agronomique comme les pommiers, les poiriers, les rosiers, etc … </w:t>
      </w:r>
    </w:p>
    <w:p w14:paraId="6494E958">
      <w:pPr>
        <w:spacing w:before="0" w:beforeAutospacing="0" w:after="0" w:afterAutospacing="0" w:line="360" w:lineRule="auto"/>
        <w:jc w:val="both"/>
        <w:rPr>
          <w:rFonts w:ascii="Times New Roman" w:hAnsi="Times New Roman"/>
        </w:rPr>
      </w:pPr>
      <w:r>
        <w:rPr>
          <w:rFonts w:ascii="Times-Roman" w:hAnsi="Times-Roman"/>
          <w:color w:val="000000"/>
        </w:rPr>
        <w:t xml:space="preserve">Elle touche une large gamme de plantes : environ 640 espèces réparties dans 93 familles. </w:t>
      </w:r>
    </w:p>
    <w:p w14:paraId="09FCFF76">
      <w:pPr>
        <w:spacing w:before="0" w:beforeAutospacing="0" w:after="0" w:afterAutospacing="0" w:line="360" w:lineRule="auto"/>
        <w:jc w:val="both"/>
        <w:rPr>
          <w:rFonts w:ascii="Times New Roman" w:hAnsi="Times New Roman"/>
        </w:rPr>
      </w:pPr>
      <w:r>
        <w:rPr>
          <w:rFonts w:ascii="Times-Roman" w:hAnsi="Times-Roman"/>
          <w:color w:val="000000"/>
        </w:rPr>
        <w:t xml:space="preserve"> </w:t>
      </w:r>
      <w:r>
        <w:rPr>
          <w:rFonts w:ascii="Times-Italic" w:hAnsi="Times-Italic"/>
          <w:i/>
          <w:iCs/>
          <w:color w:val="000000"/>
        </w:rPr>
        <w:t>Agrobacterium</w:t>
      </w:r>
      <w:r>
        <w:rPr>
          <w:rFonts w:ascii="Times-Roman" w:hAnsi="Times-Roman"/>
          <w:color w:val="000000"/>
        </w:rPr>
        <w:t xml:space="preserve"> est capable de se fixer et d’introduire de nouveaux matériels génétiques dans une cellule végétale. À la suite de ce contact, ces cellules végétales se multiplient de manière importante, donnant naissance à une formation tumorale située au niveau du collet, d’où le nom de cette formation : la galle du collet (</w:t>
      </w:r>
      <w:r>
        <w:rPr>
          <w:rFonts w:ascii="Times-Italic" w:hAnsi="Times-Italic"/>
          <w:i/>
          <w:iCs/>
          <w:color w:val="000000"/>
        </w:rPr>
        <w:t>crown gall</w:t>
      </w:r>
      <w:r>
        <w:rPr>
          <w:rFonts w:ascii="Times-Roman" w:hAnsi="Times-Roman"/>
          <w:color w:val="000000"/>
        </w:rPr>
        <w:t xml:space="preserve">. </w:t>
      </w:r>
    </w:p>
    <w:p w14:paraId="2AEF767C">
      <w:pPr>
        <w:spacing w:before="0" w:beforeAutospacing="0" w:after="0" w:afterAutospacing="0" w:line="360" w:lineRule="auto"/>
        <w:jc w:val="both"/>
        <w:rPr>
          <w:rFonts w:ascii="Times-Roman" w:hAnsi="Times-Roman"/>
          <w:color w:val="000000"/>
        </w:rPr>
      </w:pPr>
      <w:r>
        <w:rPr>
          <w:rFonts w:ascii="Times-Roman" w:hAnsi="Times-Roman"/>
          <w:color w:val="000000"/>
        </w:rPr>
        <w:t>Ces tumeurs apparaissent au départ au niveau du collet de la plante puis au niveau des tiges et de la base des feuilles. Elles sont de couleur blanchâtre et de consistance molle, et sont plus ou moins sphériques avec une surface irrégulière. Leur taille peut atteindre parfois 30 cm de diamètre.</w:t>
      </w:r>
    </w:p>
    <w:p w14:paraId="4CAE3CBB">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2.2. Structure du génome d’</w:t>
      </w:r>
      <w:r>
        <w:rPr>
          <w:rFonts w:hint="default" w:ascii="Times New Roman" w:hAnsi="Times New Roman" w:eastAsia="Times-BoldItalic" w:cs="Times New Roman"/>
          <w:b/>
          <w:bCs/>
          <w:i/>
          <w:iCs/>
          <w:color w:val="000000"/>
          <w:kern w:val="0"/>
          <w:sz w:val="24"/>
          <w:szCs w:val="24"/>
          <w:lang w:val="en-US" w:eastAsia="zh-CN" w:bidi="ar"/>
        </w:rPr>
        <w:t xml:space="preserve">A. tumefaciens </w:t>
      </w:r>
    </w:p>
    <w:p w14:paraId="3F39F9C7">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Italic" w:cs="Times New Roman"/>
          <w:i/>
          <w:iCs/>
          <w:color w:val="000000"/>
          <w:kern w:val="0"/>
          <w:sz w:val="24"/>
          <w:szCs w:val="24"/>
          <w:lang w:val="en-US" w:eastAsia="zh-CN" w:bidi="ar"/>
        </w:rPr>
        <w:t>Agrobacterium tumefaciens</w:t>
      </w:r>
      <w:r>
        <w:rPr>
          <w:rFonts w:hint="default" w:ascii="Times New Roman" w:hAnsi="Times New Roman" w:eastAsia="Times-Roman" w:cs="Times New Roman"/>
          <w:color w:val="000000"/>
          <w:kern w:val="0"/>
          <w:sz w:val="24"/>
          <w:szCs w:val="24"/>
          <w:lang w:val="en-US" w:eastAsia="zh-CN" w:bidi="ar"/>
        </w:rPr>
        <w:t xml:space="preserve"> est capable d’injecter un ADN dans une cellule végétale où </w:t>
      </w:r>
    </w:p>
    <w:p w14:paraId="7E773784">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il s’insère dans le génome chromosomique. Cet ADN, qui peut circuler ainsi d’un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organisme à un autre, est un fragment de plasmide : le plasmide Ti (</w:t>
      </w:r>
      <w:r>
        <w:rPr>
          <w:rFonts w:hint="default" w:ascii="Times New Roman" w:hAnsi="Times New Roman" w:eastAsia="Times-Italic" w:cs="Times New Roman"/>
          <w:i/>
          <w:iCs/>
          <w:color w:val="000000"/>
          <w:kern w:val="0"/>
          <w:sz w:val="24"/>
          <w:szCs w:val="24"/>
          <w:lang w:val="en-US" w:eastAsia="zh-CN" w:bidi="ar"/>
        </w:rPr>
        <w:t>tumor inducing</w:t>
      </w:r>
      <w:r>
        <w:rPr>
          <w:rFonts w:hint="default" w:ascii="Times New Roman" w:hAnsi="Times New Roman" w:eastAsia="Times-Roman" w:cs="Times New Roman"/>
          <w:color w:val="000000"/>
          <w:kern w:val="0"/>
          <w:sz w:val="24"/>
          <w:szCs w:val="24"/>
          <w:lang w:val="en-US" w:eastAsia="zh-CN" w:bidi="ar"/>
        </w:rPr>
        <w:t>). L’ADN qui est ainsi transféré est nommé ADN-T (</w:t>
      </w:r>
      <w:r>
        <w:rPr>
          <w:rFonts w:hint="default" w:ascii="Times New Roman" w:hAnsi="Times New Roman" w:eastAsia="Times-Italic" w:cs="Times New Roman"/>
          <w:i/>
          <w:iCs/>
          <w:color w:val="000000"/>
          <w:kern w:val="0"/>
          <w:sz w:val="24"/>
          <w:szCs w:val="24"/>
          <w:lang w:val="en-US" w:eastAsia="zh-CN" w:bidi="ar"/>
        </w:rPr>
        <w:t>Tansferred DNA</w:t>
      </w:r>
      <w:r>
        <w:rPr>
          <w:rFonts w:hint="default" w:ascii="Times New Roman" w:hAnsi="Times New Roman" w:eastAsia="Times-Roman" w:cs="Times New Roman"/>
          <w:color w:val="000000"/>
          <w:kern w:val="0"/>
          <w:sz w:val="24"/>
          <w:szCs w:val="24"/>
          <w:lang w:val="en-US" w:eastAsia="zh-CN" w:bidi="ar"/>
        </w:rPr>
        <w:t xml:space="preserve">). Il a été rapidement proposé, une fois ce mécanisme connu, de le détourner dans un but de transgenèse. Pour </w:t>
      </w:r>
    </w:p>
    <w:p w14:paraId="36D880FA">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cela, il suffit de remplacer l’ADN-T par un autre ADN portant un gène d’intérêt, par </w:t>
      </w:r>
    </w:p>
    <w:p w14:paraId="517C314C">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exemple.Le plasmide pTi déterminant essentiel de la pathogénicité des agrobactéries, n’est </w:t>
      </w:r>
    </w:p>
    <w:p w14:paraId="6895F292">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présent qu’en un seul exemplaire dans les bactéries qui les hébergent. De la meme facon </w:t>
      </w:r>
    </w:p>
    <w:p w14:paraId="21CA078F">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que l’on parle des agrobactéries de souche à octopine ou à nopaline, on parlera de plasmide </w:t>
      </w:r>
    </w:p>
    <w:p w14:paraId="169119DC">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Ti à octopine, à nopaline, etc. Ce mégaplasmide est constitué d’un nombre de régions </w:t>
      </w:r>
    </w:p>
    <w:p w14:paraId="34E5FFB3">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fonctionnelles qui sont : les deux bordures droite et gauche (BD et BR), la région de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l’origine de réplication (ori), les gènes de transfert conjugatif (tra et trb), les gènes de virulence (vir), les gènes du catabolisme des opines (noc, acc, moc) et les gènes du T-DNA </w:t>
      </w:r>
    </w:p>
    <w:p w14:paraId="625FBA9C">
      <w:pPr>
        <w:spacing w:before="0" w:beforeAutospacing="0" w:after="0" w:afterAutospacing="0" w:line="360" w:lineRule="auto"/>
        <w:jc w:val="both"/>
      </w:pPr>
      <w:r>
        <w:drawing>
          <wp:inline distT="0" distB="0" distL="114300" distR="114300">
            <wp:extent cx="5758180" cy="3783965"/>
            <wp:effectExtent l="0" t="0" r="1397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7"/>
                    <a:stretch>
                      <a:fillRect/>
                    </a:stretch>
                  </pic:blipFill>
                  <pic:spPr>
                    <a:xfrm>
                      <a:off x="0" y="0"/>
                      <a:ext cx="5758180" cy="3783965"/>
                    </a:xfrm>
                    <a:prstGeom prst="rect">
                      <a:avLst/>
                    </a:prstGeom>
                    <a:noFill/>
                    <a:ln>
                      <a:noFill/>
                    </a:ln>
                  </pic:spPr>
                </pic:pic>
              </a:graphicData>
            </a:graphic>
          </wp:inline>
        </w:drawing>
      </w:r>
    </w:p>
    <w:p w14:paraId="2234325C">
      <w:pPr>
        <w:keepNext w:val="0"/>
        <w:keepLines w:val="0"/>
        <w:widowControl/>
        <w:suppressLineNumbers w:val="0"/>
        <w:jc w:val="center"/>
        <w:rPr>
          <w:sz w:val="24"/>
          <w:szCs w:val="24"/>
        </w:rPr>
      </w:pPr>
      <w:r>
        <w:rPr>
          <w:rFonts w:ascii="Times-Bold" w:hAnsi="Times-Bold" w:eastAsia="Times-Bold" w:cs="Times-Bold"/>
          <w:b/>
          <w:bCs/>
          <w:color w:val="000000"/>
          <w:kern w:val="0"/>
          <w:sz w:val="24"/>
          <w:szCs w:val="24"/>
          <w:lang w:val="en-US" w:eastAsia="zh-CN" w:bidi="ar"/>
        </w:rPr>
        <w:t>Figure  :</w:t>
      </w:r>
      <w:r>
        <w:rPr>
          <w:rFonts w:ascii="Times-Roman" w:hAnsi="Times-Roman" w:eastAsia="Times-Roman" w:cs="Times-Roman"/>
          <w:color w:val="000000"/>
          <w:kern w:val="0"/>
          <w:sz w:val="24"/>
          <w:szCs w:val="24"/>
          <w:lang w:val="en-US" w:eastAsia="zh-CN" w:bidi="ar"/>
        </w:rPr>
        <w:t xml:space="preserve"> Organisation des plasmides pTiC58 à octopine et à nopaline</w:t>
      </w:r>
    </w:p>
    <w:p w14:paraId="274A811B">
      <w:pPr>
        <w:keepNext w:val="0"/>
        <w:keepLines w:val="0"/>
        <w:widowControl/>
        <w:suppressLineNumbers w:val="0"/>
        <w:jc w:val="center"/>
        <w:rPr>
          <w:sz w:val="24"/>
          <w:szCs w:val="24"/>
        </w:rPr>
      </w:pPr>
      <w:r>
        <w:rPr>
          <w:rFonts w:hint="default" w:ascii="Times-Roman" w:hAnsi="Times-Roman" w:eastAsia="Times-Roman" w:cs="Times-Roman"/>
          <w:color w:val="000000"/>
          <w:kern w:val="0"/>
          <w:sz w:val="24"/>
          <w:szCs w:val="24"/>
          <w:lang w:val="en-US" w:eastAsia="zh-CN" w:bidi="ar"/>
        </w:rPr>
        <w:t>d’</w:t>
      </w:r>
      <w:r>
        <w:rPr>
          <w:rFonts w:ascii="Times-Italic" w:hAnsi="Times-Italic" w:eastAsia="Times-Italic" w:cs="Times-Italic"/>
          <w:i/>
          <w:iCs/>
          <w:color w:val="000000"/>
          <w:kern w:val="0"/>
          <w:sz w:val="24"/>
          <w:szCs w:val="24"/>
          <w:lang w:val="en-US" w:eastAsia="zh-CN" w:bidi="ar"/>
        </w:rPr>
        <w:t>Agrobacterium tumefaciens</w:t>
      </w:r>
      <w:r>
        <w:rPr>
          <w:rFonts w:hint="default" w:ascii="Times-Roman" w:hAnsi="Times-Roman" w:eastAsia="Times-Roman" w:cs="Times-Roman"/>
          <w:color w:val="000000"/>
          <w:kern w:val="0"/>
          <w:sz w:val="24"/>
          <w:szCs w:val="24"/>
          <w:lang w:val="en-US" w:eastAsia="zh-CN" w:bidi="ar"/>
        </w:rPr>
        <w:t xml:space="preserve"> (Franche, 2013).</w:t>
      </w:r>
    </w:p>
    <w:p w14:paraId="348B0CB3">
      <w:pPr>
        <w:jc w:val="center"/>
        <w:rPr>
          <w:rFonts w:hint="default" w:asciiTheme="majorBidi" w:hAnsiTheme="majorBidi" w:cstheme="majorBidi"/>
          <w:b/>
          <w:bCs/>
          <w:color w:val="000000"/>
          <w:sz w:val="28"/>
          <w:szCs w:val="28"/>
          <w:lang w:val="fr-FR"/>
        </w:rPr>
      </w:pPr>
    </w:p>
    <w:p w14:paraId="4CD37372">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Times-Bold" w:cs="Times New Roman"/>
          <w:b/>
          <w:bCs/>
          <w:color w:val="000000"/>
          <w:kern w:val="0"/>
          <w:sz w:val="24"/>
          <w:szCs w:val="24"/>
          <w:lang w:val="en-US" w:eastAsia="zh-CN" w:bidi="ar"/>
        </w:rPr>
        <w:t xml:space="preserve">a. ADN-T </w:t>
      </w:r>
    </w:p>
    <w:p w14:paraId="21E66A87">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L'ADN-T est délimité par deux séquences répétées, bordure droite RB (pour </w:t>
      </w:r>
      <w:r>
        <w:rPr>
          <w:rFonts w:hint="default" w:ascii="Times New Roman" w:hAnsi="Times New Roman" w:eastAsia="Times-Italic" w:cs="Times New Roman"/>
          <w:i/>
          <w:iCs/>
          <w:color w:val="000000"/>
          <w:kern w:val="0"/>
          <w:sz w:val="24"/>
          <w:szCs w:val="24"/>
          <w:lang w:val="en-US" w:eastAsia="zh-CN" w:bidi="ar"/>
        </w:rPr>
        <w:t xml:space="preserve">right </w:t>
      </w:r>
      <w:r>
        <w:rPr>
          <w:rFonts w:hint="default" w:ascii="Times New Roman" w:hAnsi="Times New Roman" w:eastAsia="Times-Italic" w:cs="Times New Roman"/>
          <w:i/>
          <w:iCs/>
          <w:color w:val="000000"/>
          <w:kern w:val="0"/>
          <w:sz w:val="24"/>
          <w:szCs w:val="24"/>
          <w:lang w:val="fr-FR" w:eastAsia="zh-CN" w:bidi="ar"/>
        </w:rPr>
        <w:t xml:space="preserve"> </w:t>
      </w:r>
      <w:r>
        <w:rPr>
          <w:rFonts w:hint="default" w:ascii="Times New Roman" w:hAnsi="Times New Roman" w:eastAsia="Times-Italic" w:cs="Times New Roman"/>
          <w:i/>
          <w:iCs/>
          <w:color w:val="000000"/>
          <w:kern w:val="0"/>
          <w:sz w:val="24"/>
          <w:szCs w:val="24"/>
          <w:lang w:val="en-US" w:eastAsia="zh-CN" w:bidi="ar"/>
        </w:rPr>
        <w:t>border</w:t>
      </w:r>
      <w:r>
        <w:rPr>
          <w:rFonts w:hint="default" w:ascii="Times New Roman" w:hAnsi="Times New Roman" w:eastAsia="Times-Roman" w:cs="Times New Roman"/>
          <w:color w:val="000000"/>
          <w:kern w:val="0"/>
          <w:sz w:val="24"/>
          <w:szCs w:val="24"/>
          <w:lang w:val="en-US" w:eastAsia="zh-CN" w:bidi="ar"/>
        </w:rPr>
        <w:t xml:space="preserve">) et bordure gauche LB (pour </w:t>
      </w:r>
      <w:r>
        <w:rPr>
          <w:rFonts w:hint="default" w:ascii="Times New Roman" w:hAnsi="Times New Roman" w:eastAsia="Times-Italic" w:cs="Times New Roman"/>
          <w:i/>
          <w:iCs/>
          <w:color w:val="000000"/>
          <w:kern w:val="0"/>
          <w:sz w:val="24"/>
          <w:szCs w:val="24"/>
          <w:lang w:val="en-US" w:eastAsia="zh-CN" w:bidi="ar"/>
        </w:rPr>
        <w:t>left border</w:t>
      </w:r>
      <w:r>
        <w:rPr>
          <w:rFonts w:hint="default" w:ascii="Times New Roman" w:hAnsi="Times New Roman" w:eastAsia="Times-Roman" w:cs="Times New Roman"/>
          <w:color w:val="000000"/>
          <w:kern w:val="0"/>
          <w:sz w:val="24"/>
          <w:szCs w:val="24"/>
          <w:lang w:val="en-US" w:eastAsia="zh-CN" w:bidi="ar"/>
        </w:rPr>
        <w:t xml:space="preserve">), constituées par des séquences de 25 nucléotides. Ces séquences servent de sites de reconnaissance pour une endonucléase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spécifique qui n'hydrolyse qu'un des deux brins d'ADN. Puis un processus d'excisionréparation aboutit à l'expulsion d'un fragment ADN simple brin pris en charge par des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protéines SSB (</w:t>
      </w:r>
      <w:r>
        <w:rPr>
          <w:rFonts w:hint="default" w:ascii="Times New Roman" w:hAnsi="Times New Roman" w:eastAsia="Times-Italic" w:cs="Times New Roman"/>
          <w:i/>
          <w:iCs/>
          <w:color w:val="000000"/>
          <w:kern w:val="0"/>
          <w:sz w:val="24"/>
          <w:szCs w:val="24"/>
          <w:lang w:val="en-US" w:eastAsia="zh-CN" w:bidi="ar"/>
        </w:rPr>
        <w:t>single strand binding</w:t>
      </w:r>
      <w:r>
        <w:rPr>
          <w:rFonts w:hint="default" w:ascii="Times New Roman" w:hAnsi="Times New Roman" w:eastAsia="Times-Roman" w:cs="Times New Roman"/>
          <w:color w:val="000000"/>
          <w:kern w:val="0"/>
          <w:sz w:val="24"/>
          <w:szCs w:val="24"/>
          <w:lang w:val="en-US" w:eastAsia="zh-CN" w:bidi="ar"/>
        </w:rPr>
        <w:t xml:space="preserve">) tandis que le plasmide Ti est remis sous forme circulaire double brin.C'est la région comprise entre les deux bordures qui est transférée. Elle contient les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gènes qui confèrent à la plante des propriétés tumorales, c'est-à-dire qu'ils entraînent la prolifération continue et incontrôlée des cellules végétales (la tumorisation) par production d'hormones de croissance (auxine et cytokinine). Des gènes entraînant la biosynthèse de composés azotés particuliers appelés : opines sont également présents sur l'ADN-T. </w:t>
      </w:r>
    </w:p>
    <w:p w14:paraId="44CB86B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Times-Bold" w:cs="Times New Roman"/>
          <w:b/>
          <w:bCs/>
          <w:color w:val="000000"/>
          <w:kern w:val="0"/>
          <w:sz w:val="24"/>
          <w:szCs w:val="24"/>
          <w:lang w:val="en-US" w:eastAsia="zh-CN" w:bidi="ar"/>
        </w:rPr>
        <w:t xml:space="preserve">Les oncogènes </w:t>
      </w:r>
    </w:p>
    <w:p w14:paraId="32C00892">
      <w:pPr>
        <w:keepNext w:val="0"/>
        <w:keepLines w:val="0"/>
        <w:widowControl/>
        <w:suppressLineNumbers w:val="0"/>
        <w:spacing w:line="360" w:lineRule="auto"/>
        <w:ind w:left="120" w:hanging="120" w:hangingChars="5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Par définition, un oncogène est capable par lui-même de causer une transformation néoplasique et de donner l’apparence du phénotype tumoral à la cellule qui le renferme.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Chez </w:t>
      </w:r>
      <w:r>
        <w:rPr>
          <w:rFonts w:hint="default" w:ascii="Times New Roman" w:hAnsi="Times New Roman" w:eastAsia="Times-Italic" w:cs="Times New Roman"/>
          <w:i/>
          <w:iCs/>
          <w:color w:val="000000"/>
          <w:kern w:val="0"/>
          <w:sz w:val="24"/>
          <w:szCs w:val="24"/>
          <w:lang w:val="en-US" w:eastAsia="zh-CN" w:bidi="ar"/>
        </w:rPr>
        <w:t>A. tumefaciens</w:t>
      </w:r>
      <w:r>
        <w:rPr>
          <w:rFonts w:hint="default" w:ascii="Times New Roman" w:hAnsi="Times New Roman" w:eastAsia="Times-Roman" w:cs="Times New Roman"/>
          <w:color w:val="000000"/>
          <w:kern w:val="0"/>
          <w:sz w:val="24"/>
          <w:szCs w:val="24"/>
          <w:lang w:val="en-US" w:eastAsia="zh-CN" w:bidi="ar"/>
        </w:rPr>
        <w:t xml:space="preserve">, le terme oncogène semble approprié pour les gènes du T-DNA tels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que iaaM et iaaH (du locus tms) codant pour les enzymes impliqués dans une nouvelle voie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de biosynthèse de l’AIA (acide indole-3-acétique), auxine majeure endogène des plante, ipt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(du locus tmr) code une isopentenyl transférase qui catalyse la synthèse de la cytokynine </w:t>
      </w:r>
      <w:r>
        <w:rPr>
          <w:rFonts w:hint="default" w:ascii="Times New Roman" w:hAnsi="Times New Roman" w:eastAsia="Times-Roman" w:cs="Times New Roman"/>
          <w:color w:val="000000"/>
          <w:kern w:val="0"/>
          <w:sz w:val="24"/>
          <w:szCs w:val="24"/>
          <w:lang w:val="fr-FR" w:eastAsia="zh-CN" w:bidi="ar"/>
        </w:rPr>
        <w:t xml:space="preserve"> </w:t>
      </w:r>
      <w:r>
        <w:rPr>
          <w:rFonts w:hint="default" w:ascii="Times New Roman" w:hAnsi="Times New Roman" w:eastAsia="Times-Roman" w:cs="Times New Roman"/>
          <w:color w:val="000000"/>
          <w:kern w:val="0"/>
          <w:sz w:val="24"/>
          <w:szCs w:val="24"/>
          <w:lang w:val="en-US" w:eastAsia="zh-CN" w:bidi="ar"/>
        </w:rPr>
        <w:t xml:space="preserve">isopentenyladenosine 5’MP à partir de l’isopentyl-pyrophosphate et 5’AMP </w:t>
      </w:r>
      <w:r>
        <w:rPr>
          <w:rFonts w:hint="default" w:ascii="Times New Roman" w:hAnsi="Times New Roman" w:eastAsia="Times-Bold" w:cs="Times New Roman"/>
          <w:b/>
          <w:bCs/>
          <w:color w:val="000000"/>
          <w:kern w:val="0"/>
          <w:sz w:val="24"/>
          <w:szCs w:val="24"/>
          <w:lang w:val="en-US" w:eastAsia="zh-CN" w:bidi="ar"/>
        </w:rPr>
        <w:t xml:space="preserve">(Figure </w:t>
      </w:r>
      <w:r>
        <w:rPr>
          <w:rFonts w:hint="default" w:ascii="Times New Roman" w:hAnsi="Times New Roman" w:eastAsia="Times-Bold" w:cs="Times New Roman"/>
          <w:b/>
          <w:bCs/>
          <w:color w:val="000000"/>
          <w:kern w:val="0"/>
          <w:sz w:val="24"/>
          <w:szCs w:val="24"/>
          <w:lang w:val="fr-FR" w:eastAsia="zh-CN" w:bidi="ar"/>
        </w:rPr>
        <w:t>19</w:t>
      </w:r>
      <w:r>
        <w:rPr>
          <w:rFonts w:hint="default" w:ascii="Times New Roman" w:hAnsi="Times New Roman" w:eastAsia="Times-Bold" w:cs="Times New Roman"/>
          <w:b/>
          <w:bCs/>
          <w:color w:val="000000"/>
          <w:kern w:val="0"/>
          <w:sz w:val="24"/>
          <w:szCs w:val="24"/>
          <w:lang w:val="en-US" w:eastAsia="zh-CN" w:bidi="ar"/>
        </w:rPr>
        <w:t>)</w:t>
      </w:r>
      <w:r>
        <w:rPr>
          <w:rFonts w:hint="default" w:ascii="Times New Roman" w:hAnsi="Times New Roman" w:eastAsia="Times-Roman" w:cs="Times New Roman"/>
          <w:color w:val="000000"/>
          <w:kern w:val="0"/>
          <w:sz w:val="24"/>
          <w:szCs w:val="24"/>
          <w:lang w:val="en-US" w:eastAsia="zh-CN" w:bidi="ar"/>
        </w:rPr>
        <w:t xml:space="preserve">. </w:t>
      </w:r>
    </w:p>
    <w:p w14:paraId="1E0E86C1">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Times-Bold" w:cs="Times New Roman"/>
          <w:b/>
          <w:bCs/>
          <w:color w:val="000000"/>
          <w:kern w:val="0"/>
          <w:sz w:val="24"/>
          <w:szCs w:val="24"/>
          <w:lang w:val="en-US" w:eastAsia="zh-CN" w:bidi="ar"/>
        </w:rPr>
        <w:t xml:space="preserve">Les opines </w:t>
      </w:r>
    </w:p>
    <w:p w14:paraId="60D7E03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Les opines (nopaline ou octopine) sont des protéines spécifiques des bactéries qui ne sont pas habituellement présentes dans les tissus sains. Relâchées dans le milieu, les opines favorisent la multiplication des souches pathogènes et détournent une partie de l'activité photosynthétique de la plante au profit des bactéries. Ces derniers servent de source de carbone, d’azote et d'énergie pour les bactéries . </w:t>
      </w:r>
    </w:p>
    <w:p w14:paraId="2A6CCF54">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b. Région de virulence </w:t>
      </w:r>
    </w:p>
    <w:p w14:paraId="0D4A03C3">
      <w:pPr>
        <w:keepNext w:val="0"/>
        <w:keepLines w:val="0"/>
        <w:widowControl/>
        <w:suppressLineNumbers w:val="0"/>
        <w:spacing w:line="360" w:lineRule="auto"/>
        <w:jc w:val="both"/>
        <w:rPr>
          <w:rFonts w:hint="default" w:ascii="Times New Roman" w:hAnsi="Times New Roman" w:eastAsia="Times-Roman" w:cs="Times New Roman"/>
          <w:color w:val="000000"/>
          <w:kern w:val="0"/>
          <w:sz w:val="24"/>
          <w:szCs w:val="24"/>
          <w:lang w:val="en-US" w:eastAsia="zh-CN" w:bidi="ar"/>
        </w:rPr>
      </w:pPr>
      <w:r>
        <w:drawing>
          <wp:anchor distT="0" distB="0" distL="114300" distR="114300" simplePos="0" relativeHeight="251659264" behindDoc="0" locked="0" layoutInCell="1" allowOverlap="1">
            <wp:simplePos x="0" y="0"/>
            <wp:positionH relativeFrom="column">
              <wp:posOffset>728980</wp:posOffset>
            </wp:positionH>
            <wp:positionV relativeFrom="paragraph">
              <wp:posOffset>1731010</wp:posOffset>
            </wp:positionV>
            <wp:extent cx="4053205" cy="2379980"/>
            <wp:effectExtent l="0" t="0" r="4445" b="127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8"/>
                    <a:srcRect/>
                    <a:stretch>
                      <a:fillRect/>
                    </a:stretch>
                  </pic:blipFill>
                  <pic:spPr>
                    <a:xfrm>
                      <a:off x="0" y="0"/>
                      <a:ext cx="4053205" cy="2379980"/>
                    </a:xfrm>
                    <a:prstGeom prst="rect">
                      <a:avLst/>
                    </a:prstGeom>
                    <a:noFill/>
                    <a:ln>
                      <a:noFill/>
                    </a:ln>
                  </pic:spPr>
                </pic:pic>
              </a:graphicData>
            </a:graphic>
          </wp:anchor>
        </w:drawing>
      </w:r>
      <w:r>
        <w:rPr>
          <w:rFonts w:hint="default" w:ascii="Times New Roman" w:hAnsi="Times New Roman" w:eastAsia="Times-Roman" w:cs="Times New Roman"/>
          <w:color w:val="000000"/>
          <w:kern w:val="0"/>
          <w:sz w:val="24"/>
          <w:szCs w:val="24"/>
          <w:lang w:val="en-US" w:eastAsia="zh-CN" w:bidi="ar"/>
        </w:rPr>
        <w:t xml:space="preserve">Sur le plasmide, en dehors de l'ADN-T, on trouve une région de virulence d’environ 30- 40 kb, qui n'entraîne pas directement la formation de la maladie, mais est indispensable au transfert et à l'intégration de l'ADN-T. Cette région comprenant des gènes </w:t>
      </w:r>
      <w:r>
        <w:rPr>
          <w:rFonts w:hint="default" w:ascii="Times New Roman" w:hAnsi="Times New Roman" w:eastAsia="Times-Italic" w:cs="Times New Roman"/>
          <w:i/>
          <w:iCs/>
          <w:color w:val="000000"/>
          <w:kern w:val="0"/>
          <w:sz w:val="24"/>
          <w:szCs w:val="24"/>
          <w:lang w:val="en-US" w:eastAsia="zh-CN" w:bidi="ar"/>
        </w:rPr>
        <w:t xml:space="preserve">vir </w:t>
      </w:r>
      <w:r>
        <w:rPr>
          <w:rFonts w:hint="default" w:ascii="Times New Roman" w:hAnsi="Times New Roman" w:eastAsia="Times-Roman" w:cs="Times New Roman"/>
          <w:color w:val="000000"/>
          <w:kern w:val="0"/>
          <w:sz w:val="24"/>
          <w:szCs w:val="24"/>
          <w:lang w:val="en-US" w:eastAsia="zh-CN" w:bidi="ar"/>
        </w:rPr>
        <w:t>organisés en opérons est située proche de la frontière gauche de l’ADN-T. Elle est composée d’au moins 6 opérons essentiels au transfert de l’ADN-T (virA, B, C, D, E, G), et de 11 opérons non essentiels (virF, H).  présente les principaux gènes vir du plasmide Ti à octopine et à nopaline.</w:t>
      </w:r>
    </w:p>
    <w:p w14:paraId="006E4D7F">
      <w:pPr>
        <w:keepNext w:val="0"/>
        <w:keepLines w:val="0"/>
        <w:widowControl/>
        <w:suppressLineNumbers w:val="0"/>
        <w:spacing w:line="360" w:lineRule="auto"/>
        <w:jc w:val="both"/>
        <w:rPr>
          <w:rFonts w:hint="default" w:asciiTheme="majorBidi" w:hAnsiTheme="majorBidi" w:cstheme="majorBidi"/>
          <w:b/>
          <w:bCs/>
          <w:color w:val="000000"/>
          <w:sz w:val="28"/>
          <w:szCs w:val="28"/>
          <w:lang w:val="fr-FR"/>
        </w:rPr>
      </w:pPr>
      <w:r>
        <w:rPr>
          <w:rFonts w:ascii="Times-Bold" w:hAnsi="Times-Bold" w:eastAsia="Times-Bold" w:cs="Times-Bold"/>
          <w:b/>
          <w:bCs/>
          <w:color w:val="000000"/>
          <w:kern w:val="0"/>
          <w:sz w:val="22"/>
          <w:szCs w:val="22"/>
          <w:lang w:val="en-US" w:eastAsia="zh-CN" w:bidi="ar"/>
        </w:rPr>
        <w:t xml:space="preserve">Figure </w:t>
      </w:r>
      <w:r>
        <w:rPr>
          <w:rFonts w:hint="default" w:ascii="Times-Bold" w:hAnsi="Times-Bold" w:eastAsia="Times-Bold" w:cs="Times-Bold"/>
          <w:b/>
          <w:bCs/>
          <w:color w:val="000000"/>
          <w:kern w:val="0"/>
          <w:sz w:val="22"/>
          <w:szCs w:val="22"/>
          <w:lang w:val="fr-FR" w:eastAsia="zh-CN" w:bidi="ar"/>
        </w:rPr>
        <w:t>19</w:t>
      </w:r>
      <w:bookmarkStart w:id="0" w:name="_GoBack"/>
      <w:bookmarkEnd w:id="0"/>
      <w:r>
        <w:rPr>
          <w:rFonts w:ascii="Times-Bold" w:hAnsi="Times-Bold" w:eastAsia="Times-Bold" w:cs="Times-Bold"/>
          <w:b/>
          <w:bCs/>
          <w:color w:val="000000"/>
          <w:kern w:val="0"/>
          <w:sz w:val="22"/>
          <w:szCs w:val="22"/>
          <w:lang w:val="en-US" w:eastAsia="zh-CN" w:bidi="ar"/>
        </w:rPr>
        <w:t xml:space="preserve"> :</w:t>
      </w:r>
      <w:r>
        <w:rPr>
          <w:rFonts w:ascii="Times-Roman" w:hAnsi="Times-Roman" w:eastAsia="Times-Roman" w:cs="Times-Roman"/>
          <w:color w:val="000000"/>
          <w:kern w:val="0"/>
          <w:sz w:val="22"/>
          <w:szCs w:val="22"/>
          <w:lang w:val="en-US" w:eastAsia="zh-CN" w:bidi="ar"/>
        </w:rPr>
        <w:t xml:space="preserve"> Localisation des oncogènes et des gènes de biosynthèse d’opine dans la</w:t>
      </w:r>
      <w:r>
        <w:rPr>
          <w:rFonts w:hint="default" w:ascii="Times-Roman" w:hAnsi="Times-Roman" w:eastAsia="Times-Roman" w:cs="Times-Roman"/>
          <w:color w:val="000000"/>
          <w:kern w:val="0"/>
          <w:sz w:val="22"/>
          <w:szCs w:val="22"/>
          <w:lang w:val="en-US" w:eastAsia="zh-CN" w:bidi="ar"/>
        </w:rPr>
        <w:t>région T d’un plasmide à octopine et d’un plasmide à nopaline (Franche, 2013).</w:t>
      </w:r>
    </w:p>
    <w:p w14:paraId="0DBA4D6C">
      <w:pPr>
        <w:spacing w:after="0" w:line="360" w:lineRule="auto"/>
        <w:jc w:val="both"/>
        <w:rPr>
          <w:rFonts w:hint="default" w:eastAsia="Times New Roman" w:asciiTheme="majorBidi" w:hAnsiTheme="majorBidi" w:cstheme="majorBidi"/>
          <w:color w:val="000000"/>
          <w:sz w:val="24"/>
          <w:szCs w:val="24"/>
          <w:lang w:val="en-US" w:eastAsia="fr-FR"/>
        </w:rPr>
      </w:pPr>
      <w:r>
        <w:rPr>
          <w:rFonts w:hint="default" w:eastAsia="Times New Roman" w:asciiTheme="majorBidi" w:hAnsiTheme="majorBidi" w:cstheme="majorBidi"/>
          <w:color w:val="000000"/>
          <w:sz w:val="24"/>
          <w:szCs w:val="24"/>
          <w:lang w:val="en-US" w:eastAsia="fr-FR"/>
        </w:rPr>
        <w:t xml:space="preserve">Suite </w:t>
      </w:r>
      <w:r>
        <w:rPr>
          <w:rFonts w:eastAsia="Times New Roman" w:asciiTheme="majorBidi" w:hAnsiTheme="majorBidi" w:cstheme="majorBidi"/>
          <w:color w:val="000000"/>
          <w:sz w:val="24"/>
          <w:szCs w:val="24"/>
          <w:lang w:eastAsia="fr-FR"/>
        </w:rPr>
        <w:t xml:space="preserve"> aux recherches menées sur </w:t>
      </w:r>
      <w:r>
        <w:rPr>
          <w:rFonts w:eastAsia="Times New Roman" w:asciiTheme="majorBidi" w:hAnsiTheme="majorBidi" w:cstheme="majorBidi"/>
          <w:i/>
          <w:iCs/>
          <w:color w:val="000000"/>
          <w:sz w:val="24"/>
          <w:szCs w:val="24"/>
          <w:lang w:eastAsia="fr-FR"/>
        </w:rPr>
        <w:t>Agrobacterium</w:t>
      </w:r>
      <w:r>
        <w:rPr>
          <w:rFonts w:hint="default" w:eastAsia="Times New Roman" w:asciiTheme="majorBidi" w:hAnsiTheme="majorBidi" w:cstheme="majorBidi"/>
          <w:i/>
          <w:iCs/>
          <w:color w:val="000000"/>
          <w:sz w:val="24"/>
          <w:szCs w:val="24"/>
          <w:lang w:val="en-US" w:eastAsia="fr-FR"/>
        </w:rPr>
        <w:t xml:space="preserve"> </w:t>
      </w:r>
      <w:r>
        <w:rPr>
          <w:rFonts w:hint="default" w:eastAsia="Times New Roman" w:asciiTheme="majorBidi" w:hAnsiTheme="majorBidi" w:cstheme="majorBidi"/>
          <w:color w:val="000000"/>
          <w:sz w:val="24"/>
          <w:szCs w:val="24"/>
          <w:lang w:val="en-US" w:eastAsia="fr-FR"/>
        </w:rPr>
        <w:t>l</w:t>
      </w:r>
      <w:r>
        <w:rPr>
          <w:rFonts w:eastAsia="Times New Roman" w:asciiTheme="majorBidi" w:hAnsiTheme="majorBidi" w:cstheme="majorBidi"/>
          <w:color w:val="000000"/>
          <w:sz w:val="24"/>
          <w:szCs w:val="24"/>
          <w:lang w:eastAsia="fr-FR"/>
        </w:rPr>
        <w:t xml:space="preserve">es techniques de </w:t>
      </w:r>
      <w:r>
        <w:rPr>
          <w:rFonts w:hint="default" w:eastAsia="Times New Roman" w:asciiTheme="majorBidi" w:hAnsiTheme="majorBidi" w:cstheme="majorBidi"/>
          <w:color w:val="000000"/>
          <w:sz w:val="24"/>
          <w:szCs w:val="24"/>
          <w:lang w:val="en-US" w:eastAsia="fr-FR"/>
        </w:rPr>
        <w:t xml:space="preserve">modification </w:t>
      </w:r>
      <w:r>
        <w:rPr>
          <w:rFonts w:eastAsia="Times New Roman" w:asciiTheme="majorBidi" w:hAnsiTheme="majorBidi" w:cstheme="majorBidi"/>
          <w:color w:val="000000"/>
          <w:sz w:val="24"/>
          <w:szCs w:val="24"/>
          <w:lang w:eastAsia="fr-FR"/>
        </w:rPr>
        <w:t xml:space="preserve"> d'ADN</w:t>
      </w:r>
      <w:r>
        <w:rPr>
          <w:rFonts w:hint="default" w:eastAsia="Times New Roman" w:asciiTheme="majorBidi" w:hAnsiTheme="majorBidi" w:cstheme="majorBidi"/>
          <w:color w:val="000000"/>
          <w:sz w:val="24"/>
          <w:szCs w:val="24"/>
          <w:lang w:val="en-US" w:eastAsia="fr-FR"/>
        </w:rPr>
        <w:t xml:space="preserve"> sont comme suite </w:t>
      </w:r>
    </w:p>
    <w:p w14:paraId="17826126">
      <w:pPr>
        <w:spacing w:after="0" w:line="360" w:lineRule="auto"/>
        <w:jc w:val="both"/>
        <w:rPr>
          <w:rFonts w:ascii="Times-Bold" w:hAnsi="Times-Bold" w:eastAsia="Times New Roman" w:cs="Times New Roman"/>
          <w:b/>
          <w:bCs/>
          <w:color w:val="000000"/>
          <w:sz w:val="24"/>
          <w:szCs w:val="24"/>
          <w:lang w:eastAsia="fr-FR"/>
        </w:rPr>
      </w:pPr>
      <w:r>
        <w:rPr>
          <w:rFonts w:eastAsia="Times New Roman" w:asciiTheme="majorBidi" w:hAnsiTheme="majorBidi" w:cstheme="majorBidi"/>
          <w:b/>
          <w:bCs/>
          <w:color w:val="000000"/>
          <w:sz w:val="24"/>
          <w:szCs w:val="24"/>
          <w:lang w:eastAsia="fr-FR"/>
        </w:rPr>
        <w:t xml:space="preserve">1. Transfert dans les protoplastes </w:t>
      </w:r>
      <w:r>
        <w:rPr>
          <w:rFonts w:hint="default" w:eastAsia="Times New Roman" w:asciiTheme="majorBidi" w:hAnsiTheme="majorBidi" w:cstheme="majorBidi"/>
          <w:b/>
          <w:bCs/>
          <w:color w:val="000000"/>
          <w:sz w:val="24"/>
          <w:szCs w:val="24"/>
          <w:lang w:val="en-US" w:eastAsia="fr-FR"/>
        </w:rPr>
        <w:t xml:space="preserve"> en </w:t>
      </w:r>
      <w:r>
        <w:rPr>
          <w:rFonts w:ascii="Times-Bold" w:hAnsi="Times-Bold" w:eastAsia="Times New Roman" w:cs="Times New Roman"/>
          <w:b/>
          <w:bCs/>
          <w:color w:val="000000"/>
          <w:sz w:val="24"/>
          <w:szCs w:val="24"/>
          <w:lang w:eastAsia="fr-FR"/>
        </w:rPr>
        <w:t xml:space="preserve"> utilisation du PEG </w:t>
      </w:r>
    </w:p>
    <w:p w14:paraId="0C2E910B">
      <w:pPr>
        <w:spacing w:after="0" w:line="360" w:lineRule="auto"/>
        <w:rPr>
          <w:rFonts w:eastAsia="Times New Roman" w:asciiTheme="majorBidi" w:hAnsiTheme="majorBidi" w:cstheme="majorBidi"/>
          <w:sz w:val="24"/>
          <w:szCs w:val="24"/>
          <w:lang w:eastAsia="fr-FR"/>
        </w:rPr>
      </w:pPr>
      <w:r>
        <w:rPr>
          <w:rFonts w:ascii="Times-Roman" w:hAnsi="Times-Roman" w:eastAsia="Times New Roman" w:cs="Times New Roman"/>
          <w:color w:val="000000"/>
          <w:sz w:val="24"/>
          <w:szCs w:val="24"/>
          <w:lang w:eastAsia="fr-FR"/>
        </w:rPr>
        <w:t xml:space="preserve">Première méthode historique (1982) qui consiste à utiliser le polyéthyléneglycol (PEG), un polymère qui déstabilise de façon réversible les membranes plasmiques, permettant ainsi le transfert de l’ADN au travers de la membrane. Cette méthode a permis l’obtention de maïs résistant à un herbicide, le glufosinate. Elle est également utilisée pour la betterave. </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Times-Roman">
    <w:altName w:val="Times New Roman"/>
    <w:panose1 w:val="00000000000000000000"/>
    <w:charset w:val="00"/>
    <w:family w:val="roman"/>
    <w:pitch w:val="default"/>
    <w:sig w:usb0="00000000" w:usb1="00000000" w:usb2="00000000" w:usb3="00000000" w:csb0="00000000" w:csb1="00000000"/>
  </w:font>
  <w:font w:name="Times-Bold">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Times-BoldItalic">
    <w:altName w:val="Times New Roman"/>
    <w:panose1 w:val="00000000000000000000"/>
    <w:charset w:val="00"/>
    <w:family w:val="roman"/>
    <w:pitch w:val="default"/>
    <w:sig w:usb0="00000000" w:usb1="00000000" w:usb2="00000000" w:usb3="00000000" w:csb0="00000000" w:csb1="00000000"/>
  </w:font>
  <w:font w:name="Microsoft JhengHei">
    <w:panose1 w:val="020B0604030504040204"/>
    <w:charset w:val="88"/>
    <w:family w:val="auto"/>
    <w:pitch w:val="default"/>
    <w:sig w:usb0="00000087" w:usb1="28A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293C8"/>
    <w:multiLevelType w:val="singleLevel"/>
    <w:tmpl w:val="AF4293C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30"/>
    <w:rsid w:val="000C7540"/>
    <w:rsid w:val="001B0493"/>
    <w:rsid w:val="001E3574"/>
    <w:rsid w:val="00421230"/>
    <w:rsid w:val="00554455"/>
    <w:rsid w:val="00634E0A"/>
    <w:rsid w:val="0085219E"/>
    <w:rsid w:val="00CC0820"/>
    <w:rsid w:val="00DD3B94"/>
    <w:rsid w:val="00FC30FA"/>
    <w:rsid w:val="11056E4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5"/>
    <w:semiHidden/>
    <w:unhideWhenUsed/>
    <w:qFormat/>
    <w:uiPriority w:val="99"/>
    <w:pPr>
      <w:spacing w:after="0" w:line="240" w:lineRule="auto"/>
    </w:pPr>
    <w:rPr>
      <w:rFonts w:ascii="Tahoma" w:hAnsi="Tahoma" w:cs="Tahoma"/>
      <w:sz w:val="16"/>
      <w:szCs w:val="16"/>
    </w:rPr>
  </w:style>
  <w:style w:type="character" w:customStyle="1" w:styleId="5">
    <w:name w:val="Texte de bulles Car"/>
    <w:basedOn w:val="2"/>
    <w:link w:val="3"/>
    <w:semiHidden/>
    <w:uiPriority w:val="99"/>
    <w:rPr>
      <w:rFonts w:ascii="Tahoma" w:hAnsi="Tahoma" w:cs="Tahoma"/>
      <w:sz w:val="16"/>
      <w:szCs w:val="16"/>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1433</Words>
  <Characters>7882</Characters>
  <Lines>65</Lines>
  <Paragraphs>18</Paragraphs>
  <TotalTime>18</TotalTime>
  <ScaleCrop>false</ScaleCrop>
  <LinksUpToDate>false</LinksUpToDate>
  <CharactersWithSpaces>9297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2024-12-07T22:19:00Z</dcterms:created>
  <dc:creator>user</dc:creator>
  <cp:lastModifiedBy>Sara Himour</cp:lastModifiedBy>
  <dcterms:modified xsi:type="dcterms:W3CDTF">2025-01-02T00:46:55Z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5DA0A7F96A424BA09F159177356F809B_13</vt:lpwstr>
  </property>
</Properties>
</file>