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33C03">
      <w:pPr>
        <w:spacing w:before="0" w:beforeAutospacing="0" w:after="0" w:afterAutospacing="0" w:line="360" w:lineRule="auto"/>
        <w:jc w:val="center"/>
        <w:rPr>
          <w:rFonts w:ascii="Times-BoldItalic" w:hAnsi="Times-BoldItalic"/>
          <w:b/>
          <w:bCs/>
          <w:i/>
          <w:iCs/>
          <w:color w:val="000000"/>
        </w:rPr>
      </w:pPr>
      <w:bookmarkStart w:id="0" w:name="_Toc91069074"/>
      <w:bookmarkEnd w:id="0"/>
      <w:r>
        <w:rPr>
          <w:rFonts w:hint="default" w:ascii="Times New Roman" w:hAnsi="Times New Roman"/>
          <w:b/>
          <w:bCs/>
          <w:sz w:val="28"/>
          <w:szCs w:val="28"/>
          <w:lang w:val="fr-FR"/>
        </w:rPr>
        <w:t xml:space="preserve">Chapitre 2 </w:t>
      </w:r>
      <w:r>
        <w:rPr>
          <w:rFonts w:ascii="Times-BoldItalic" w:hAnsi="Times-BoldItalic"/>
          <w:b/>
          <w:bCs/>
          <w:i/>
          <w:iCs/>
          <w:color w:val="000000"/>
        </w:rPr>
        <w:t xml:space="preserve"> Agrobacterium tumefaciens</w:t>
      </w:r>
    </w:p>
    <w:p w14:paraId="144A50AE">
      <w:pPr>
        <w:spacing w:before="0" w:beforeAutospacing="0" w:after="0" w:afterAutospacing="0" w:line="360" w:lineRule="auto"/>
        <w:jc w:val="both"/>
        <w:rPr>
          <w:rFonts w:ascii="Times New Roman" w:hAnsi="Times New Roman"/>
        </w:rPr>
      </w:pPr>
      <w:r>
        <w:rPr>
          <w:rFonts w:ascii="Times-BoldItalic" w:hAnsi="Times-BoldItalic"/>
          <w:b/>
          <w:bCs/>
          <w:i/>
          <w:iCs/>
          <w:color w:val="000000"/>
        </w:rPr>
        <w:t xml:space="preserve"> </w:t>
      </w:r>
    </w:p>
    <w:p w14:paraId="256AB18C">
      <w:pPr>
        <w:spacing w:before="0" w:beforeAutospacing="0" w:after="0" w:afterAutospacing="0" w:line="360" w:lineRule="auto"/>
        <w:jc w:val="both"/>
        <w:rPr>
          <w:rFonts w:ascii="Times New Roman" w:hAnsi="Times New Roman"/>
        </w:rPr>
      </w:pPr>
      <w:r>
        <w:rPr>
          <w:rFonts w:ascii="Times-Bold" w:hAnsi="Times-Bold"/>
          <w:b/>
          <w:bCs/>
          <w:color w:val="000000"/>
        </w:rPr>
        <w:t>2.1. Formation de la galle du collet (</w:t>
      </w:r>
      <w:r>
        <w:rPr>
          <w:rFonts w:ascii="Times-BoldItalic" w:hAnsi="Times-BoldItalic"/>
          <w:b/>
          <w:bCs/>
          <w:i/>
          <w:iCs/>
          <w:color w:val="000000"/>
        </w:rPr>
        <w:t>crown gall</w:t>
      </w:r>
      <w:r>
        <w:rPr>
          <w:rFonts w:ascii="Times-Bold" w:hAnsi="Times-Bold"/>
          <w:b/>
          <w:bCs/>
          <w:color w:val="000000"/>
        </w:rPr>
        <w:t xml:space="preserve">) </w:t>
      </w:r>
    </w:p>
    <w:p w14:paraId="1FC7ED34">
      <w:pPr>
        <w:spacing w:before="0" w:beforeAutospacing="0" w:after="0" w:afterAutospacing="0" w:line="360" w:lineRule="auto"/>
        <w:jc w:val="both"/>
        <w:rPr>
          <w:rFonts w:ascii="Times New Roman" w:hAnsi="Times New Roman"/>
        </w:rPr>
      </w:pPr>
      <w:r>
        <w:rPr>
          <w:rFonts w:ascii="Times-Italic" w:hAnsi="Times-Italic"/>
          <w:i/>
          <w:iCs/>
          <w:color w:val="000000"/>
        </w:rPr>
        <w:t>Agrobacterium tumefaciens</w:t>
      </w:r>
      <w:r>
        <w:rPr>
          <w:rFonts w:ascii="Times-Roman" w:hAnsi="Times-Roman"/>
          <w:color w:val="000000"/>
        </w:rPr>
        <w:t xml:space="preserve"> est une bactérie isolée pour la première fois en 1907 dans un fragment de galle par Smith et Townsend sous le nom de </w:t>
      </w:r>
      <w:r>
        <w:rPr>
          <w:rFonts w:ascii="Times-Italic" w:hAnsi="Times-Italic"/>
          <w:i/>
          <w:iCs/>
          <w:color w:val="000000"/>
        </w:rPr>
        <w:t>Bacterium tumefaciens</w:t>
      </w:r>
      <w:r>
        <w:rPr>
          <w:rFonts w:ascii="Times-Roman" w:hAnsi="Times-Roman"/>
          <w:color w:val="000000"/>
        </w:rPr>
        <w:t xml:space="preserve">. Cette maladie affecte le développement et la productivité de nombreuses plantes dont un certain nombre sont d’intérêt agronomique comme les pommiers, les poiriers, les rosiers, etc … </w:t>
      </w:r>
    </w:p>
    <w:p w14:paraId="6494E958">
      <w:pPr>
        <w:spacing w:before="0" w:beforeAutospacing="0" w:after="0" w:afterAutospacing="0" w:line="360" w:lineRule="auto"/>
        <w:jc w:val="both"/>
        <w:rPr>
          <w:rFonts w:ascii="Times New Roman" w:hAnsi="Times New Roman"/>
        </w:rPr>
      </w:pPr>
      <w:r>
        <w:rPr>
          <w:rFonts w:ascii="Times-Roman" w:hAnsi="Times-Roman"/>
          <w:color w:val="000000"/>
        </w:rPr>
        <w:t xml:space="preserve">Elle touche une large gamme de plantes : environ 640 espèces réparties dans 93 familles. </w:t>
      </w:r>
    </w:p>
    <w:p w14:paraId="09FCFF76">
      <w:pPr>
        <w:spacing w:before="0" w:beforeAutospacing="0" w:after="0" w:afterAutospacing="0" w:line="360" w:lineRule="auto"/>
        <w:jc w:val="both"/>
        <w:rPr>
          <w:rFonts w:ascii="Times New Roman" w:hAnsi="Times New Roman"/>
        </w:rPr>
      </w:pPr>
      <w:r>
        <w:rPr>
          <w:rFonts w:ascii="Times-Roman" w:hAnsi="Times-Roman"/>
          <w:color w:val="000000"/>
        </w:rPr>
        <w:t xml:space="preserve">L’étude approfondie du spectre d’hôte a mis en évidence un effet phytopathogène sur un grand nombre de dicotylédones et gymnospermes. En revanche, peu de monocotylédones développent des tumeurs. </w:t>
      </w:r>
      <w:r>
        <w:rPr>
          <w:rFonts w:ascii="Times-Italic" w:hAnsi="Times-Italic"/>
          <w:i/>
          <w:iCs/>
          <w:color w:val="000000"/>
        </w:rPr>
        <w:t>Agrobacterium</w:t>
      </w:r>
      <w:r>
        <w:rPr>
          <w:rFonts w:ascii="Times-Roman" w:hAnsi="Times-Roman"/>
          <w:color w:val="000000"/>
        </w:rPr>
        <w:t xml:space="preserve"> est capable de se fixer et d’introduire de nouveaux matériels génétiques dans une cellule végétale. À la suite de ce contact, ces cellules végétales se multiplient de manière importante, donnant naissance à une formation tumorale située au niveau du collet, d’où le nom de cette formation : la galle du collet (</w:t>
      </w:r>
      <w:r>
        <w:rPr>
          <w:rFonts w:ascii="Times-Italic" w:hAnsi="Times-Italic"/>
          <w:i/>
          <w:iCs/>
          <w:color w:val="000000"/>
        </w:rPr>
        <w:t>crown gall</w:t>
      </w:r>
      <w:r>
        <w:rPr>
          <w:rFonts w:ascii="Times-Roman" w:hAnsi="Times-Roman"/>
          <w:color w:val="000000"/>
        </w:rPr>
        <w:t xml:space="preserve">. </w:t>
      </w:r>
    </w:p>
    <w:p w14:paraId="20B6DE40">
      <w:pPr>
        <w:spacing w:before="0" w:beforeAutospacing="0" w:after="0" w:afterAutospacing="0" w:line="360" w:lineRule="auto"/>
        <w:jc w:val="both"/>
        <w:rPr>
          <w:rFonts w:ascii="Times-Roman" w:hAnsi="Times-Roman"/>
          <w:color w:val="000000"/>
        </w:rPr>
      </w:pPr>
      <w:r>
        <w:rPr>
          <w:rFonts w:ascii="Times-Roman" w:hAnsi="Times-Roman"/>
          <w:color w:val="000000"/>
        </w:rPr>
        <w:t>Ces tumeurs apparaissent au départ au niveau du collet de la plante puis au niveau des tiges et de la base des feuilles. Elles sont de couleur blanchâtre et de consistance molle, et sont plus ou moins sphériques avec une surface irrégulière. Leur taille peut atteindre parfois 30 cm de diamètre.</w:t>
      </w:r>
    </w:p>
    <w:p w14:paraId="67597627">
      <w:pPr>
        <w:keepNext w:val="0"/>
        <w:keepLines w:val="0"/>
        <w:widowControl/>
        <w:suppressLineNumbers w:val="0"/>
        <w:spacing w:line="360" w:lineRule="auto"/>
        <w:ind w:firstLine="708" w:firstLineChars="0"/>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En vieillissant, les tumeurs prennent une teinte brun-noirâtre, elles durcissent et se </w:t>
      </w:r>
    </w:p>
    <w:p w14:paraId="2F4EA258">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craquellent pouvant être la cible de micro-organismes tels que </w:t>
      </w:r>
      <w:r>
        <w:rPr>
          <w:rFonts w:hint="default" w:ascii="Times New Roman" w:hAnsi="Times New Roman" w:eastAsia="Times-Italic" w:cs="Times New Roman"/>
          <w:i/>
          <w:iCs/>
          <w:color w:val="000000"/>
          <w:kern w:val="0"/>
          <w:sz w:val="24"/>
          <w:szCs w:val="24"/>
          <w:lang w:val="en-US" w:eastAsia="zh-CN" w:bidi="ar"/>
        </w:rPr>
        <w:t xml:space="preserve">Phytophthora, Fusarium </w:t>
      </w:r>
    </w:p>
    <w:p w14:paraId="5933CEFC">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Italic" w:cs="Times New Roman"/>
          <w:i/>
          <w:iCs/>
          <w:color w:val="000000"/>
          <w:kern w:val="0"/>
          <w:sz w:val="24"/>
          <w:szCs w:val="24"/>
          <w:lang w:val="en-US" w:eastAsia="zh-CN" w:bidi="ar"/>
        </w:rPr>
        <w:t>Cylindrocarpon</w:t>
      </w:r>
      <w:r>
        <w:rPr>
          <w:rFonts w:hint="default" w:ascii="Times New Roman" w:hAnsi="Times New Roman" w:eastAsia="Times-Roman" w:cs="Times New Roman"/>
          <w:color w:val="000000"/>
          <w:kern w:val="0"/>
          <w:sz w:val="24"/>
          <w:szCs w:val="24"/>
          <w:lang w:val="en-US" w:eastAsia="zh-CN" w:bidi="ar"/>
        </w:rPr>
        <w:t xml:space="preserve">..., qui participent au dépérissement de la plante infectée. Depuis 1974, on </w:t>
      </w:r>
    </w:p>
    <w:p w14:paraId="0F85CD78">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sait que cette induction est due au transfert d’un petit ADN plasmidique depuis la bactérie </w:t>
      </w:r>
    </w:p>
    <w:p w14:paraId="7F6124FC">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jusque dans le génome des cellules de la plante. </w:t>
      </w:r>
    </w:p>
    <w:p w14:paraId="7A4A8A0D">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Une première caractéristique des tissus résultant de l’infection par </w:t>
      </w:r>
      <w:r>
        <w:rPr>
          <w:rFonts w:hint="default" w:ascii="Times New Roman" w:hAnsi="Times New Roman" w:eastAsia="Times-Italic" w:cs="Times New Roman"/>
          <w:i/>
          <w:iCs/>
          <w:color w:val="000000"/>
          <w:kern w:val="0"/>
          <w:sz w:val="24"/>
          <w:szCs w:val="24"/>
          <w:lang w:val="en-US" w:eastAsia="zh-CN" w:bidi="ar"/>
        </w:rPr>
        <w:t xml:space="preserve">Agrobacterium </w:t>
      </w:r>
    </w:p>
    <w:p w14:paraId="7CCC07C5">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Italic" w:cs="Times New Roman"/>
          <w:i/>
          <w:iCs/>
          <w:color w:val="000000"/>
          <w:kern w:val="0"/>
          <w:sz w:val="24"/>
          <w:szCs w:val="24"/>
          <w:lang w:val="en-US" w:eastAsia="zh-CN" w:bidi="ar"/>
        </w:rPr>
        <w:t>tumefaciens</w:t>
      </w:r>
      <w:r>
        <w:rPr>
          <w:rFonts w:hint="default" w:ascii="Times New Roman" w:hAnsi="Times New Roman" w:eastAsia="Times-Roman" w:cs="Times New Roman"/>
          <w:color w:val="000000"/>
          <w:kern w:val="0"/>
          <w:sz w:val="24"/>
          <w:szCs w:val="24"/>
          <w:lang w:val="en-US" w:eastAsia="zh-CN" w:bidi="ar"/>
        </w:rPr>
        <w:t xml:space="preserve"> est qu’ils sont capables de croitre indéfiniment, en absence de tout régulateur </w:t>
      </w:r>
    </w:p>
    <w:p w14:paraId="36EE53F7">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de croissance. La seconde caractéristique est leur aptitude à synthétiser une novelle classe </w:t>
      </w:r>
    </w:p>
    <w:p w14:paraId="3CC67A3E">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de molécules de faible masse moléculaire, les opines, dérivés de sucres et d’acides aminés. </w:t>
      </w:r>
    </w:p>
    <w:p w14:paraId="19ED107C">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Enfin, une dernière caractéristique est la présence simultanée de cellules végétales </w:t>
      </w:r>
    </w:p>
    <w:p w14:paraId="3404BD31">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transformées et de cellules non transformées </w:t>
      </w:r>
      <w:r>
        <w:rPr>
          <w:rFonts w:hint="default" w:ascii="Times New Roman" w:hAnsi="Times New Roman" w:eastAsia="Times-Bold" w:cs="Times New Roman"/>
          <w:b/>
          <w:bCs/>
          <w:color w:val="000000"/>
          <w:kern w:val="0"/>
          <w:sz w:val="24"/>
          <w:szCs w:val="24"/>
          <w:lang w:val="en-US" w:eastAsia="zh-CN" w:bidi="ar"/>
        </w:rPr>
        <w:t>(Figure 06)</w:t>
      </w:r>
      <w:r>
        <w:rPr>
          <w:rFonts w:hint="default" w:ascii="Times New Roman" w:hAnsi="Times New Roman" w:eastAsia="Times-Roman" w:cs="Times New Roman"/>
          <w:color w:val="000000"/>
          <w:kern w:val="0"/>
          <w:sz w:val="24"/>
          <w:szCs w:val="24"/>
          <w:lang w:val="en-US" w:eastAsia="zh-CN" w:bidi="ar"/>
        </w:rPr>
        <w:t xml:space="preserve">. </w:t>
      </w:r>
    </w:p>
    <w:p w14:paraId="4CAE3CBB">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2.2. Structure du génome d’</w:t>
      </w:r>
      <w:r>
        <w:rPr>
          <w:rFonts w:hint="default" w:ascii="Times New Roman" w:hAnsi="Times New Roman" w:eastAsia="Times-BoldItalic" w:cs="Times New Roman"/>
          <w:b/>
          <w:bCs/>
          <w:i/>
          <w:iCs/>
          <w:color w:val="000000"/>
          <w:kern w:val="0"/>
          <w:sz w:val="24"/>
          <w:szCs w:val="24"/>
          <w:lang w:val="en-US" w:eastAsia="zh-CN" w:bidi="ar"/>
        </w:rPr>
        <w:t xml:space="preserve">A. tumefaciens </w:t>
      </w:r>
    </w:p>
    <w:p w14:paraId="7240C26E">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La souche modèle </w:t>
      </w:r>
      <w:r>
        <w:rPr>
          <w:rFonts w:hint="default" w:ascii="Times New Roman" w:hAnsi="Times New Roman" w:eastAsia="Times-Italic" w:cs="Times New Roman"/>
          <w:i/>
          <w:iCs/>
          <w:color w:val="000000"/>
          <w:kern w:val="0"/>
          <w:sz w:val="24"/>
          <w:szCs w:val="24"/>
          <w:lang w:val="en-US" w:eastAsia="zh-CN" w:bidi="ar"/>
        </w:rPr>
        <w:t>Agrobacterium tumefaciens</w:t>
      </w:r>
      <w:r>
        <w:rPr>
          <w:rFonts w:hint="default" w:ascii="Times New Roman" w:hAnsi="Times New Roman" w:eastAsia="Times-Roman" w:cs="Times New Roman"/>
          <w:color w:val="000000"/>
          <w:kern w:val="0"/>
          <w:sz w:val="24"/>
          <w:szCs w:val="24"/>
          <w:lang w:val="en-US" w:eastAsia="zh-CN" w:bidi="ar"/>
        </w:rPr>
        <w:t xml:space="preserve"> C58 a été complètement séquencée. Elle </w:t>
      </w:r>
    </w:p>
    <w:p w14:paraId="536E6485">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possède quatre réplicons : un chromosome circulaire (CcC58, 2,84Mb) comportant la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plupart des gènes impliqués dans les processus biologiques essentiels à la survie de la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bactérie (synthèse d’acides nucléiques, traduction, métabolisme des acides aminés …), un chromosome linéaire (LcC58, 2,07Mb), un plasmide cryptique At (pAtC58, 0,54Mb) et un </w:t>
      </w:r>
    </w:p>
    <w:p w14:paraId="2E6ED546">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plasmide Ti (« </w:t>
      </w:r>
      <w:r>
        <w:rPr>
          <w:rFonts w:hint="default" w:ascii="Times New Roman" w:hAnsi="Times New Roman" w:eastAsia="Times-Italic" w:cs="Times New Roman"/>
          <w:i/>
          <w:iCs/>
          <w:color w:val="000000"/>
          <w:kern w:val="0"/>
          <w:sz w:val="24"/>
          <w:szCs w:val="24"/>
          <w:lang w:val="en-US" w:eastAsia="zh-CN" w:bidi="ar"/>
        </w:rPr>
        <w:t xml:space="preserve">Tumor inducing </w:t>
      </w:r>
      <w:r>
        <w:rPr>
          <w:rFonts w:hint="default" w:ascii="Times New Roman" w:hAnsi="Times New Roman" w:eastAsia="Times-Roman" w:cs="Times New Roman"/>
          <w:color w:val="000000"/>
          <w:kern w:val="0"/>
          <w:sz w:val="24"/>
          <w:szCs w:val="24"/>
          <w:lang w:val="en-US" w:eastAsia="zh-CN" w:bidi="ar"/>
        </w:rPr>
        <w:t xml:space="preserve">», pTiC58, 0,21Mb). Son génome contient 5419 gènes </w:t>
      </w:r>
    </w:p>
    <w:p w14:paraId="262AD972">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codant pour des protéines dont plus de 60% possèdent une fonction putative attribuée par </w:t>
      </w:r>
    </w:p>
    <w:p w14:paraId="0EE1FCF6">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homologie de séquences.</w:t>
      </w:r>
    </w:p>
    <w:p w14:paraId="23A7C2E0">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2.3. Organisation du plasmide Ti « pTi : </w:t>
      </w:r>
      <w:r>
        <w:rPr>
          <w:rFonts w:hint="default" w:ascii="Times New Roman" w:hAnsi="Times New Roman" w:eastAsia="Times-BoldItalic" w:cs="Times New Roman"/>
          <w:b/>
          <w:bCs/>
          <w:i/>
          <w:iCs/>
          <w:color w:val="000000"/>
          <w:kern w:val="0"/>
          <w:sz w:val="24"/>
          <w:szCs w:val="24"/>
          <w:lang w:val="en-US" w:eastAsia="zh-CN" w:bidi="ar"/>
        </w:rPr>
        <w:t>Tumor inducing</w:t>
      </w:r>
      <w:r>
        <w:rPr>
          <w:rFonts w:hint="default" w:ascii="Times New Roman" w:hAnsi="Times New Roman" w:eastAsia="Times-Bold" w:cs="Times New Roman"/>
          <w:b/>
          <w:bCs/>
          <w:color w:val="000000"/>
          <w:kern w:val="0"/>
          <w:sz w:val="24"/>
          <w:szCs w:val="24"/>
          <w:lang w:val="en-US" w:eastAsia="zh-CN" w:bidi="ar"/>
        </w:rPr>
        <w:t xml:space="preserve"> » </w:t>
      </w:r>
    </w:p>
    <w:p w14:paraId="3F39F9C7">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Italic" w:cs="Times New Roman"/>
          <w:i/>
          <w:iCs/>
          <w:color w:val="000000"/>
          <w:kern w:val="0"/>
          <w:sz w:val="24"/>
          <w:szCs w:val="24"/>
          <w:lang w:val="en-US" w:eastAsia="zh-CN" w:bidi="ar"/>
        </w:rPr>
        <w:t>Agrobacterium tumefaciens</w:t>
      </w:r>
      <w:r>
        <w:rPr>
          <w:rFonts w:hint="default" w:ascii="Times New Roman" w:hAnsi="Times New Roman" w:eastAsia="Times-Roman" w:cs="Times New Roman"/>
          <w:color w:val="000000"/>
          <w:kern w:val="0"/>
          <w:sz w:val="24"/>
          <w:szCs w:val="24"/>
          <w:lang w:val="en-US" w:eastAsia="zh-CN" w:bidi="ar"/>
        </w:rPr>
        <w:t xml:space="preserve"> est capable d’injecter un ADN dans une cellule végétale où </w:t>
      </w:r>
    </w:p>
    <w:p w14:paraId="7E773784">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il s’insère dans le génome chromosomique. Cet ADN, qui peut circuler ainsi d’un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organisme à un autre, est un fragment de plasmide : le plasmide Ti (</w:t>
      </w:r>
      <w:r>
        <w:rPr>
          <w:rFonts w:hint="default" w:ascii="Times New Roman" w:hAnsi="Times New Roman" w:eastAsia="Times-Italic" w:cs="Times New Roman"/>
          <w:i/>
          <w:iCs/>
          <w:color w:val="000000"/>
          <w:kern w:val="0"/>
          <w:sz w:val="24"/>
          <w:szCs w:val="24"/>
          <w:lang w:val="en-US" w:eastAsia="zh-CN" w:bidi="ar"/>
        </w:rPr>
        <w:t>tumor inducing</w:t>
      </w:r>
      <w:r>
        <w:rPr>
          <w:rFonts w:hint="default" w:ascii="Times New Roman" w:hAnsi="Times New Roman" w:eastAsia="Times-Roman" w:cs="Times New Roman"/>
          <w:color w:val="000000"/>
          <w:kern w:val="0"/>
          <w:sz w:val="24"/>
          <w:szCs w:val="24"/>
          <w:lang w:val="en-US" w:eastAsia="zh-CN" w:bidi="ar"/>
        </w:rPr>
        <w:t>). L’ADN qui est ainsi transféré est nommé ADN-T (</w:t>
      </w:r>
      <w:r>
        <w:rPr>
          <w:rFonts w:hint="default" w:ascii="Times New Roman" w:hAnsi="Times New Roman" w:eastAsia="Times-Italic" w:cs="Times New Roman"/>
          <w:i/>
          <w:iCs/>
          <w:color w:val="000000"/>
          <w:kern w:val="0"/>
          <w:sz w:val="24"/>
          <w:szCs w:val="24"/>
          <w:lang w:val="en-US" w:eastAsia="zh-CN" w:bidi="ar"/>
        </w:rPr>
        <w:t>Tansferred DNA</w:t>
      </w:r>
      <w:r>
        <w:rPr>
          <w:rFonts w:hint="default" w:ascii="Times New Roman" w:hAnsi="Times New Roman" w:eastAsia="Times-Roman" w:cs="Times New Roman"/>
          <w:color w:val="000000"/>
          <w:kern w:val="0"/>
          <w:sz w:val="24"/>
          <w:szCs w:val="24"/>
          <w:lang w:val="en-US" w:eastAsia="zh-CN" w:bidi="ar"/>
        </w:rPr>
        <w:t xml:space="preserve">). Il a été rapidement proposé, une fois ce mécanisme connu, de le détourner dans un but de transgenèse. Pour </w:t>
      </w:r>
    </w:p>
    <w:p w14:paraId="36D880FA">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cela, il suffit de remplacer l’ADN-T par un autre ADN portant un gène d’intérêt, par </w:t>
      </w:r>
    </w:p>
    <w:p w14:paraId="517C314C">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exemple.Le plasmide pTi déterminant essentiel de la pathogénicité des agrobactéries, n’est </w:t>
      </w:r>
    </w:p>
    <w:p w14:paraId="6895F292">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présent qu’en un seul exemplaire dans les bactéries qui les hébergent. De la meme facon </w:t>
      </w:r>
    </w:p>
    <w:p w14:paraId="21CA078F">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que l’on parle des agrobactéries de souche à octopine ou à nopaline, on parlera de plasmide </w:t>
      </w:r>
    </w:p>
    <w:p w14:paraId="169119DC">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Ti à octopine, à nopaline, etc. Ce mégaplasmide est constitué d’un nombre de régions </w:t>
      </w:r>
    </w:p>
    <w:p w14:paraId="34E5FFB3">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fonctionnelles qui sont : les deux bordures droite et gauche (BD et BR), la région de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l’origine de réplication (ori), les gènes de transfert conjugatif (tra et trb), les gènes de virulence (vir), les gènes du catabolisme des opines (noc, acc, moc) et les gènes du T-DNA </w:t>
      </w:r>
    </w:p>
    <w:p w14:paraId="039F5ED3">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(Figure 07)</w:t>
      </w:r>
      <w:r>
        <w:rPr>
          <w:rFonts w:hint="default" w:ascii="Times New Roman" w:hAnsi="Times New Roman" w:eastAsia="Times-Roman" w:cs="Times New Roman"/>
          <w:color w:val="000000"/>
          <w:kern w:val="0"/>
          <w:sz w:val="24"/>
          <w:szCs w:val="24"/>
          <w:lang w:val="en-US" w:eastAsia="zh-CN" w:bidi="ar"/>
        </w:rPr>
        <w:t>.</w:t>
      </w:r>
    </w:p>
    <w:p w14:paraId="625FBA9C">
      <w:pPr>
        <w:spacing w:before="0" w:beforeAutospacing="0" w:after="0" w:afterAutospacing="0" w:line="360" w:lineRule="auto"/>
        <w:jc w:val="both"/>
      </w:pPr>
      <w:r>
        <w:drawing>
          <wp:inline distT="0" distB="0" distL="114300" distR="114300">
            <wp:extent cx="5758180" cy="3783965"/>
            <wp:effectExtent l="0" t="0" r="1397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6"/>
                    <a:stretch>
                      <a:fillRect/>
                    </a:stretch>
                  </pic:blipFill>
                  <pic:spPr>
                    <a:xfrm>
                      <a:off x="0" y="0"/>
                      <a:ext cx="5758180" cy="3783965"/>
                    </a:xfrm>
                    <a:prstGeom prst="rect">
                      <a:avLst/>
                    </a:prstGeom>
                    <a:noFill/>
                    <a:ln>
                      <a:noFill/>
                    </a:ln>
                  </pic:spPr>
                </pic:pic>
              </a:graphicData>
            </a:graphic>
          </wp:inline>
        </w:drawing>
      </w:r>
    </w:p>
    <w:p w14:paraId="2234325C">
      <w:pPr>
        <w:keepNext w:val="0"/>
        <w:keepLines w:val="0"/>
        <w:widowControl/>
        <w:suppressLineNumbers w:val="0"/>
        <w:jc w:val="center"/>
        <w:rPr>
          <w:sz w:val="24"/>
          <w:szCs w:val="24"/>
        </w:rPr>
      </w:pPr>
      <w:r>
        <w:rPr>
          <w:rFonts w:ascii="Times-Bold" w:hAnsi="Times-Bold" w:eastAsia="Times-Bold" w:cs="Times-Bold"/>
          <w:b/>
          <w:bCs/>
          <w:color w:val="000000"/>
          <w:kern w:val="0"/>
          <w:sz w:val="24"/>
          <w:szCs w:val="24"/>
          <w:lang w:val="en-US" w:eastAsia="zh-CN" w:bidi="ar"/>
        </w:rPr>
        <w:t>Figure 07 :</w:t>
      </w:r>
      <w:r>
        <w:rPr>
          <w:rFonts w:ascii="Times-Roman" w:hAnsi="Times-Roman" w:eastAsia="Times-Roman" w:cs="Times-Roman"/>
          <w:color w:val="000000"/>
          <w:kern w:val="0"/>
          <w:sz w:val="24"/>
          <w:szCs w:val="24"/>
          <w:lang w:val="en-US" w:eastAsia="zh-CN" w:bidi="ar"/>
        </w:rPr>
        <w:t xml:space="preserve"> Organisation des plasmides pTiC58 à octopine et à nopaline</w:t>
      </w:r>
    </w:p>
    <w:p w14:paraId="274A811B">
      <w:pPr>
        <w:keepNext w:val="0"/>
        <w:keepLines w:val="0"/>
        <w:widowControl/>
        <w:suppressLineNumbers w:val="0"/>
        <w:jc w:val="center"/>
        <w:rPr>
          <w:sz w:val="24"/>
          <w:szCs w:val="24"/>
        </w:rPr>
      </w:pPr>
      <w:r>
        <w:rPr>
          <w:rFonts w:hint="default" w:ascii="Times-Roman" w:hAnsi="Times-Roman" w:eastAsia="Times-Roman" w:cs="Times-Roman"/>
          <w:color w:val="000000"/>
          <w:kern w:val="0"/>
          <w:sz w:val="24"/>
          <w:szCs w:val="24"/>
          <w:lang w:val="en-US" w:eastAsia="zh-CN" w:bidi="ar"/>
        </w:rPr>
        <w:t>d’</w:t>
      </w:r>
      <w:r>
        <w:rPr>
          <w:rFonts w:ascii="Times-Italic" w:hAnsi="Times-Italic" w:eastAsia="Times-Italic" w:cs="Times-Italic"/>
          <w:i/>
          <w:iCs/>
          <w:color w:val="000000"/>
          <w:kern w:val="0"/>
          <w:sz w:val="24"/>
          <w:szCs w:val="24"/>
          <w:lang w:val="en-US" w:eastAsia="zh-CN" w:bidi="ar"/>
        </w:rPr>
        <w:t>Agrobacterium tumefaciens</w:t>
      </w:r>
      <w:r>
        <w:rPr>
          <w:rFonts w:hint="default" w:ascii="Times-Roman" w:hAnsi="Times-Roman" w:eastAsia="Times-Roman" w:cs="Times-Roman"/>
          <w:color w:val="000000"/>
          <w:kern w:val="0"/>
          <w:sz w:val="24"/>
          <w:szCs w:val="24"/>
          <w:lang w:val="en-US" w:eastAsia="zh-CN" w:bidi="ar"/>
        </w:rPr>
        <w:t xml:space="preserve"> (Franche, 2013).</w:t>
      </w:r>
    </w:p>
    <w:p w14:paraId="4CD37372">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Times-Bold" w:cs="Times New Roman"/>
          <w:b/>
          <w:bCs/>
          <w:color w:val="000000"/>
          <w:kern w:val="0"/>
          <w:sz w:val="24"/>
          <w:szCs w:val="24"/>
          <w:lang w:val="en-US" w:eastAsia="zh-CN" w:bidi="ar"/>
        </w:rPr>
        <w:t xml:space="preserve">a. ADN-T </w:t>
      </w:r>
    </w:p>
    <w:p w14:paraId="42CCDE9A">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L'ADN-T est délimité par deux séquences répétées, bordure droite RB (pour </w:t>
      </w:r>
      <w:r>
        <w:rPr>
          <w:rFonts w:hint="default" w:ascii="Times New Roman" w:hAnsi="Times New Roman" w:eastAsia="Times-Italic" w:cs="Times New Roman"/>
          <w:i/>
          <w:iCs/>
          <w:color w:val="000000"/>
          <w:kern w:val="0"/>
          <w:sz w:val="24"/>
          <w:szCs w:val="24"/>
          <w:lang w:val="en-US" w:eastAsia="zh-CN" w:bidi="ar"/>
        </w:rPr>
        <w:t xml:space="preserve">right </w:t>
      </w:r>
      <w:r>
        <w:rPr>
          <w:rFonts w:hint="default" w:ascii="Times New Roman" w:hAnsi="Times New Roman" w:eastAsia="Times-Italic" w:cs="Times New Roman"/>
          <w:i/>
          <w:iCs/>
          <w:color w:val="000000"/>
          <w:kern w:val="0"/>
          <w:sz w:val="24"/>
          <w:szCs w:val="24"/>
          <w:lang w:val="fr-FR" w:eastAsia="zh-CN" w:bidi="ar"/>
        </w:rPr>
        <w:t xml:space="preserve"> </w:t>
      </w:r>
      <w:r>
        <w:rPr>
          <w:rFonts w:hint="default" w:ascii="Times New Roman" w:hAnsi="Times New Roman" w:eastAsia="Times-Italic" w:cs="Times New Roman"/>
          <w:i/>
          <w:iCs/>
          <w:color w:val="000000"/>
          <w:kern w:val="0"/>
          <w:sz w:val="24"/>
          <w:szCs w:val="24"/>
          <w:lang w:val="en-US" w:eastAsia="zh-CN" w:bidi="ar"/>
        </w:rPr>
        <w:t>border</w:t>
      </w:r>
      <w:r>
        <w:rPr>
          <w:rFonts w:hint="default" w:ascii="Times New Roman" w:hAnsi="Times New Roman" w:eastAsia="Times-Roman" w:cs="Times New Roman"/>
          <w:color w:val="000000"/>
          <w:kern w:val="0"/>
          <w:sz w:val="24"/>
          <w:szCs w:val="24"/>
          <w:lang w:val="en-US" w:eastAsia="zh-CN" w:bidi="ar"/>
        </w:rPr>
        <w:t xml:space="preserve">) et bordure gauche LB (pour </w:t>
      </w:r>
      <w:r>
        <w:rPr>
          <w:rFonts w:hint="default" w:ascii="Times New Roman" w:hAnsi="Times New Roman" w:eastAsia="Times-Italic" w:cs="Times New Roman"/>
          <w:i/>
          <w:iCs/>
          <w:color w:val="000000"/>
          <w:kern w:val="0"/>
          <w:sz w:val="24"/>
          <w:szCs w:val="24"/>
          <w:lang w:val="en-US" w:eastAsia="zh-CN" w:bidi="ar"/>
        </w:rPr>
        <w:t>left border</w:t>
      </w:r>
      <w:r>
        <w:rPr>
          <w:rFonts w:hint="default" w:ascii="Times New Roman" w:hAnsi="Times New Roman" w:eastAsia="Times-Roman" w:cs="Times New Roman"/>
          <w:color w:val="000000"/>
          <w:kern w:val="0"/>
          <w:sz w:val="24"/>
          <w:szCs w:val="24"/>
          <w:lang w:val="en-US" w:eastAsia="zh-CN" w:bidi="ar"/>
        </w:rPr>
        <w:t xml:space="preserve">), constituées par des séquences de 25 nucléotides. Ces séquences servent de sites de reconnaissance pour une endonucléase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spécifique qui n'hydrolyse qu'un des deux brins d'ADN. Puis un processus d'excision</w:t>
      </w:r>
      <w:r>
        <w:rPr>
          <w:rFonts w:hint="default" w:ascii="Times New Roman" w:hAnsi="Times New Roman" w:eastAsia="Times-Roman" w:cs="Times New Roman"/>
          <w:color w:val="000000"/>
          <w:kern w:val="0"/>
          <w:sz w:val="24"/>
          <w:szCs w:val="24"/>
          <w:lang w:val="en-US" w:eastAsia="zh-CN" w:bidi="ar"/>
        </w:rPr>
        <w:t/>
      </w:r>
      <w:r>
        <w:rPr>
          <w:rFonts w:hint="default" w:ascii="Times New Roman" w:hAnsi="Times New Roman" w:eastAsia="Times-Roman" w:cs="Times New Roman"/>
          <w:color w:val="000000"/>
          <w:kern w:val="0"/>
          <w:sz w:val="24"/>
          <w:szCs w:val="24"/>
          <w:lang w:val="en-US" w:eastAsia="zh-CN" w:bidi="ar"/>
        </w:rPr>
        <w:t xml:space="preserve">réparation aboutit à l'expulsion d'un fragment ADN simple brin pris en charge par des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protéines SSB (</w:t>
      </w:r>
      <w:r>
        <w:rPr>
          <w:rFonts w:hint="default" w:ascii="Times New Roman" w:hAnsi="Times New Roman" w:eastAsia="Times-Italic" w:cs="Times New Roman"/>
          <w:i/>
          <w:iCs/>
          <w:color w:val="000000"/>
          <w:kern w:val="0"/>
          <w:sz w:val="24"/>
          <w:szCs w:val="24"/>
          <w:lang w:val="en-US" w:eastAsia="zh-CN" w:bidi="ar"/>
        </w:rPr>
        <w:t>single strand binding</w:t>
      </w:r>
      <w:r>
        <w:rPr>
          <w:rFonts w:hint="default" w:ascii="Times New Roman" w:hAnsi="Times New Roman" w:eastAsia="Times-Roman" w:cs="Times New Roman"/>
          <w:color w:val="000000"/>
          <w:kern w:val="0"/>
          <w:sz w:val="24"/>
          <w:szCs w:val="24"/>
          <w:lang w:val="en-US" w:eastAsia="zh-CN" w:bidi="ar"/>
        </w:rPr>
        <w:t xml:space="preserve">) tandis que le plasmide Ti est remis sous forme </w:t>
      </w:r>
    </w:p>
    <w:p w14:paraId="60B3CEFD">
      <w:pPr>
        <w:keepNext w:val="0"/>
        <w:keepLines w:val="0"/>
        <w:widowControl/>
        <w:suppressLineNumbers w:val="0"/>
        <w:spacing w:line="360" w:lineRule="auto"/>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circulaire double brin.</w:t>
      </w:r>
    </w:p>
    <w:p w14:paraId="21E66A87">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C'est la région comprise entre les deux bordures qui est transférée. Elle contient les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gènes qui confèrent à la plante des propriétés tumorales, c'est-à-dire qu'ils entraînent la prolifération continue et incontrôlée des cellules végétales (la tumorisation) par production d'hormones de croissance (auxine et cytokinine). Des gènes entraînant la biosynthèse de composés azotés particuliers appelés : opines sont également présents sur l'ADN-T. </w:t>
      </w:r>
    </w:p>
    <w:p w14:paraId="44CB86B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Times-Bold" w:cs="Times New Roman"/>
          <w:b/>
          <w:bCs/>
          <w:color w:val="000000"/>
          <w:kern w:val="0"/>
          <w:sz w:val="24"/>
          <w:szCs w:val="24"/>
          <w:lang w:val="en-US" w:eastAsia="zh-CN" w:bidi="ar"/>
        </w:rPr>
        <w:t xml:space="preserve">Les oncogènes </w:t>
      </w:r>
    </w:p>
    <w:p w14:paraId="32C00892">
      <w:pPr>
        <w:keepNext w:val="0"/>
        <w:keepLines w:val="0"/>
        <w:widowControl/>
        <w:suppressLineNumbers w:val="0"/>
        <w:spacing w:line="360" w:lineRule="auto"/>
        <w:ind w:left="120" w:hanging="120" w:hangingChars="5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Par définition, un oncogène est capable par lui-même de causer une transformation néoplasique et de donner l’apparence du phénotype tumoral à la cellule qui le renferme.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Chez </w:t>
      </w:r>
      <w:r>
        <w:rPr>
          <w:rFonts w:hint="default" w:ascii="Times New Roman" w:hAnsi="Times New Roman" w:eastAsia="Times-Italic" w:cs="Times New Roman"/>
          <w:i/>
          <w:iCs/>
          <w:color w:val="000000"/>
          <w:kern w:val="0"/>
          <w:sz w:val="24"/>
          <w:szCs w:val="24"/>
          <w:lang w:val="en-US" w:eastAsia="zh-CN" w:bidi="ar"/>
        </w:rPr>
        <w:t>A. tumefaciens</w:t>
      </w:r>
      <w:r>
        <w:rPr>
          <w:rFonts w:hint="default" w:ascii="Times New Roman" w:hAnsi="Times New Roman" w:eastAsia="Times-Roman" w:cs="Times New Roman"/>
          <w:color w:val="000000"/>
          <w:kern w:val="0"/>
          <w:sz w:val="24"/>
          <w:szCs w:val="24"/>
          <w:lang w:val="en-US" w:eastAsia="zh-CN" w:bidi="ar"/>
        </w:rPr>
        <w:t xml:space="preserve">, le terme oncogène semble approprié pour les gènes du T-DNA tels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que iaaM et iaaH (du locus tms) codant pour les enzymes impliqués dans une nouvelle voie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de biosynthèse de l’AIA (acide indole-3-acétique), auxine majeure endogène des plante, ipt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(du locus tmr) code une isopentenyl transférase qui catalyse la synthèse de la cytokynine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isopentenyladenosine 5’MP à partir de l’isopentyl-pyrophosphate et 5’AMP </w:t>
      </w:r>
      <w:r>
        <w:rPr>
          <w:rFonts w:hint="default" w:ascii="Times New Roman" w:hAnsi="Times New Roman" w:eastAsia="Times-Bold" w:cs="Times New Roman"/>
          <w:b/>
          <w:bCs/>
          <w:color w:val="000000"/>
          <w:kern w:val="0"/>
          <w:sz w:val="24"/>
          <w:szCs w:val="24"/>
          <w:lang w:val="en-US" w:eastAsia="zh-CN" w:bidi="ar"/>
        </w:rPr>
        <w:t>(Figure 08)</w:t>
      </w:r>
      <w:r>
        <w:rPr>
          <w:rFonts w:hint="default" w:ascii="Times New Roman" w:hAnsi="Times New Roman" w:eastAsia="Times-Roman" w:cs="Times New Roman"/>
          <w:color w:val="000000"/>
          <w:kern w:val="0"/>
          <w:sz w:val="24"/>
          <w:szCs w:val="24"/>
          <w:lang w:val="en-US" w:eastAsia="zh-CN" w:bidi="ar"/>
        </w:rPr>
        <w:t xml:space="preserve">. </w:t>
      </w:r>
    </w:p>
    <w:p w14:paraId="1E0E86C1">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Times-Bold" w:cs="Times New Roman"/>
          <w:b/>
          <w:bCs/>
          <w:color w:val="000000"/>
          <w:kern w:val="0"/>
          <w:sz w:val="24"/>
          <w:szCs w:val="24"/>
          <w:lang w:val="en-US" w:eastAsia="zh-CN" w:bidi="ar"/>
        </w:rPr>
        <w:t xml:space="preserve">Les opines </w:t>
      </w:r>
    </w:p>
    <w:p w14:paraId="60D7E038">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Les opines (nopaline ou octopine) sont des protéines spécifiques des bactéries qui ne sont pas habituellement présentes dans les tissus sains. Relâchées dans le milieu, les opines favorisent la multiplication des souches pathogènes et détournent une partie de l'activité photosynthétique de la plante au profit des bactéries. Ces derniers servent de source de carbone, d’azote et d'énergie pour les bactéries </w:t>
      </w:r>
      <w:r>
        <w:rPr>
          <w:rFonts w:hint="default" w:ascii="Times New Roman" w:hAnsi="Times New Roman" w:eastAsia="Times-Bold" w:cs="Times New Roman"/>
          <w:b/>
          <w:bCs/>
          <w:color w:val="000000"/>
          <w:kern w:val="0"/>
          <w:sz w:val="24"/>
          <w:szCs w:val="24"/>
          <w:lang w:val="en-US" w:eastAsia="zh-CN" w:bidi="ar"/>
        </w:rPr>
        <w:t>(Figure 08)</w:t>
      </w:r>
      <w:r>
        <w:rPr>
          <w:rFonts w:hint="default" w:ascii="Times New Roman" w:hAnsi="Times New Roman" w:eastAsia="Times-Roman" w:cs="Times New Roman"/>
          <w:color w:val="000000"/>
          <w:kern w:val="0"/>
          <w:sz w:val="24"/>
          <w:szCs w:val="24"/>
          <w:lang w:val="en-US" w:eastAsia="zh-CN" w:bidi="ar"/>
        </w:rPr>
        <w:t xml:space="preserve">. </w:t>
      </w:r>
    </w:p>
    <w:p w14:paraId="2A6CCF54">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b. Région de virulence </w:t>
      </w:r>
    </w:p>
    <w:p w14:paraId="775F2ED5">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Sur le plasmide, en dehors de l'ADN-T, on trouve une région de virulence d’environ 30- 40 kb, qui n'entraîne pas directement la formation de la maladie, mais est indispensable au transfert et à l'intégration de l'ADN-T. Cette région comprenant des gènes </w:t>
      </w:r>
      <w:r>
        <w:rPr>
          <w:rFonts w:hint="default" w:ascii="Times New Roman" w:hAnsi="Times New Roman" w:eastAsia="Times-Italic" w:cs="Times New Roman"/>
          <w:i/>
          <w:iCs/>
          <w:color w:val="000000"/>
          <w:kern w:val="0"/>
          <w:sz w:val="24"/>
          <w:szCs w:val="24"/>
          <w:lang w:val="en-US" w:eastAsia="zh-CN" w:bidi="ar"/>
        </w:rPr>
        <w:t xml:space="preserve">vir </w:t>
      </w:r>
      <w:r>
        <w:rPr>
          <w:rFonts w:hint="default" w:ascii="Times New Roman" w:hAnsi="Times New Roman" w:eastAsia="Times-Roman" w:cs="Times New Roman"/>
          <w:color w:val="000000"/>
          <w:kern w:val="0"/>
          <w:sz w:val="24"/>
          <w:szCs w:val="24"/>
          <w:lang w:val="en-US" w:eastAsia="zh-CN" w:bidi="ar"/>
        </w:rPr>
        <w:t xml:space="preserve">organisés en opérons est située proche de la frontière gauche de l’ADN-T. Elle est composée d’au moins 6 opérons essentiels au transfert de l’ADN-T (virA, B, C, D, E, G), et de 11 opérons non essentiels (virF, H). La </w:t>
      </w:r>
      <w:r>
        <w:rPr>
          <w:rFonts w:hint="default" w:ascii="Times New Roman" w:hAnsi="Times New Roman" w:eastAsia="Times-Bold" w:cs="Times New Roman"/>
          <w:b/>
          <w:bCs/>
          <w:color w:val="000000"/>
          <w:kern w:val="0"/>
          <w:sz w:val="24"/>
          <w:szCs w:val="24"/>
          <w:lang w:val="en-US" w:eastAsia="zh-CN" w:bidi="ar"/>
        </w:rPr>
        <w:t>figure 09</w:t>
      </w:r>
      <w:r>
        <w:rPr>
          <w:rFonts w:hint="default" w:ascii="Times New Roman" w:hAnsi="Times New Roman" w:eastAsia="Times-Roman" w:cs="Times New Roman"/>
          <w:color w:val="000000"/>
          <w:kern w:val="0"/>
          <w:sz w:val="24"/>
          <w:szCs w:val="24"/>
          <w:lang w:val="en-US" w:eastAsia="zh-CN" w:bidi="ar"/>
        </w:rPr>
        <w:t xml:space="preserve"> présente les principaux gènes vir du plasmide Ti à </w:t>
      </w:r>
    </w:p>
    <w:p w14:paraId="0D4A03C3">
      <w:pPr>
        <w:keepNext w:val="0"/>
        <w:keepLines w:val="0"/>
        <w:widowControl/>
        <w:suppressLineNumbers w:val="0"/>
        <w:spacing w:line="360" w:lineRule="auto"/>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octopine et à nopaline.</w:t>
      </w:r>
    </w:p>
    <w:p w14:paraId="681F2693">
      <w:pPr>
        <w:keepNext w:val="0"/>
        <w:keepLines w:val="0"/>
        <w:widowControl/>
        <w:suppressLineNumbers w:val="0"/>
        <w:spacing w:line="360" w:lineRule="auto"/>
        <w:jc w:val="both"/>
      </w:pPr>
      <w:r>
        <w:drawing>
          <wp:inline distT="0" distB="0" distL="114300" distR="114300">
            <wp:extent cx="5754370" cy="3378835"/>
            <wp:effectExtent l="0" t="0" r="17780" b="1206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7"/>
                    <a:stretch>
                      <a:fillRect/>
                    </a:stretch>
                  </pic:blipFill>
                  <pic:spPr>
                    <a:xfrm>
                      <a:off x="0" y="0"/>
                      <a:ext cx="5754370" cy="3378835"/>
                    </a:xfrm>
                    <a:prstGeom prst="rect">
                      <a:avLst/>
                    </a:prstGeom>
                    <a:noFill/>
                    <a:ln>
                      <a:noFill/>
                    </a:ln>
                  </pic:spPr>
                </pic:pic>
              </a:graphicData>
            </a:graphic>
          </wp:inline>
        </w:drawing>
      </w:r>
    </w:p>
    <w:p w14:paraId="261078C0">
      <w:pPr>
        <w:keepNext w:val="0"/>
        <w:keepLines w:val="0"/>
        <w:widowControl/>
        <w:suppressLineNumbers w:val="0"/>
        <w:jc w:val="center"/>
        <w:rPr>
          <w:rFonts w:hint="default" w:ascii="Times-Roman" w:hAnsi="Times-Roman" w:eastAsia="Times-Roman" w:cs="Times-Roman"/>
          <w:color w:val="000000"/>
          <w:kern w:val="0"/>
          <w:sz w:val="22"/>
          <w:szCs w:val="22"/>
          <w:lang w:val="en-US" w:eastAsia="zh-CN" w:bidi="ar"/>
        </w:rPr>
      </w:pPr>
      <w:r>
        <w:rPr>
          <w:rFonts w:ascii="Times-Bold" w:hAnsi="Times-Bold" w:eastAsia="Times-Bold" w:cs="Times-Bold"/>
          <w:b/>
          <w:bCs/>
          <w:color w:val="000000"/>
          <w:kern w:val="0"/>
          <w:sz w:val="22"/>
          <w:szCs w:val="22"/>
          <w:lang w:val="en-US" w:eastAsia="zh-CN" w:bidi="ar"/>
        </w:rPr>
        <w:t>Figure 08 :</w:t>
      </w:r>
      <w:r>
        <w:rPr>
          <w:rFonts w:ascii="Times-Roman" w:hAnsi="Times-Roman" w:eastAsia="Times-Roman" w:cs="Times-Roman"/>
          <w:color w:val="000000"/>
          <w:kern w:val="0"/>
          <w:sz w:val="22"/>
          <w:szCs w:val="22"/>
          <w:lang w:val="en-US" w:eastAsia="zh-CN" w:bidi="ar"/>
        </w:rPr>
        <w:t xml:space="preserve"> Localisation des oncogènes et des gènes de biosynthèse d’opine dans la</w:t>
      </w:r>
      <w:r>
        <w:rPr>
          <w:rFonts w:hint="default" w:ascii="Times-Roman" w:hAnsi="Times-Roman" w:eastAsia="Times-Roman" w:cs="Times-Roman"/>
          <w:color w:val="000000"/>
          <w:kern w:val="0"/>
          <w:sz w:val="22"/>
          <w:szCs w:val="22"/>
          <w:lang w:val="en-US" w:eastAsia="zh-CN" w:bidi="ar"/>
        </w:rPr>
        <w:t>région T d’un plasmide à octopine et d’un plasmide à nopaline (Franche, 2013).</w:t>
      </w:r>
    </w:p>
    <w:p w14:paraId="140FAC28">
      <w:pPr>
        <w:keepNext w:val="0"/>
        <w:keepLines w:val="0"/>
        <w:widowControl/>
        <w:suppressLineNumbers w:val="0"/>
        <w:jc w:val="center"/>
        <w:rPr>
          <w:rFonts w:hint="default" w:ascii="Times-Roman" w:hAnsi="Times-Roman" w:eastAsia="Times-Roman" w:cs="Times-Roman"/>
          <w:color w:val="000000"/>
          <w:kern w:val="0"/>
          <w:sz w:val="22"/>
          <w:szCs w:val="22"/>
          <w:lang w:val="en-US" w:eastAsia="zh-CN" w:bidi="ar"/>
        </w:rPr>
      </w:pPr>
    </w:p>
    <w:p w14:paraId="4B79EE53">
      <w:pPr>
        <w:keepNext w:val="0"/>
        <w:keepLines w:val="0"/>
        <w:widowControl/>
        <w:suppressLineNumbers w:val="0"/>
        <w:jc w:val="center"/>
        <w:rPr>
          <w:rFonts w:hint="default" w:ascii="Times-Roman" w:hAnsi="Times-Roman" w:eastAsia="Times-Roman" w:cs="Times-Roman"/>
          <w:color w:val="000000"/>
          <w:kern w:val="0"/>
          <w:sz w:val="22"/>
          <w:szCs w:val="22"/>
          <w:lang w:val="en-US" w:eastAsia="zh-CN" w:bidi="ar"/>
        </w:rPr>
      </w:pPr>
    </w:p>
    <w:p w14:paraId="49048D9D">
      <w:pPr>
        <w:keepNext w:val="0"/>
        <w:keepLines w:val="0"/>
        <w:widowControl/>
        <w:suppressLineNumbers w:val="0"/>
        <w:jc w:val="center"/>
        <w:rPr>
          <w:rFonts w:hint="default" w:ascii="Times-Roman" w:hAnsi="Times-Roman" w:eastAsia="Times-Roman" w:cs="Times-Roman"/>
          <w:color w:val="000000"/>
          <w:kern w:val="0"/>
          <w:sz w:val="22"/>
          <w:szCs w:val="22"/>
          <w:lang w:val="en-US" w:eastAsia="zh-CN" w:bidi="ar"/>
        </w:rPr>
      </w:pPr>
    </w:p>
    <w:p w14:paraId="0BA4FC91">
      <w:pPr>
        <w:keepNext w:val="0"/>
        <w:keepLines w:val="0"/>
        <w:widowControl/>
        <w:suppressLineNumbers w:val="0"/>
        <w:jc w:val="center"/>
        <w:rPr>
          <w:rFonts w:hint="default" w:ascii="Times-Roman" w:hAnsi="Times-Roman" w:eastAsia="Times-Roman" w:cs="Times-Roman"/>
          <w:color w:val="000000"/>
          <w:kern w:val="0"/>
          <w:sz w:val="22"/>
          <w:szCs w:val="22"/>
          <w:lang w:val="en-US" w:eastAsia="zh-CN" w:bidi="ar"/>
        </w:rPr>
      </w:pPr>
    </w:p>
    <w:p w14:paraId="51FB1567">
      <w:pPr>
        <w:keepNext w:val="0"/>
        <w:keepLines w:val="0"/>
        <w:widowControl/>
        <w:suppressLineNumbers w:val="0"/>
        <w:jc w:val="center"/>
      </w:pPr>
      <w:r>
        <w:drawing>
          <wp:inline distT="0" distB="0" distL="114300" distR="114300">
            <wp:extent cx="5753735" cy="3496310"/>
            <wp:effectExtent l="0" t="0" r="18415"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8"/>
                    <a:stretch>
                      <a:fillRect/>
                    </a:stretch>
                  </pic:blipFill>
                  <pic:spPr>
                    <a:xfrm>
                      <a:off x="0" y="0"/>
                      <a:ext cx="5753735" cy="3496310"/>
                    </a:xfrm>
                    <a:prstGeom prst="rect">
                      <a:avLst/>
                    </a:prstGeom>
                    <a:noFill/>
                    <a:ln>
                      <a:noFill/>
                    </a:ln>
                  </pic:spPr>
                </pic:pic>
              </a:graphicData>
            </a:graphic>
          </wp:inline>
        </w:drawing>
      </w:r>
    </w:p>
    <w:p w14:paraId="4316F9D2">
      <w:pPr>
        <w:keepNext w:val="0"/>
        <w:keepLines w:val="0"/>
        <w:widowControl/>
        <w:suppressLineNumbers w:val="0"/>
        <w:jc w:val="center"/>
      </w:pPr>
      <w:r>
        <w:rPr>
          <w:rFonts w:ascii="Times-Bold" w:hAnsi="Times-Bold" w:eastAsia="Times-Bold" w:cs="Times-Bold"/>
          <w:b/>
          <w:bCs/>
          <w:color w:val="000000"/>
          <w:kern w:val="0"/>
          <w:sz w:val="22"/>
          <w:szCs w:val="22"/>
          <w:lang w:val="en-US" w:eastAsia="zh-CN" w:bidi="ar"/>
        </w:rPr>
        <w:t>Figure 09 :</w:t>
      </w:r>
      <w:r>
        <w:rPr>
          <w:rFonts w:ascii="Times-Roman" w:hAnsi="Times-Roman" w:eastAsia="Times-Roman" w:cs="Times-Roman"/>
          <w:color w:val="000000"/>
          <w:kern w:val="0"/>
          <w:sz w:val="22"/>
          <w:szCs w:val="22"/>
          <w:lang w:val="en-US" w:eastAsia="zh-CN" w:bidi="ar"/>
        </w:rPr>
        <w:t xml:space="preserve"> Organisation de la région de virulence de plasmide Ti à octopine et à</w:t>
      </w:r>
    </w:p>
    <w:p w14:paraId="0844ABC0">
      <w:pPr>
        <w:keepNext w:val="0"/>
        <w:keepLines w:val="0"/>
        <w:widowControl/>
        <w:suppressLineNumbers w:val="0"/>
        <w:jc w:val="center"/>
        <w:rPr>
          <w:rFonts w:hint="default" w:ascii="Times-Roman" w:hAnsi="Times-Roman" w:eastAsia="Times-Roman" w:cs="Times-Roman"/>
          <w:color w:val="000000"/>
          <w:kern w:val="0"/>
          <w:sz w:val="22"/>
          <w:szCs w:val="22"/>
          <w:lang w:val="en-US" w:eastAsia="zh-CN" w:bidi="ar"/>
        </w:rPr>
      </w:pPr>
      <w:r>
        <w:rPr>
          <w:rFonts w:hint="default" w:ascii="Times-Roman" w:hAnsi="Times-Roman" w:eastAsia="Times-Roman" w:cs="Times-Roman"/>
          <w:color w:val="000000"/>
          <w:kern w:val="0"/>
          <w:sz w:val="22"/>
          <w:szCs w:val="22"/>
          <w:lang w:val="en-US" w:eastAsia="zh-CN" w:bidi="ar"/>
        </w:rPr>
        <w:t>nopaline (Franche, 2013)</w:t>
      </w:r>
    </w:p>
    <w:p w14:paraId="68D3792A">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c. Région du catabolisme des opines</w:t>
      </w:r>
      <w:r>
        <w:rPr>
          <w:rFonts w:hint="default" w:ascii="Times New Roman" w:hAnsi="Times New Roman" w:eastAsia="Times-Roman" w:cs="Times New Roman"/>
          <w:color w:val="000000"/>
          <w:kern w:val="0"/>
          <w:sz w:val="24"/>
          <w:szCs w:val="24"/>
          <w:lang w:val="en-US" w:eastAsia="zh-CN" w:bidi="ar"/>
        </w:rPr>
        <w:t xml:space="preserve"> </w:t>
      </w:r>
    </w:p>
    <w:p w14:paraId="2B371673">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La région du catabolisme des opines est globalement appelée opc. Les gènes impliqués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dans le catabolisme des opines sont regroupés en opéron : noc pour celui de la nopaline, occ pour celui de l’octopine et acc pour celui de l’agrocinopine. Pour être utilisées, les opines doivent pénétrer dans les bactéries. Ainsi, des protéines spécifiques sont nécessaires </w:t>
      </w:r>
    </w:p>
    <w:p w14:paraId="72759F36">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à leur transport. </w:t>
      </w:r>
    </w:p>
    <w:p w14:paraId="32E8526F">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d. Fonctions de réplication et de conjugaison </w:t>
      </w:r>
    </w:p>
    <w:p w14:paraId="3F1FB316">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En dehors de la région T et de la région de virulence, l’autre moitié du plasmide Ti est occupée par des gènes impliqués dans des fonctions plasmidiques classiques de réplication du plasmide (région ori), d’incompatibilité (région inc) et de transfert conjugatif (région Tra). Ces gènes vont assurer le maintien du plasmide Ti dans les cellules bactériennes et sa propagation par conjugaison. </w:t>
      </w:r>
    </w:p>
    <w:p w14:paraId="6ABD302A">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2.4. Processus d’infection </w:t>
      </w:r>
    </w:p>
    <w:p w14:paraId="6D4C2453">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Le processus de transgénèse mise en place par </w:t>
      </w:r>
      <w:r>
        <w:rPr>
          <w:rFonts w:hint="default" w:ascii="Times New Roman" w:hAnsi="Times New Roman" w:eastAsia="Times-Italic" w:cs="Times New Roman"/>
          <w:i/>
          <w:iCs/>
          <w:color w:val="000000"/>
          <w:kern w:val="0"/>
          <w:sz w:val="24"/>
          <w:szCs w:val="24"/>
          <w:lang w:val="en-US" w:eastAsia="zh-CN" w:bidi="ar"/>
        </w:rPr>
        <w:t>A. tumefaciens</w:t>
      </w:r>
      <w:r>
        <w:rPr>
          <w:rFonts w:hint="default" w:ascii="Times New Roman" w:hAnsi="Times New Roman" w:eastAsia="Times-Roman" w:cs="Times New Roman"/>
          <w:color w:val="000000"/>
          <w:kern w:val="0"/>
          <w:sz w:val="24"/>
          <w:szCs w:val="24"/>
          <w:lang w:val="en-US" w:eastAsia="zh-CN" w:bidi="ar"/>
        </w:rPr>
        <w:t xml:space="preserve"> grâce à la présence du plasmide Ti a permis la mise en évidence du lien entre la tumorigenèse et l’intégration de son ADN-T dans le génome de la cellule végétale infectée. Plus schématiquement, le cycle d’infection d</w:t>
      </w:r>
      <w:r>
        <w:rPr>
          <w:rFonts w:hint="default" w:ascii="Times New Roman" w:hAnsi="Times New Roman" w:eastAsia="Times-Italic" w:cs="Times New Roman"/>
          <w:i/>
          <w:iCs/>
          <w:color w:val="000000"/>
          <w:kern w:val="0"/>
          <w:sz w:val="24"/>
          <w:szCs w:val="24"/>
          <w:lang w:val="en-US" w:eastAsia="zh-CN" w:bidi="ar"/>
        </w:rPr>
        <w:t xml:space="preserve">’A. tumefaciens </w:t>
      </w:r>
      <w:r>
        <w:rPr>
          <w:rFonts w:hint="default" w:ascii="Times New Roman" w:hAnsi="Times New Roman" w:eastAsia="Times-Roman" w:cs="Times New Roman"/>
          <w:color w:val="000000"/>
          <w:kern w:val="0"/>
          <w:sz w:val="24"/>
          <w:szCs w:val="24"/>
          <w:lang w:val="en-US" w:eastAsia="zh-CN" w:bidi="ar"/>
        </w:rPr>
        <w:t xml:space="preserve">se décompose en trois étapes : </w:t>
      </w:r>
    </w:p>
    <w:p w14:paraId="65CDFAC5">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a. Reconnaissance et attachement des bactéries aux cellules végétales blessées </w:t>
      </w:r>
    </w:p>
    <w:p w14:paraId="4A6E5E48">
      <w:pPr>
        <w:keepNext w:val="0"/>
        <w:keepLines w:val="0"/>
        <w:widowControl/>
        <w:suppressLineNumbers w:val="0"/>
        <w:spacing w:line="360" w:lineRule="auto"/>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Dans les conditions naturelles, les cellules d’</w:t>
      </w:r>
      <w:r>
        <w:rPr>
          <w:rFonts w:hint="default" w:ascii="Times New Roman" w:hAnsi="Times New Roman" w:eastAsia="Times-Italic" w:cs="Times New Roman"/>
          <w:i/>
          <w:iCs/>
          <w:color w:val="000000"/>
          <w:kern w:val="0"/>
          <w:sz w:val="24"/>
          <w:szCs w:val="24"/>
          <w:lang w:val="en-US" w:eastAsia="zh-CN" w:bidi="ar"/>
        </w:rPr>
        <w:t xml:space="preserve">A. tumefaciens </w:t>
      </w:r>
      <w:r>
        <w:rPr>
          <w:rFonts w:hint="default" w:ascii="Times New Roman" w:hAnsi="Times New Roman" w:eastAsia="Times-Roman" w:cs="Times New Roman"/>
          <w:color w:val="000000"/>
          <w:kern w:val="0"/>
          <w:sz w:val="24"/>
          <w:szCs w:val="24"/>
          <w:lang w:val="en-US" w:eastAsia="zh-CN" w:bidi="ar"/>
        </w:rPr>
        <w:t>sont attirées vers les sites blessés, par chimiotactisme. Ceci est, en partie, une réponse à la libération de sucres et d’autres</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composés communs (acides aminés, dérivés phénoliques) exsudés par les plantes </w:t>
      </w:r>
      <w:r>
        <w:rPr>
          <w:rFonts w:hint="default" w:ascii="Times New Roman" w:hAnsi="Times New Roman" w:eastAsia="Times-Bold" w:cs="Times New Roman"/>
          <w:b/>
          <w:bCs/>
          <w:color w:val="000000"/>
          <w:kern w:val="0"/>
          <w:sz w:val="24"/>
          <w:szCs w:val="24"/>
          <w:lang w:val="en-US" w:eastAsia="zh-CN" w:bidi="ar"/>
        </w:rPr>
        <w:t>(Figure 10)</w:t>
      </w:r>
      <w:r>
        <w:rPr>
          <w:rFonts w:hint="default" w:ascii="Times New Roman" w:hAnsi="Times New Roman" w:eastAsia="Times-Roman" w:cs="Times New Roman"/>
          <w:color w:val="000000"/>
          <w:kern w:val="0"/>
          <w:sz w:val="24"/>
          <w:szCs w:val="24"/>
          <w:lang w:val="en-US" w:eastAsia="zh-CN" w:bidi="ar"/>
        </w:rPr>
        <w:t>. Cependant, les agrobactéries qui hébergent le plasmide Ti répondent fortement parce qu’elles reconnaissent les composés phénoliques tels que l’acétosyringone, qui est très attractif même à très faible concentration. L’attachement des agrobactéries aux cellules de plantes fait intervenir différents éléments génétiques déterminés par le chromosome tels que les loci : chvA, chvB, chvE, et cel.</w:t>
      </w:r>
    </w:p>
    <w:p w14:paraId="0A1DB67C">
      <w:pPr>
        <w:keepNext w:val="0"/>
        <w:keepLines w:val="0"/>
        <w:widowControl/>
        <w:suppressLineNumbers w:val="0"/>
        <w:spacing w:line="360" w:lineRule="auto"/>
        <w:jc w:val="center"/>
      </w:pPr>
      <w:r>
        <w:drawing>
          <wp:inline distT="0" distB="0" distL="114300" distR="114300">
            <wp:extent cx="4362450" cy="23241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9"/>
                    <a:stretch>
                      <a:fillRect/>
                    </a:stretch>
                  </pic:blipFill>
                  <pic:spPr>
                    <a:xfrm>
                      <a:off x="0" y="0"/>
                      <a:ext cx="4362450" cy="2324100"/>
                    </a:xfrm>
                    <a:prstGeom prst="rect">
                      <a:avLst/>
                    </a:prstGeom>
                    <a:noFill/>
                    <a:ln>
                      <a:noFill/>
                    </a:ln>
                  </pic:spPr>
                </pic:pic>
              </a:graphicData>
            </a:graphic>
          </wp:inline>
        </w:drawing>
      </w:r>
    </w:p>
    <w:p w14:paraId="788CD8FC">
      <w:pPr>
        <w:keepNext w:val="0"/>
        <w:keepLines w:val="0"/>
        <w:widowControl/>
        <w:suppressLineNumbers w:val="0"/>
        <w:jc w:val="center"/>
      </w:pPr>
      <w:r>
        <w:rPr>
          <w:rFonts w:ascii="Times-Bold" w:hAnsi="Times-Bold" w:eastAsia="Times-Bold" w:cs="Times-Bold"/>
          <w:b/>
          <w:bCs/>
          <w:color w:val="000000"/>
          <w:kern w:val="0"/>
          <w:sz w:val="22"/>
          <w:szCs w:val="22"/>
          <w:lang w:val="en-US" w:eastAsia="zh-CN" w:bidi="ar"/>
        </w:rPr>
        <w:t>Figure 10 :</w:t>
      </w:r>
      <w:r>
        <w:rPr>
          <w:rFonts w:ascii="Times-Roman" w:hAnsi="Times-Roman" w:eastAsia="Times-Roman" w:cs="Times-Roman"/>
          <w:color w:val="000000"/>
          <w:kern w:val="0"/>
          <w:sz w:val="22"/>
          <w:szCs w:val="22"/>
          <w:lang w:val="en-US" w:eastAsia="zh-CN" w:bidi="ar"/>
        </w:rPr>
        <w:t xml:space="preserve"> Chimiotachtisme entre la plante et les agrobactéries et libération des opines</w:t>
      </w:r>
    </w:p>
    <w:p w14:paraId="755C32EE">
      <w:pPr>
        <w:keepNext w:val="0"/>
        <w:keepLines w:val="0"/>
        <w:widowControl/>
        <w:suppressLineNumbers w:val="0"/>
        <w:jc w:val="center"/>
        <w:rPr>
          <w:rFonts w:hint="default" w:ascii="Times-Roman" w:hAnsi="Times-Roman" w:eastAsia="Times-Roman" w:cs="Times-Roman"/>
          <w:color w:val="000000"/>
          <w:kern w:val="0"/>
          <w:sz w:val="22"/>
          <w:szCs w:val="22"/>
          <w:lang w:val="en-US" w:eastAsia="zh-CN" w:bidi="ar"/>
        </w:rPr>
      </w:pPr>
      <w:r>
        <w:rPr>
          <w:rFonts w:hint="default" w:ascii="Times-Roman" w:hAnsi="Times-Roman" w:eastAsia="Times-Roman" w:cs="Times-Roman"/>
          <w:color w:val="000000"/>
          <w:kern w:val="0"/>
          <w:sz w:val="22"/>
          <w:szCs w:val="22"/>
          <w:lang w:val="en-US" w:eastAsia="zh-CN" w:bidi="ar"/>
        </w:rPr>
        <w:t>(Weider et Furelaud, 2003)</w:t>
      </w:r>
    </w:p>
    <w:p w14:paraId="69AEF9B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b. Activation des gènes de virulence </w:t>
      </w:r>
    </w:p>
    <w:p w14:paraId="2D7A573D">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L’activation des gènes de virulence (vir) est une étape indispensable pour le processus </w:t>
      </w:r>
    </w:p>
    <w:p w14:paraId="235EB8E6">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de transgenèse. Les gènes vir présents sur la partie non transférable du plasmide Ti ont </w:t>
      </w:r>
    </w:p>
    <w:p w14:paraId="19457274">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besoin d’être induits par l’exsudât des cellules blessées pour être exprimés. Les composés </w:t>
      </w:r>
    </w:p>
    <w:p w14:paraId="63DFC2F2">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phénoliques synthétisés par la plante sont reconnus par la protéine VirA (récepteur présent </w:t>
      </w:r>
    </w:p>
    <w:p w14:paraId="231DECD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dans la membrane interne de la bactérie). Après fixation des composés, la protéine VirA </w:t>
      </w:r>
    </w:p>
    <w:p w14:paraId="5A0C27C2">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s’auto-phosphoryle puis phosphoryle la protéine régulatrice cytoplasmique VirG qui se fixe </w:t>
      </w:r>
    </w:p>
    <w:p w14:paraId="6BB5D83E">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sur la boite vir qui active la transcription des promoteurs des gènes vir </w:t>
      </w:r>
      <w:r>
        <w:rPr>
          <w:rFonts w:hint="default" w:ascii="Times New Roman" w:hAnsi="Times New Roman" w:eastAsia="Times-Bold" w:cs="Times New Roman"/>
          <w:b/>
          <w:bCs/>
          <w:color w:val="000000"/>
          <w:kern w:val="0"/>
          <w:sz w:val="24"/>
          <w:szCs w:val="24"/>
          <w:lang w:val="en-US" w:eastAsia="zh-CN" w:bidi="ar"/>
        </w:rPr>
        <w:t>(Figure 11)</w:t>
      </w:r>
      <w:r>
        <w:rPr>
          <w:rFonts w:hint="default" w:ascii="Times New Roman" w:hAnsi="Times New Roman" w:eastAsia="Times-Roman" w:cs="Times New Roman"/>
          <w:color w:val="000000"/>
          <w:kern w:val="0"/>
          <w:sz w:val="24"/>
          <w:szCs w:val="24"/>
          <w:lang w:val="en-US" w:eastAsia="zh-CN" w:bidi="ar"/>
        </w:rPr>
        <w:t xml:space="preserve">. Cette </w:t>
      </w:r>
    </w:p>
    <w:p w14:paraId="2BEF3227">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dernière étape permet de stabiliser le contact avec l’hôte et permet d’engager le processus </w:t>
      </w:r>
    </w:p>
    <w:p w14:paraId="06653D0A">
      <w:pPr>
        <w:keepNext w:val="0"/>
        <w:keepLines w:val="0"/>
        <w:widowControl/>
        <w:suppressLineNumbers w:val="0"/>
        <w:spacing w:line="360" w:lineRule="auto"/>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de transfert du T-DNA.</w:t>
      </w:r>
    </w:p>
    <w:p w14:paraId="11D8739E">
      <w:pPr>
        <w:keepNext w:val="0"/>
        <w:keepLines w:val="0"/>
        <w:widowControl/>
        <w:suppressLineNumbers w:val="0"/>
        <w:spacing w:line="360" w:lineRule="auto"/>
        <w:jc w:val="center"/>
      </w:pPr>
      <w:r>
        <w:drawing>
          <wp:inline distT="0" distB="0" distL="114300" distR="114300">
            <wp:extent cx="4133850" cy="32670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10"/>
                    <a:stretch>
                      <a:fillRect/>
                    </a:stretch>
                  </pic:blipFill>
                  <pic:spPr>
                    <a:xfrm>
                      <a:off x="0" y="0"/>
                      <a:ext cx="4133850" cy="3267075"/>
                    </a:xfrm>
                    <a:prstGeom prst="rect">
                      <a:avLst/>
                    </a:prstGeom>
                    <a:noFill/>
                    <a:ln>
                      <a:noFill/>
                    </a:ln>
                  </pic:spPr>
                </pic:pic>
              </a:graphicData>
            </a:graphic>
          </wp:inline>
        </w:drawing>
      </w:r>
    </w:p>
    <w:p w14:paraId="3F1A0561">
      <w:pPr>
        <w:keepNext w:val="0"/>
        <w:keepLines w:val="0"/>
        <w:widowControl/>
        <w:suppressLineNumbers w:val="0"/>
        <w:jc w:val="center"/>
      </w:pPr>
      <w:r>
        <w:rPr>
          <w:rFonts w:ascii="Times-Bold" w:hAnsi="Times-Bold" w:eastAsia="Times-Bold" w:cs="Times-Bold"/>
          <w:b/>
          <w:bCs/>
          <w:color w:val="000000"/>
          <w:kern w:val="0"/>
          <w:sz w:val="22"/>
          <w:szCs w:val="22"/>
          <w:lang w:val="en-US" w:eastAsia="zh-CN" w:bidi="ar"/>
        </w:rPr>
        <w:t>Figure 11 :</w:t>
      </w:r>
      <w:r>
        <w:rPr>
          <w:rFonts w:ascii="Times-Roman" w:hAnsi="Times-Roman" w:eastAsia="Times-Roman" w:cs="Times-Roman"/>
          <w:color w:val="000000"/>
          <w:kern w:val="0"/>
          <w:sz w:val="22"/>
          <w:szCs w:val="22"/>
          <w:lang w:val="en-US" w:eastAsia="zh-CN" w:bidi="ar"/>
        </w:rPr>
        <w:t xml:space="preserve"> Modèle d’activation des gènes de virulence d’</w:t>
      </w:r>
      <w:r>
        <w:rPr>
          <w:rFonts w:ascii="Times-Italic" w:hAnsi="Times-Italic" w:eastAsia="Times-Italic" w:cs="Times-Italic"/>
          <w:i/>
          <w:iCs/>
          <w:color w:val="000000"/>
          <w:kern w:val="0"/>
          <w:sz w:val="22"/>
          <w:szCs w:val="22"/>
          <w:lang w:val="en-US" w:eastAsia="zh-CN" w:bidi="ar"/>
        </w:rPr>
        <w:t>Agrobacterium tumefasciens</w:t>
      </w:r>
    </w:p>
    <w:p w14:paraId="550F7AC1">
      <w:pPr>
        <w:keepNext w:val="0"/>
        <w:keepLines w:val="0"/>
        <w:widowControl/>
        <w:suppressLineNumbers w:val="0"/>
        <w:jc w:val="center"/>
        <w:rPr>
          <w:rFonts w:hint="default" w:ascii="Times-Roman" w:hAnsi="Times-Roman" w:eastAsia="Times-Roman" w:cs="Times-Roman"/>
          <w:color w:val="000000"/>
          <w:kern w:val="0"/>
          <w:sz w:val="22"/>
          <w:szCs w:val="22"/>
          <w:lang w:val="en-US" w:eastAsia="zh-CN" w:bidi="ar"/>
        </w:rPr>
      </w:pPr>
      <w:r>
        <w:rPr>
          <w:rFonts w:hint="default" w:ascii="Times-Roman" w:hAnsi="Times-Roman" w:eastAsia="Times-Roman" w:cs="Times-Roman"/>
          <w:color w:val="000000"/>
          <w:kern w:val="0"/>
          <w:sz w:val="22"/>
          <w:szCs w:val="22"/>
          <w:lang w:val="en-US" w:eastAsia="zh-CN" w:bidi="ar"/>
        </w:rPr>
        <w:t>(Franche, 2013)</w:t>
      </w:r>
    </w:p>
    <w:p w14:paraId="22C0A960">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c. Transfert de l’ADN-T </w:t>
      </w:r>
    </w:p>
    <w:p w14:paraId="64120D76">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L’expression des gènes vir conduit à la production d’un brin d’ADN-T. Pour cela, les </w:t>
      </w:r>
    </w:p>
    <w:p w14:paraId="3D568900">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endonucléases VirD1 et VirD2 vont agir spécifiquement pour couper un fragment de </w:t>
      </w:r>
    </w:p>
    <w:p w14:paraId="262338AC">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plasmide Ti et VirD1 sépare les deux brins d’ADN-T. La protéine VirD2 quand à elle, clive </w:t>
      </w:r>
    </w:p>
    <w:p w14:paraId="2AC0573E">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l’ADN-T au niveau des séquences répétées de 25 nucléotides, spécifiques des régions </w:t>
      </w:r>
    </w:p>
    <w:p w14:paraId="04EF5E9F">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flanquantes de ce fragment. VirD2 se fixe covalemment à l’extrémité 5’ du brin d’ADN-T. </w:t>
      </w:r>
    </w:p>
    <w:p w14:paraId="5587DB83">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Le complexe VirD2/ADN-T se sépare du reste du plasmide, et ainsi le brin T est formé et il </w:t>
      </w:r>
    </w:p>
    <w:p w14:paraId="4B7B50EB">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va pouvoir s’orienter afin d’être transféré dans la cellule hôte pendant que le plasmide Ti </w:t>
      </w:r>
    </w:p>
    <w:p w14:paraId="1FE8FCFF">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est régénéré à l’aide de la machinerie de réparation de l’ADN de la bactérie </w:t>
      </w:r>
      <w:r>
        <w:rPr>
          <w:rFonts w:hint="default" w:ascii="Times New Roman" w:hAnsi="Times New Roman" w:eastAsia="Times-Bold" w:cs="Times New Roman"/>
          <w:b/>
          <w:bCs/>
          <w:color w:val="000000"/>
          <w:kern w:val="0"/>
          <w:sz w:val="24"/>
          <w:szCs w:val="24"/>
          <w:lang w:val="en-US" w:eastAsia="zh-CN" w:bidi="ar"/>
        </w:rPr>
        <w:t>(Figure 12)</w:t>
      </w:r>
    </w:p>
    <w:p w14:paraId="11B8DD08">
      <w:pPr>
        <w:keepNext w:val="0"/>
        <w:keepLines w:val="0"/>
        <w:widowControl/>
        <w:suppressLineNumbers w:val="0"/>
        <w:spacing w:line="360" w:lineRule="auto"/>
        <w:jc w:val="both"/>
        <w:rPr>
          <w:rFonts w:hint="default" w:ascii="Times New Roman" w:hAnsi="Times New Roman" w:eastAsia="Times-Roman" w:cs="Times New Roman"/>
          <w:color w:val="000000"/>
          <w:kern w:val="0"/>
          <w:sz w:val="24"/>
          <w:szCs w:val="24"/>
          <w:lang w:val="en-US" w:eastAsia="zh-CN" w:bidi="ar"/>
        </w:rPr>
      </w:pPr>
    </w:p>
    <w:p w14:paraId="12EEBA98">
      <w:pPr>
        <w:keepNext w:val="0"/>
        <w:keepLines w:val="0"/>
        <w:widowControl/>
        <w:suppressLineNumbers w:val="0"/>
        <w:spacing w:line="360" w:lineRule="auto"/>
        <w:jc w:val="center"/>
      </w:pPr>
      <w:r>
        <w:drawing>
          <wp:inline distT="0" distB="0" distL="114300" distR="114300">
            <wp:extent cx="3762375" cy="349567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11"/>
                    <a:stretch>
                      <a:fillRect/>
                    </a:stretch>
                  </pic:blipFill>
                  <pic:spPr>
                    <a:xfrm>
                      <a:off x="0" y="0"/>
                      <a:ext cx="3762375" cy="3495675"/>
                    </a:xfrm>
                    <a:prstGeom prst="rect">
                      <a:avLst/>
                    </a:prstGeom>
                    <a:noFill/>
                    <a:ln>
                      <a:noFill/>
                    </a:ln>
                  </pic:spPr>
                </pic:pic>
              </a:graphicData>
            </a:graphic>
          </wp:inline>
        </w:drawing>
      </w:r>
    </w:p>
    <w:p w14:paraId="4415A78C">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d. Translocation du brin T dans la cellule végétale et son intégration dans le </w:t>
      </w:r>
    </w:p>
    <w:p w14:paraId="65BA6C9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génome de l’hôte </w:t>
      </w:r>
    </w:p>
    <w:p w14:paraId="19AB8B7A">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Le complexe brin T/VirD2 ainsi que quatre autres protéines effectrices bactériennes </w:t>
      </w:r>
    </w:p>
    <w:p w14:paraId="2A07F806">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(VirE2, VirE3, VirF et VirD5) sont transférés dans la cellule végétale. Ce transfert requiert </w:t>
      </w:r>
    </w:p>
    <w:p w14:paraId="4A6EBC07">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une machinerie protéique particulière qui forme un canal entre la bactérie et la cellule hôte, </w:t>
      </w:r>
    </w:p>
    <w:p w14:paraId="1CB9788D">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il s’agit de l’intervention de 12 protéines : 11 protéines VirB et de la protéine VirD4. A son </w:t>
      </w:r>
    </w:p>
    <w:p w14:paraId="78D09861">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entrée dans cellule végétale, le brin T est recouvert de protéines VirE2 afin de le protéger </w:t>
      </w:r>
    </w:p>
    <w:p w14:paraId="3CB8E6E8">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des nucléases végétales et de lui conférer la structure nécessaire pour son transport </w:t>
      </w:r>
    </w:p>
    <w:p w14:paraId="585BD854">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jusqu’au noyau de la cellule hôte. </w:t>
      </w:r>
    </w:p>
    <w:p w14:paraId="0A62D6AA">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Le </w:t>
      </w:r>
      <w:r>
        <w:rPr>
          <w:rFonts w:hint="default" w:ascii="Times New Roman" w:hAnsi="Times New Roman" w:eastAsia="Times-Bold" w:cs="Times New Roman"/>
          <w:b/>
          <w:bCs/>
          <w:color w:val="000000"/>
          <w:kern w:val="0"/>
          <w:sz w:val="24"/>
          <w:szCs w:val="24"/>
          <w:lang w:val="en-US" w:eastAsia="zh-CN" w:bidi="ar"/>
        </w:rPr>
        <w:t>tableau 3</w:t>
      </w:r>
      <w:r>
        <w:rPr>
          <w:rFonts w:hint="default" w:ascii="Times New Roman" w:hAnsi="Times New Roman" w:eastAsia="Times-Roman" w:cs="Times New Roman"/>
          <w:color w:val="000000"/>
          <w:kern w:val="0"/>
          <w:sz w:val="24"/>
          <w:szCs w:val="24"/>
          <w:lang w:val="en-US" w:eastAsia="zh-CN" w:bidi="ar"/>
        </w:rPr>
        <w:t xml:space="preserve"> et la </w:t>
      </w:r>
      <w:r>
        <w:rPr>
          <w:rFonts w:hint="default" w:ascii="Times New Roman" w:hAnsi="Times New Roman" w:eastAsia="Times-Bold" w:cs="Times New Roman"/>
          <w:b/>
          <w:bCs/>
          <w:color w:val="000000"/>
          <w:kern w:val="0"/>
          <w:sz w:val="24"/>
          <w:szCs w:val="24"/>
          <w:lang w:val="en-US" w:eastAsia="zh-CN" w:bidi="ar"/>
        </w:rPr>
        <w:t>figure 13</w:t>
      </w:r>
      <w:r>
        <w:rPr>
          <w:rFonts w:hint="default" w:ascii="Times New Roman" w:hAnsi="Times New Roman" w:eastAsia="Times-Roman" w:cs="Times New Roman"/>
          <w:color w:val="000000"/>
          <w:kern w:val="0"/>
          <w:sz w:val="24"/>
          <w:szCs w:val="24"/>
          <w:lang w:val="en-US" w:eastAsia="zh-CN" w:bidi="ar"/>
        </w:rPr>
        <w:t xml:space="preserve"> nous résument les étapes du processus d’infection </w:t>
      </w:r>
    </w:p>
    <w:p w14:paraId="17DBF0E6">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d’</w:t>
      </w:r>
      <w:r>
        <w:rPr>
          <w:rFonts w:hint="default" w:ascii="Times New Roman" w:hAnsi="Times New Roman" w:eastAsia="Times-Italic" w:cs="Times New Roman"/>
          <w:i/>
          <w:iCs/>
          <w:color w:val="000000"/>
          <w:kern w:val="0"/>
          <w:sz w:val="24"/>
          <w:szCs w:val="24"/>
          <w:lang w:val="en-US" w:eastAsia="zh-CN" w:bidi="ar"/>
        </w:rPr>
        <w:t xml:space="preserve">Agrobacterum tumefaciens </w:t>
      </w:r>
      <w:r>
        <w:rPr>
          <w:rFonts w:hint="default" w:ascii="Times New Roman" w:hAnsi="Times New Roman" w:eastAsia="Times-Roman" w:cs="Times New Roman"/>
          <w:color w:val="000000"/>
          <w:kern w:val="0"/>
          <w:sz w:val="24"/>
          <w:szCs w:val="24"/>
          <w:lang w:val="en-US" w:eastAsia="zh-CN" w:bidi="ar"/>
        </w:rPr>
        <w:t xml:space="preserve">avec la plante hôte et les différents gènes nécessaires qui y </w:t>
      </w:r>
    </w:p>
    <w:p w14:paraId="2FD78630">
      <w:pPr>
        <w:keepNext w:val="0"/>
        <w:keepLines w:val="0"/>
        <w:widowControl/>
        <w:suppressLineNumbers w:val="0"/>
        <w:jc w:val="left"/>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Interviennent</w:t>
      </w:r>
    </w:p>
    <w:p w14:paraId="5B22E2C5">
      <w:pPr>
        <w:keepNext w:val="0"/>
        <w:keepLines w:val="0"/>
        <w:widowControl/>
        <w:suppressLineNumbers w:val="0"/>
        <w:jc w:val="left"/>
        <w:rPr>
          <w:rFonts w:hint="default" w:ascii="Times New Roman" w:hAnsi="Times New Roman" w:eastAsia="Times-Roman" w:cs="Times New Roman"/>
          <w:color w:val="000000"/>
          <w:kern w:val="0"/>
          <w:sz w:val="24"/>
          <w:szCs w:val="24"/>
          <w:lang w:val="en-US" w:eastAsia="zh-CN" w:bidi="ar"/>
        </w:rPr>
      </w:pPr>
    </w:p>
    <w:p w14:paraId="027AA9AA">
      <w:pPr>
        <w:keepNext w:val="0"/>
        <w:keepLines w:val="0"/>
        <w:widowControl/>
        <w:suppressLineNumbers w:val="0"/>
        <w:jc w:val="left"/>
        <w:rPr>
          <w:rFonts w:hint="default" w:ascii="Times New Roman" w:hAnsi="Times New Roman" w:eastAsia="Times-Roman" w:cs="Times New Roman"/>
          <w:color w:val="000000"/>
          <w:kern w:val="0"/>
          <w:sz w:val="24"/>
          <w:szCs w:val="24"/>
          <w:lang w:val="en-US" w:eastAsia="zh-CN" w:bidi="ar"/>
        </w:rPr>
      </w:pPr>
    </w:p>
    <w:p w14:paraId="5F4EBC59">
      <w:pPr>
        <w:keepNext w:val="0"/>
        <w:keepLines w:val="0"/>
        <w:widowControl/>
        <w:suppressLineNumbers w:val="0"/>
        <w:jc w:val="left"/>
        <w:rPr>
          <w:rFonts w:hint="default" w:ascii="Times New Roman" w:hAnsi="Times New Roman" w:eastAsia="Times-Roman" w:cs="Times New Roman"/>
          <w:color w:val="000000"/>
          <w:kern w:val="0"/>
          <w:sz w:val="24"/>
          <w:szCs w:val="24"/>
          <w:lang w:val="en-US" w:eastAsia="zh-CN" w:bidi="ar"/>
        </w:rPr>
      </w:pPr>
    </w:p>
    <w:p w14:paraId="5C807088">
      <w:pPr>
        <w:keepNext w:val="0"/>
        <w:keepLines w:val="0"/>
        <w:widowControl/>
        <w:suppressLineNumbers w:val="0"/>
        <w:jc w:val="left"/>
        <w:rPr>
          <w:rFonts w:hint="default" w:ascii="Times New Roman" w:hAnsi="Times New Roman" w:eastAsia="Times-Roman" w:cs="Times New Roman"/>
          <w:color w:val="000000"/>
          <w:kern w:val="0"/>
          <w:sz w:val="24"/>
          <w:szCs w:val="24"/>
          <w:lang w:val="en-US" w:eastAsia="zh-CN" w:bidi="ar"/>
        </w:rPr>
      </w:pPr>
    </w:p>
    <w:p w14:paraId="1D3E38CE">
      <w:pPr>
        <w:keepNext w:val="0"/>
        <w:keepLines w:val="0"/>
        <w:widowControl/>
        <w:suppressLineNumbers w:val="0"/>
        <w:jc w:val="left"/>
        <w:rPr>
          <w:rFonts w:hint="default" w:ascii="Times New Roman" w:hAnsi="Times New Roman" w:eastAsia="Times-Roman" w:cs="Times New Roman"/>
          <w:color w:val="000000"/>
          <w:kern w:val="0"/>
          <w:sz w:val="24"/>
          <w:szCs w:val="24"/>
          <w:lang w:val="en-US" w:eastAsia="zh-CN" w:bidi="ar"/>
        </w:rPr>
      </w:pPr>
    </w:p>
    <w:p w14:paraId="6A94BA3C">
      <w:pPr>
        <w:keepNext w:val="0"/>
        <w:keepLines w:val="0"/>
        <w:widowControl/>
        <w:suppressLineNumbers w:val="0"/>
        <w:jc w:val="left"/>
        <w:rPr>
          <w:rFonts w:hint="default" w:ascii="Times New Roman" w:hAnsi="Times New Roman" w:eastAsia="Times-Roman" w:cs="Times New Roman"/>
          <w:color w:val="000000"/>
          <w:kern w:val="0"/>
          <w:sz w:val="24"/>
          <w:szCs w:val="24"/>
          <w:lang w:val="en-US" w:eastAsia="zh-CN" w:bidi="ar"/>
        </w:rPr>
      </w:pPr>
    </w:p>
    <w:p w14:paraId="752F5EB5">
      <w:pPr>
        <w:keepNext w:val="0"/>
        <w:keepLines w:val="0"/>
        <w:widowControl/>
        <w:suppressLineNumbers w:val="0"/>
        <w:jc w:val="left"/>
        <w:rPr>
          <w:rFonts w:hint="default" w:ascii="Times New Roman" w:hAnsi="Times New Roman" w:eastAsia="Times-Roman" w:cs="Times New Roman"/>
          <w:color w:val="000000"/>
          <w:kern w:val="0"/>
          <w:sz w:val="24"/>
          <w:szCs w:val="24"/>
          <w:lang w:val="en-US" w:eastAsia="zh-CN" w:bidi="ar"/>
        </w:rPr>
      </w:pPr>
    </w:p>
    <w:p w14:paraId="1524216F">
      <w:pPr>
        <w:keepNext w:val="0"/>
        <w:keepLines w:val="0"/>
        <w:widowControl/>
        <w:suppressLineNumbers w:val="0"/>
        <w:jc w:val="left"/>
        <w:rPr>
          <w:rFonts w:hint="default" w:ascii="Times New Roman" w:hAnsi="Times New Roman" w:eastAsia="Times-Roman" w:cs="Times New Roman"/>
          <w:color w:val="000000"/>
          <w:kern w:val="0"/>
          <w:sz w:val="24"/>
          <w:szCs w:val="24"/>
          <w:lang w:val="en-US" w:eastAsia="zh-CN" w:bidi="ar"/>
        </w:rPr>
      </w:pPr>
    </w:p>
    <w:p w14:paraId="3AA92040">
      <w:pPr>
        <w:keepNext w:val="0"/>
        <w:keepLines w:val="0"/>
        <w:widowControl/>
        <w:suppressLineNumbers w:val="0"/>
        <w:jc w:val="left"/>
        <w:rPr>
          <w:rFonts w:hint="default" w:ascii="Times New Roman" w:hAnsi="Times New Roman" w:eastAsia="Times-Roman" w:cs="Times New Roman"/>
          <w:color w:val="000000"/>
          <w:kern w:val="0"/>
          <w:sz w:val="24"/>
          <w:szCs w:val="24"/>
          <w:lang w:val="en-US" w:eastAsia="zh-CN" w:bidi="ar"/>
        </w:rPr>
      </w:pPr>
    </w:p>
    <w:p w14:paraId="79B408B5">
      <w:pPr>
        <w:keepNext w:val="0"/>
        <w:keepLines w:val="0"/>
        <w:widowControl/>
        <w:suppressLineNumbers w:val="0"/>
        <w:jc w:val="left"/>
        <w:rPr>
          <w:rFonts w:hint="default" w:ascii="Times New Roman" w:hAnsi="Times New Roman" w:eastAsia="Times-Roman" w:cs="Times New Roman"/>
          <w:color w:val="000000"/>
          <w:kern w:val="0"/>
          <w:sz w:val="24"/>
          <w:szCs w:val="24"/>
          <w:lang w:val="en-US" w:eastAsia="zh-CN" w:bidi="ar"/>
        </w:rPr>
      </w:pPr>
    </w:p>
    <w:p w14:paraId="33AF3714">
      <w:pPr>
        <w:keepNext w:val="0"/>
        <w:keepLines w:val="0"/>
        <w:widowControl/>
        <w:suppressLineNumbers w:val="0"/>
        <w:jc w:val="left"/>
        <w:rPr>
          <w:rFonts w:hint="default" w:ascii="Times New Roman" w:hAnsi="Times New Roman" w:eastAsia="Times-Roman" w:cs="Times New Roman"/>
          <w:color w:val="000000"/>
          <w:kern w:val="0"/>
          <w:sz w:val="24"/>
          <w:szCs w:val="24"/>
          <w:lang w:val="en-US" w:eastAsia="zh-CN" w:bidi="ar"/>
        </w:rPr>
      </w:pPr>
    </w:p>
    <w:p w14:paraId="187380D0">
      <w:pPr>
        <w:keepNext w:val="0"/>
        <w:keepLines w:val="0"/>
        <w:widowControl/>
        <w:suppressLineNumbers w:val="0"/>
        <w:jc w:val="left"/>
        <w:rPr>
          <w:rFonts w:hint="default" w:ascii="Times New Roman" w:hAnsi="Times New Roman" w:eastAsia="Times-Roman" w:cs="Times New Roman"/>
          <w:color w:val="000000"/>
          <w:kern w:val="0"/>
          <w:sz w:val="24"/>
          <w:szCs w:val="24"/>
          <w:lang w:val="en-US" w:eastAsia="zh-CN" w:bidi="ar"/>
        </w:rPr>
      </w:pPr>
    </w:p>
    <w:p w14:paraId="2F5AB6D9">
      <w:pPr>
        <w:keepNext w:val="0"/>
        <w:keepLines w:val="0"/>
        <w:widowControl/>
        <w:suppressLineNumbers w:val="0"/>
        <w:jc w:val="left"/>
        <w:rPr>
          <w:rFonts w:hint="default" w:ascii="Times New Roman" w:hAnsi="Times New Roman" w:eastAsia="Times-Roman" w:cs="Times New Roman"/>
          <w:color w:val="000000"/>
          <w:kern w:val="0"/>
          <w:sz w:val="24"/>
          <w:szCs w:val="24"/>
          <w:lang w:val="en-US" w:eastAsia="zh-CN" w:bidi="ar"/>
        </w:rPr>
      </w:pPr>
    </w:p>
    <w:p w14:paraId="485E5F24">
      <w:pPr>
        <w:keepNext w:val="0"/>
        <w:keepLines w:val="0"/>
        <w:widowControl/>
        <w:suppressLineNumbers w:val="0"/>
        <w:jc w:val="left"/>
        <w:rPr>
          <w:rFonts w:hint="default" w:ascii="Times New Roman" w:hAnsi="Times New Roman" w:eastAsia="Times-Roman" w:cs="Times New Roman"/>
          <w:color w:val="000000"/>
          <w:kern w:val="0"/>
          <w:sz w:val="24"/>
          <w:szCs w:val="24"/>
          <w:lang w:val="en-US" w:eastAsia="zh-CN" w:bidi="ar"/>
        </w:rPr>
      </w:pPr>
    </w:p>
    <w:p w14:paraId="144418C6">
      <w:pPr>
        <w:keepNext w:val="0"/>
        <w:keepLines w:val="0"/>
        <w:widowControl/>
        <w:suppressLineNumbers w:val="0"/>
        <w:jc w:val="left"/>
      </w:pPr>
      <w:r>
        <w:rPr>
          <w:rFonts w:hint="default" w:ascii="Times New Roman" w:hAnsi="Times New Roman" w:eastAsia="Times-Roman" w:cs="Times New Roman"/>
          <w:color w:val="000000"/>
          <w:kern w:val="0"/>
          <w:sz w:val="24"/>
          <w:szCs w:val="24"/>
          <w:lang w:val="fr-FR" w:eastAsia="zh-CN" w:bidi="ar"/>
        </w:rPr>
        <w:t xml:space="preserve"> </w:t>
      </w:r>
      <w:r>
        <w:rPr>
          <w:rFonts w:ascii="Times-Bold" w:hAnsi="Times-Bold" w:eastAsia="Times-Bold" w:cs="Times-Bold"/>
          <w:b/>
          <w:bCs/>
          <w:color w:val="000000"/>
          <w:kern w:val="0"/>
          <w:sz w:val="22"/>
          <w:szCs w:val="22"/>
          <w:lang w:val="en-US" w:eastAsia="zh-CN" w:bidi="ar"/>
        </w:rPr>
        <w:t>Tableau 03 :</w:t>
      </w:r>
      <w:r>
        <w:rPr>
          <w:rFonts w:ascii="Times-Roman" w:hAnsi="Times-Roman" w:eastAsia="Times-Roman" w:cs="Times-Roman"/>
          <w:color w:val="000000"/>
          <w:kern w:val="0"/>
          <w:sz w:val="22"/>
          <w:szCs w:val="22"/>
          <w:lang w:val="en-US" w:eastAsia="zh-CN" w:bidi="ar"/>
        </w:rPr>
        <w:t xml:space="preserve"> Etapes de l’interaction </w:t>
      </w:r>
      <w:r>
        <w:rPr>
          <w:rFonts w:ascii="Times-Italic" w:hAnsi="Times-Italic" w:eastAsia="Times-Italic" w:cs="Times-Italic"/>
          <w:i/>
          <w:iCs/>
          <w:color w:val="000000"/>
          <w:kern w:val="0"/>
          <w:sz w:val="22"/>
          <w:szCs w:val="22"/>
          <w:lang w:val="en-US" w:eastAsia="zh-CN" w:bidi="ar"/>
        </w:rPr>
        <w:t>Agrobacterium tumefaciens</w:t>
      </w:r>
      <w:r>
        <w:rPr>
          <w:rFonts w:hint="default" w:ascii="Times-Roman" w:hAnsi="Times-Roman" w:eastAsia="Times-Roman" w:cs="Times-Roman"/>
          <w:color w:val="000000"/>
          <w:kern w:val="0"/>
          <w:sz w:val="22"/>
          <w:szCs w:val="22"/>
          <w:lang w:val="en-US" w:eastAsia="zh-CN" w:bidi="ar"/>
        </w:rPr>
        <w:t xml:space="preserve">/plante hôte et intervention </w:t>
      </w:r>
    </w:p>
    <w:p w14:paraId="3664A045">
      <w:pPr>
        <w:keepNext w:val="0"/>
        <w:keepLines w:val="0"/>
        <w:widowControl/>
        <w:suppressLineNumbers w:val="0"/>
        <w:jc w:val="left"/>
      </w:pPr>
      <w:r>
        <w:rPr>
          <w:rFonts w:hint="default" w:ascii="Times-Roman" w:hAnsi="Times-Roman" w:eastAsia="Times-Roman" w:cs="Times-Roman"/>
          <w:color w:val="000000"/>
          <w:kern w:val="0"/>
          <w:sz w:val="22"/>
          <w:szCs w:val="22"/>
          <w:lang w:val="en-US" w:eastAsia="zh-CN" w:bidi="ar"/>
        </w:rPr>
        <w:t>des différentes protéines (Franche, 2013).</w:t>
      </w:r>
    </w:p>
    <w:p w14:paraId="3B5362F9">
      <w:pPr>
        <w:keepNext w:val="0"/>
        <w:keepLines w:val="0"/>
        <w:widowControl/>
        <w:suppressLineNumbers w:val="0"/>
        <w:spacing w:line="360" w:lineRule="auto"/>
        <w:jc w:val="center"/>
      </w:pPr>
      <w:r>
        <w:drawing>
          <wp:inline distT="0" distB="0" distL="114300" distR="114300">
            <wp:extent cx="4029075" cy="253365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12"/>
                    <a:stretch>
                      <a:fillRect/>
                    </a:stretch>
                  </pic:blipFill>
                  <pic:spPr>
                    <a:xfrm>
                      <a:off x="0" y="0"/>
                      <a:ext cx="4029075" cy="2533650"/>
                    </a:xfrm>
                    <a:prstGeom prst="rect">
                      <a:avLst/>
                    </a:prstGeom>
                    <a:noFill/>
                    <a:ln>
                      <a:noFill/>
                    </a:ln>
                  </pic:spPr>
                </pic:pic>
              </a:graphicData>
            </a:graphic>
          </wp:inline>
        </w:drawing>
      </w:r>
    </w:p>
    <w:p w14:paraId="0F3388BC">
      <w:pPr>
        <w:keepNext w:val="0"/>
        <w:keepLines w:val="0"/>
        <w:widowControl/>
        <w:suppressLineNumbers w:val="0"/>
        <w:spacing w:line="360" w:lineRule="auto"/>
        <w:jc w:val="center"/>
      </w:pPr>
      <w:r>
        <w:drawing>
          <wp:inline distT="0" distB="0" distL="114300" distR="114300">
            <wp:extent cx="4200525" cy="335280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pic:cNvPicPr>
                  </pic:nvPicPr>
                  <pic:blipFill>
                    <a:blip r:embed="rId13"/>
                    <a:stretch>
                      <a:fillRect/>
                    </a:stretch>
                  </pic:blipFill>
                  <pic:spPr>
                    <a:xfrm>
                      <a:off x="0" y="0"/>
                      <a:ext cx="4200525" cy="3352800"/>
                    </a:xfrm>
                    <a:prstGeom prst="rect">
                      <a:avLst/>
                    </a:prstGeom>
                    <a:noFill/>
                    <a:ln>
                      <a:noFill/>
                    </a:ln>
                  </pic:spPr>
                </pic:pic>
              </a:graphicData>
            </a:graphic>
          </wp:inline>
        </w:drawing>
      </w:r>
    </w:p>
    <w:p w14:paraId="5023A658">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BoldItalic" w:cs="Times New Roman"/>
          <w:b/>
          <w:bCs/>
          <w:i/>
          <w:iCs/>
          <w:color w:val="000000"/>
          <w:kern w:val="0"/>
          <w:sz w:val="24"/>
          <w:szCs w:val="24"/>
          <w:lang w:val="en-US" w:eastAsia="zh-CN" w:bidi="ar"/>
        </w:rPr>
        <w:t xml:space="preserve">2. Agrobacterium rhizogenes </w:t>
      </w:r>
    </w:p>
    <w:p w14:paraId="681014B5">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2.1. Formation des chevelus racinaires (</w:t>
      </w:r>
      <w:r>
        <w:rPr>
          <w:rFonts w:hint="default" w:ascii="Times New Roman" w:hAnsi="Times New Roman" w:eastAsia="Times-BoldItalic" w:cs="Times New Roman"/>
          <w:b/>
          <w:bCs/>
          <w:i/>
          <w:iCs/>
          <w:color w:val="000000"/>
          <w:kern w:val="0"/>
          <w:sz w:val="24"/>
          <w:szCs w:val="24"/>
          <w:lang w:val="en-US" w:eastAsia="zh-CN" w:bidi="ar"/>
        </w:rPr>
        <w:t>hairy roots</w:t>
      </w:r>
      <w:r>
        <w:rPr>
          <w:rFonts w:hint="default" w:ascii="Times New Roman" w:hAnsi="Times New Roman" w:eastAsia="Times-Bold" w:cs="Times New Roman"/>
          <w:b/>
          <w:bCs/>
          <w:color w:val="000000"/>
          <w:kern w:val="0"/>
          <w:sz w:val="24"/>
          <w:szCs w:val="24"/>
          <w:lang w:val="en-US" w:eastAsia="zh-CN" w:bidi="ar"/>
        </w:rPr>
        <w:t xml:space="preserve">) </w:t>
      </w:r>
    </w:p>
    <w:p w14:paraId="3EBC683F">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En 1930, des études ont montré que la bactérie </w:t>
      </w:r>
      <w:r>
        <w:rPr>
          <w:rFonts w:hint="default" w:ascii="Times New Roman" w:hAnsi="Times New Roman" w:eastAsia="Times-Italic" w:cs="Times New Roman"/>
          <w:i/>
          <w:iCs/>
          <w:color w:val="000000"/>
          <w:kern w:val="0"/>
          <w:sz w:val="24"/>
          <w:szCs w:val="24"/>
          <w:lang w:val="en-US" w:eastAsia="zh-CN" w:bidi="ar"/>
        </w:rPr>
        <w:t>Agrobacterium rhizogenes</w:t>
      </w:r>
      <w:r>
        <w:rPr>
          <w:rFonts w:hint="default" w:ascii="Times New Roman" w:hAnsi="Times New Roman" w:eastAsia="Times-Roman" w:cs="Times New Roman"/>
          <w:color w:val="000000"/>
          <w:kern w:val="0"/>
          <w:sz w:val="24"/>
          <w:szCs w:val="24"/>
          <w:lang w:val="en-US" w:eastAsia="zh-CN" w:bidi="ar"/>
        </w:rPr>
        <w:t xml:space="preserve"> était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responsable de la maladie du chevelu racinaire ou « </w:t>
      </w:r>
      <w:r>
        <w:rPr>
          <w:rFonts w:hint="default" w:ascii="Times New Roman" w:hAnsi="Times New Roman" w:eastAsia="Times-Italic" w:cs="Times New Roman"/>
          <w:i/>
          <w:iCs/>
          <w:color w:val="000000"/>
          <w:kern w:val="0"/>
          <w:sz w:val="24"/>
          <w:szCs w:val="24"/>
          <w:lang w:val="en-US" w:eastAsia="zh-CN" w:bidi="ar"/>
        </w:rPr>
        <w:t>hairy root</w:t>
      </w:r>
      <w:r>
        <w:rPr>
          <w:rFonts w:hint="default" w:ascii="Times New Roman" w:hAnsi="Times New Roman" w:eastAsia="Times-Roman" w:cs="Times New Roman"/>
          <w:color w:val="000000"/>
          <w:kern w:val="0"/>
          <w:sz w:val="24"/>
          <w:szCs w:val="24"/>
          <w:lang w:val="en-US" w:eastAsia="zh-CN" w:bidi="ar"/>
        </w:rPr>
        <w:t xml:space="preserve"> » qui provoque la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différenciation de chevelus racinaires caractéristiques, au niveau de sites d’infection. Les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tissus ainsi formés (chevelus racinaires) sont les conséquences de la transformation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génétique de cellules normales en cellules à prolifération active. Ces tissus peuvent être cultivés </w:t>
      </w:r>
      <w:r>
        <w:rPr>
          <w:rFonts w:hint="default" w:ascii="Times New Roman" w:hAnsi="Times New Roman" w:eastAsia="Times-Italic" w:cs="Times New Roman"/>
          <w:i/>
          <w:iCs/>
          <w:color w:val="000000"/>
          <w:kern w:val="0"/>
          <w:sz w:val="24"/>
          <w:szCs w:val="24"/>
          <w:lang w:val="en-US" w:eastAsia="zh-CN" w:bidi="ar"/>
        </w:rPr>
        <w:t>in vitro</w:t>
      </w:r>
      <w:r>
        <w:rPr>
          <w:rFonts w:hint="default" w:ascii="Times New Roman" w:hAnsi="Times New Roman" w:eastAsia="Times-Roman" w:cs="Times New Roman"/>
          <w:color w:val="000000"/>
          <w:kern w:val="0"/>
          <w:sz w:val="24"/>
          <w:szCs w:val="24"/>
          <w:lang w:val="en-US" w:eastAsia="zh-CN" w:bidi="ar"/>
        </w:rPr>
        <w:t xml:space="preserve"> en l’absence de la bactérie et possèdent deux caractéristiques </w:t>
      </w:r>
      <w:r>
        <w:rPr>
          <w:rFonts w:hint="default" w:ascii="Times New Roman" w:hAnsi="Times New Roman" w:eastAsia="Times-Bold" w:cs="Times New Roman"/>
          <w:b/>
          <w:bCs/>
          <w:color w:val="000000"/>
          <w:kern w:val="0"/>
          <w:sz w:val="24"/>
          <w:szCs w:val="24"/>
          <w:lang w:val="en-US" w:eastAsia="zh-CN" w:bidi="ar"/>
        </w:rPr>
        <w:t>(Figure 14)</w:t>
      </w:r>
      <w:r>
        <w:rPr>
          <w:rFonts w:hint="default" w:ascii="Times New Roman" w:hAnsi="Times New Roman" w:eastAsia="Times-Roman" w:cs="Times New Roman"/>
          <w:color w:val="000000"/>
          <w:kern w:val="0"/>
          <w:sz w:val="24"/>
          <w:szCs w:val="24"/>
          <w:lang w:val="en-US" w:eastAsia="zh-CN" w:bidi="ar"/>
        </w:rPr>
        <w:t xml:space="preserve"> : la première est qu’ils peuvent se développer en l’absence de facteurs de croissance exogènes car les cellules qui les constituent ont acquis le pouvoir de synthétiser leurs propres phytorégulateurs (auxines et cytokinines), la seconde caractéristique est qu’ils produisent et excrètent des dérivés d'acides aminés particuliers appelés opines qui sont spécifiques de la souche bactérienne inductrice, qui les utilise comme source de carbone. Ces racines se différencient des racines normales par leurs nombreuses ramifications latérales et leur agéotropisme </w:t>
      </w:r>
      <w:r>
        <w:rPr>
          <w:rFonts w:hint="default" w:ascii="Times New Roman" w:hAnsi="Times New Roman" w:eastAsia="Times-Bold" w:cs="Times New Roman"/>
          <w:b/>
          <w:bCs/>
          <w:color w:val="000000"/>
          <w:kern w:val="0"/>
          <w:sz w:val="24"/>
          <w:szCs w:val="24"/>
          <w:lang w:val="en-US" w:eastAsia="zh-CN" w:bidi="ar"/>
        </w:rPr>
        <w:t>(Figure 15)</w:t>
      </w:r>
      <w:r>
        <w:rPr>
          <w:rFonts w:hint="default" w:ascii="Times New Roman" w:hAnsi="Times New Roman" w:eastAsia="Times-Roman" w:cs="Times New Roman"/>
          <w:color w:val="000000"/>
          <w:kern w:val="0"/>
          <w:sz w:val="24"/>
          <w:szCs w:val="24"/>
          <w:lang w:val="en-US" w:eastAsia="zh-CN" w:bidi="ar"/>
        </w:rPr>
        <w:t xml:space="preserve">. Il en résulte une biomasse importante en un temps relativement court. Chez de nombreuses espèces de plantes, il est possible d’induire une régénération du végétal à partir de ces racines, avec un phénotype caractérisé le plus souvent par des feuilles gaufrées, des internœuds plus courts et une dominance apicale réduite. Toutes les cellules d’une racine de </w:t>
      </w:r>
      <w:r>
        <w:rPr>
          <w:rFonts w:hint="default" w:ascii="Times New Roman" w:hAnsi="Times New Roman" w:eastAsia="Times-Italic" w:cs="Times New Roman"/>
          <w:i/>
          <w:iCs/>
          <w:color w:val="000000"/>
          <w:kern w:val="0"/>
          <w:sz w:val="24"/>
          <w:szCs w:val="24"/>
          <w:lang w:val="en-US" w:eastAsia="zh-CN" w:bidi="ar"/>
        </w:rPr>
        <w:t>hairy root</w:t>
      </w:r>
      <w:r>
        <w:rPr>
          <w:rFonts w:hint="default" w:ascii="Times New Roman" w:hAnsi="Times New Roman" w:eastAsia="Times-Roman" w:cs="Times New Roman"/>
          <w:color w:val="000000"/>
          <w:kern w:val="0"/>
          <w:sz w:val="24"/>
          <w:szCs w:val="24"/>
          <w:lang w:val="en-US" w:eastAsia="zh-CN" w:bidi="ar"/>
        </w:rPr>
        <w:t xml:space="preserve"> dérivent d’une cellule d’un méristème transformée et constituent un clone, contrairement à celles de la tumeur de </w:t>
      </w:r>
      <w:r>
        <w:rPr>
          <w:rFonts w:hint="default" w:ascii="Times New Roman" w:hAnsi="Times New Roman" w:eastAsia="Times-Italic" w:cs="Times New Roman"/>
          <w:i/>
          <w:iCs/>
          <w:color w:val="000000"/>
          <w:kern w:val="0"/>
          <w:sz w:val="24"/>
          <w:szCs w:val="24"/>
          <w:lang w:val="en-US" w:eastAsia="zh-CN" w:bidi="ar"/>
        </w:rPr>
        <w:t>crown gall</w:t>
      </w:r>
      <w:r>
        <w:rPr>
          <w:rFonts w:hint="default" w:ascii="Times New Roman" w:hAnsi="Times New Roman" w:eastAsia="Times-Roman" w:cs="Times New Roman"/>
          <w:color w:val="000000"/>
          <w:kern w:val="0"/>
          <w:sz w:val="24"/>
          <w:szCs w:val="24"/>
          <w:lang w:val="en-US" w:eastAsia="zh-CN" w:bidi="ar"/>
        </w:rPr>
        <w:t xml:space="preserve"> qui est une chimère, mélange de cellules transformées et de cellules normales. Les propriétés des racines transformées ont suscité l’intérêt des chercheurs sur de </w:t>
      </w:r>
    </w:p>
    <w:p w14:paraId="577AFC23">
      <w:pPr>
        <w:keepNext w:val="0"/>
        <w:keepLines w:val="0"/>
        <w:widowControl/>
        <w:suppressLineNumbers w:val="0"/>
        <w:spacing w:line="360" w:lineRule="auto"/>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nombreux aspects. Les axes de recherche développés vont de l’étude de la composition et de la biologie des racines à leur utilisation pour développer des caractères agronomiques particuliers. La possibilité de les cryoconserver en fait un outil particulièrement intéressant pour des applications tant en recherche qu’en industrie. L’amélioration des rendements de production en métabolites. De nombreux métabolites d’intérêt tels que des alcaloides, terpènes, et composés phénoliques sont naturellement produits dans les racines transformées de différentes espèces</w:t>
      </w:r>
    </w:p>
    <w:p w14:paraId="09829CD7">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2.2. Organisation du plasmide Ri (pRi : </w:t>
      </w:r>
      <w:r>
        <w:rPr>
          <w:rFonts w:hint="default" w:ascii="Times New Roman" w:hAnsi="Times New Roman" w:eastAsia="Times-BoldItalic" w:cs="Times New Roman"/>
          <w:b/>
          <w:bCs/>
          <w:i/>
          <w:iCs/>
          <w:color w:val="000000"/>
          <w:kern w:val="0"/>
          <w:sz w:val="24"/>
          <w:szCs w:val="24"/>
          <w:lang w:val="en-US" w:eastAsia="zh-CN" w:bidi="ar"/>
        </w:rPr>
        <w:t>Root inducing</w:t>
      </w:r>
      <w:r>
        <w:rPr>
          <w:rFonts w:hint="default" w:ascii="Times New Roman" w:hAnsi="Times New Roman" w:eastAsia="Times-Bold" w:cs="Times New Roman"/>
          <w:b/>
          <w:bCs/>
          <w:color w:val="000000"/>
          <w:kern w:val="0"/>
          <w:sz w:val="24"/>
          <w:szCs w:val="24"/>
          <w:lang w:val="en-US" w:eastAsia="zh-CN" w:bidi="ar"/>
        </w:rPr>
        <w:t xml:space="preserve">) </w:t>
      </w:r>
    </w:p>
    <w:p w14:paraId="65DD16AC">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Le principal élément pathogène de la bactérie </w:t>
      </w:r>
      <w:r>
        <w:rPr>
          <w:rFonts w:hint="default" w:ascii="Times New Roman" w:hAnsi="Times New Roman" w:eastAsia="Times-Italic" w:cs="Times New Roman"/>
          <w:i/>
          <w:iCs/>
          <w:color w:val="000000"/>
          <w:kern w:val="0"/>
          <w:sz w:val="24"/>
          <w:szCs w:val="24"/>
          <w:lang w:val="en-US" w:eastAsia="zh-CN" w:bidi="ar"/>
        </w:rPr>
        <w:t>Agrobacterium rhizogenes</w:t>
      </w:r>
      <w:r>
        <w:rPr>
          <w:rFonts w:hint="default" w:ascii="Times New Roman" w:hAnsi="Times New Roman" w:eastAsia="Times-Roman" w:cs="Times New Roman"/>
          <w:color w:val="000000"/>
          <w:kern w:val="0"/>
          <w:sz w:val="24"/>
          <w:szCs w:val="24"/>
          <w:lang w:val="en-US" w:eastAsia="zh-CN" w:bidi="ar"/>
        </w:rPr>
        <w:t xml:space="preserve"> est un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plasmide de haut poids moléculaire (~ 200 kb), appelé plasmide Ri (pRi : </w:t>
      </w:r>
      <w:r>
        <w:rPr>
          <w:rFonts w:hint="default" w:ascii="Times New Roman" w:hAnsi="Times New Roman" w:eastAsia="Times-Italic" w:cs="Times New Roman"/>
          <w:i/>
          <w:iCs/>
          <w:color w:val="000000"/>
          <w:kern w:val="0"/>
          <w:sz w:val="24"/>
          <w:szCs w:val="24"/>
          <w:lang w:val="en-US" w:eastAsia="zh-CN" w:bidi="ar"/>
        </w:rPr>
        <w:t>Root-inducing</w:t>
      </w:r>
      <w:r>
        <w:rPr>
          <w:rFonts w:hint="default" w:ascii="Times New Roman" w:hAnsi="Times New Roman" w:eastAsia="Times-Roman" w:cs="Times New Roman"/>
          <w:color w:val="000000"/>
          <w:kern w:val="0"/>
          <w:sz w:val="24"/>
          <w:szCs w:val="24"/>
          <w:lang w:val="en-US" w:eastAsia="zh-CN" w:bidi="ar"/>
        </w:rPr>
        <w:t xml:space="preserve">). Le nom donné au plasmide reflète le symptôme de la maladie : apparition d’un important chevelu racinaire au point d’infection avec </w:t>
      </w:r>
      <w:r>
        <w:rPr>
          <w:rFonts w:hint="default" w:ascii="Times New Roman" w:hAnsi="Times New Roman" w:eastAsia="Times-Italic" w:cs="Times New Roman"/>
          <w:i/>
          <w:iCs/>
          <w:color w:val="000000"/>
          <w:kern w:val="0"/>
          <w:sz w:val="24"/>
          <w:szCs w:val="24"/>
          <w:lang w:val="en-US" w:eastAsia="zh-CN" w:bidi="ar"/>
        </w:rPr>
        <w:t>A. rhizogenes</w:t>
      </w:r>
      <w:r>
        <w:rPr>
          <w:rFonts w:hint="default" w:ascii="Times New Roman" w:hAnsi="Times New Roman" w:eastAsia="Times-Roman" w:cs="Times New Roman"/>
          <w:color w:val="000000"/>
          <w:kern w:val="0"/>
          <w:sz w:val="24"/>
          <w:szCs w:val="24"/>
          <w:lang w:val="en-US" w:eastAsia="zh-CN" w:bidi="ar"/>
        </w:rPr>
        <w:t xml:space="preserve">. Le plasmide Ri comporte : une origine de réplication (ori), la région d’incompatibilité (inc), les gènes de transfert conjugatif (tra), les gènes responsables du catabolisme des opines (opc), les gènes de virulence (vir), et la région T qui est délimitée par des frontières gauche et droite (LB et RB). Cette dernière comporte différentes parties : les gènes rol A, B, C et D, qui sont des facteurs de croissance et de différenciation des cellules, les gènes iaaM et iaaH qui sont responsables de la synthèse d’auxines et qui modifient ainsi la balance hormonale de la plante pour induire la formation de racines, et les gènes mas1, mas2 et ags, responsables de la synthèse d’opines par la plante, qui seront ensuite utilisées comme source de nutriments par la bactérie </w:t>
      </w:r>
      <w:r>
        <w:rPr>
          <w:rFonts w:hint="default" w:ascii="Times New Roman" w:hAnsi="Times New Roman" w:eastAsia="Times-Bold" w:cs="Times New Roman"/>
          <w:b/>
          <w:bCs/>
          <w:color w:val="000000"/>
          <w:kern w:val="0"/>
          <w:sz w:val="24"/>
          <w:szCs w:val="24"/>
          <w:lang w:val="en-US" w:eastAsia="zh-CN" w:bidi="ar"/>
        </w:rPr>
        <w:t>(Figure 16)</w:t>
      </w:r>
    </w:p>
    <w:p w14:paraId="6964E312">
      <w:pPr>
        <w:keepNext w:val="0"/>
        <w:keepLines w:val="0"/>
        <w:widowControl/>
        <w:suppressLineNumbers w:val="0"/>
        <w:spacing w:line="360" w:lineRule="auto"/>
        <w:jc w:val="both"/>
        <w:rPr>
          <w:rFonts w:hint="default" w:ascii="Times New Roman" w:hAnsi="Times New Roman" w:eastAsia="Times-Roman" w:cs="Times New Roman"/>
          <w:color w:val="000000"/>
          <w:kern w:val="0"/>
          <w:sz w:val="24"/>
          <w:szCs w:val="24"/>
          <w:lang w:val="fr-FR" w:eastAsia="zh-CN" w:bidi="ar"/>
        </w:rPr>
      </w:pPr>
    </w:p>
    <w:p w14:paraId="380C643C">
      <w:pPr>
        <w:keepNext w:val="0"/>
        <w:keepLines w:val="0"/>
        <w:widowControl/>
        <w:suppressLineNumbers w:val="0"/>
        <w:spacing w:line="360" w:lineRule="auto"/>
        <w:jc w:val="both"/>
        <w:rPr>
          <w:rFonts w:hint="default" w:ascii="Times New Roman" w:hAnsi="Times New Roman" w:eastAsia="Times-Roman" w:cs="Times New Roman"/>
          <w:color w:val="000000"/>
          <w:kern w:val="0"/>
          <w:sz w:val="24"/>
          <w:szCs w:val="24"/>
          <w:lang w:val="en-US" w:eastAsia="zh-CN" w:bidi="ar"/>
        </w:rPr>
      </w:pPr>
    </w:p>
    <w:p w14:paraId="250375E9">
      <w:pPr>
        <w:keepNext w:val="0"/>
        <w:keepLines w:val="0"/>
        <w:widowControl/>
        <w:suppressLineNumbers w:val="0"/>
        <w:spacing w:line="360" w:lineRule="auto"/>
        <w:jc w:val="center"/>
      </w:pPr>
      <w:r>
        <w:drawing>
          <wp:inline distT="0" distB="0" distL="114300" distR="114300">
            <wp:extent cx="4295775" cy="344805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14"/>
                    <a:stretch>
                      <a:fillRect/>
                    </a:stretch>
                  </pic:blipFill>
                  <pic:spPr>
                    <a:xfrm>
                      <a:off x="0" y="0"/>
                      <a:ext cx="4295775" cy="3448050"/>
                    </a:xfrm>
                    <a:prstGeom prst="rect">
                      <a:avLst/>
                    </a:prstGeom>
                    <a:noFill/>
                    <a:ln>
                      <a:noFill/>
                    </a:ln>
                  </pic:spPr>
                </pic:pic>
              </a:graphicData>
            </a:graphic>
          </wp:inline>
        </w:drawing>
      </w:r>
    </w:p>
    <w:p w14:paraId="73ECB266">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2.3. Processus d’infection </w:t>
      </w:r>
    </w:p>
    <w:p w14:paraId="01D6192F">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Dans la nature, le </w:t>
      </w:r>
      <w:r>
        <w:rPr>
          <w:rFonts w:hint="default" w:ascii="Times New Roman" w:hAnsi="Times New Roman" w:eastAsia="Times-Italic" w:cs="Times New Roman"/>
          <w:i/>
          <w:iCs/>
          <w:color w:val="000000"/>
          <w:kern w:val="0"/>
          <w:sz w:val="24"/>
          <w:szCs w:val="24"/>
          <w:lang w:val="en-US" w:eastAsia="zh-CN" w:bidi="ar"/>
        </w:rPr>
        <w:t>hairy root</w:t>
      </w:r>
      <w:r>
        <w:rPr>
          <w:rFonts w:hint="default" w:ascii="Times New Roman" w:hAnsi="Times New Roman" w:eastAsia="Times-Roman" w:cs="Times New Roman"/>
          <w:color w:val="000000"/>
          <w:kern w:val="0"/>
          <w:sz w:val="24"/>
          <w:szCs w:val="24"/>
          <w:lang w:val="en-US" w:eastAsia="zh-CN" w:bidi="ar"/>
        </w:rPr>
        <w:t xml:space="preserve"> a été observé sur un nombre limité d’espèces de plantes : le pommier, le concombre, et le melon. La biologie générale du processus d’infection semble être similaire à celle d’</w:t>
      </w:r>
      <w:r>
        <w:rPr>
          <w:rFonts w:hint="default" w:ascii="Times New Roman" w:hAnsi="Times New Roman" w:eastAsia="Times-Italic" w:cs="Times New Roman"/>
          <w:i/>
          <w:iCs/>
          <w:color w:val="000000"/>
          <w:kern w:val="0"/>
          <w:sz w:val="24"/>
          <w:szCs w:val="24"/>
          <w:lang w:val="en-US" w:eastAsia="zh-CN" w:bidi="ar"/>
        </w:rPr>
        <w:t>A. tumefaciens.</w:t>
      </w:r>
      <w:r>
        <w:rPr>
          <w:rFonts w:hint="default" w:ascii="Times New Roman" w:hAnsi="Times New Roman" w:eastAsia="Times-Roman" w:cs="Times New Roman"/>
          <w:color w:val="000000"/>
          <w:kern w:val="0"/>
          <w:sz w:val="24"/>
          <w:szCs w:val="24"/>
          <w:lang w:val="en-US" w:eastAsia="zh-CN" w:bidi="ar"/>
        </w:rPr>
        <w:t xml:space="preserve"> Les études du processus de transfert de l’ADN-T ontporté principalement sur </w:t>
      </w:r>
      <w:r>
        <w:rPr>
          <w:rFonts w:hint="default" w:ascii="Times New Roman" w:hAnsi="Times New Roman" w:eastAsia="Times-Italic" w:cs="Times New Roman"/>
          <w:i/>
          <w:iCs/>
          <w:color w:val="000000"/>
          <w:kern w:val="0"/>
          <w:sz w:val="24"/>
          <w:szCs w:val="24"/>
          <w:lang w:val="en-US" w:eastAsia="zh-CN" w:bidi="ar"/>
        </w:rPr>
        <w:t>A. tumefaciens</w:t>
      </w:r>
      <w:r>
        <w:rPr>
          <w:rFonts w:hint="default" w:ascii="Times New Roman" w:hAnsi="Times New Roman" w:eastAsia="Times-Roman" w:cs="Times New Roman"/>
          <w:color w:val="000000"/>
          <w:kern w:val="0"/>
          <w:sz w:val="24"/>
          <w:szCs w:val="24"/>
          <w:lang w:val="en-US" w:eastAsia="zh-CN" w:bidi="ar"/>
        </w:rPr>
        <w:t xml:space="preserve">, et c’est donc ce micro-organisme qui est le </w:t>
      </w:r>
      <w:bookmarkStart w:id="1" w:name="_GoBack"/>
      <w:bookmarkEnd w:id="1"/>
      <w:r>
        <w:rPr>
          <w:rFonts w:hint="default" w:ascii="Times New Roman" w:hAnsi="Times New Roman" w:eastAsia="Times-Roman" w:cs="Times New Roman"/>
          <w:color w:val="000000"/>
          <w:kern w:val="0"/>
          <w:sz w:val="24"/>
          <w:szCs w:val="24"/>
          <w:lang w:val="en-US" w:eastAsia="zh-CN" w:bidi="ar"/>
        </w:rPr>
        <w:t>mieux connu.</w:t>
      </w:r>
    </w:p>
    <w:p w14:paraId="474ADE8F">
      <w:pPr>
        <w:keepNext w:val="0"/>
        <w:keepLines w:val="0"/>
        <w:widowControl/>
        <w:suppressLineNumbers w:val="0"/>
        <w:spacing w:line="360" w:lineRule="auto"/>
        <w:jc w:val="center"/>
        <w:rPr>
          <w:rFonts w:hint="default"/>
          <w:lang w:val="en-US" w:eastAsia="zh-CN"/>
        </w:rPr>
      </w:pPr>
    </w:p>
    <w:p w14:paraId="37596783">
      <w:pPr>
        <w:keepNext w:val="0"/>
        <w:keepLines w:val="0"/>
        <w:widowControl/>
        <w:suppressLineNumbers w:val="0"/>
        <w:jc w:val="left"/>
        <w:rPr>
          <w:rFonts w:hint="default" w:ascii="Times-Roman" w:hAnsi="Times-Roman" w:eastAsia="Times-Roman" w:cs="Times-Roman"/>
          <w:color w:val="000000"/>
          <w:kern w:val="0"/>
          <w:sz w:val="22"/>
          <w:szCs w:val="22"/>
          <w:lang w:val="en-US" w:eastAsia="zh-CN" w:bidi="ar"/>
        </w:rPr>
      </w:pPr>
    </w:p>
    <w:p w14:paraId="73397AFB">
      <w:pPr>
        <w:keepNext w:val="0"/>
        <w:keepLines w:val="0"/>
        <w:widowControl/>
        <w:suppressLineNumbers w:val="0"/>
        <w:spacing w:line="360" w:lineRule="auto"/>
        <w:jc w:val="center"/>
        <w:rPr>
          <w:rFonts w:hint="default"/>
          <w:lang w:val="en-US" w:eastAsia="zh-CN"/>
        </w:rPr>
      </w:pPr>
    </w:p>
    <w:p w14:paraId="3BFEAD21">
      <w:pPr>
        <w:keepNext w:val="0"/>
        <w:keepLines w:val="0"/>
        <w:widowControl/>
        <w:suppressLineNumbers w:val="0"/>
        <w:spacing w:line="360" w:lineRule="auto"/>
        <w:jc w:val="both"/>
        <w:rPr>
          <w:rFonts w:hint="default"/>
          <w:lang w:val="en-US" w:eastAsia="zh-CN"/>
        </w:rPr>
      </w:pPr>
    </w:p>
    <w:p w14:paraId="3AFAA4DB">
      <w:pPr>
        <w:keepNext w:val="0"/>
        <w:keepLines w:val="0"/>
        <w:widowControl/>
        <w:suppressLineNumbers w:val="0"/>
        <w:spacing w:line="360" w:lineRule="auto"/>
        <w:jc w:val="both"/>
        <w:rPr>
          <w:rFonts w:hint="default" w:ascii="Times New Roman" w:hAnsi="Times New Roman" w:eastAsia="Times-Roman" w:cs="Times New Roman"/>
          <w:color w:val="000000"/>
          <w:kern w:val="0"/>
          <w:sz w:val="24"/>
          <w:szCs w:val="24"/>
          <w:lang w:val="en-US" w:eastAsia="zh-CN" w:bidi="ar"/>
        </w:rPr>
      </w:pPr>
    </w:p>
    <w:p w14:paraId="534C9924">
      <w:pPr>
        <w:spacing w:before="0" w:beforeAutospacing="0" w:after="0" w:afterAutospacing="0" w:line="360" w:lineRule="auto"/>
        <w:jc w:val="both"/>
        <w:rPr>
          <w:rFonts w:hint="default" w:ascii="Times New Roman" w:hAnsi="Times New Roman" w:cs="Times New Roman"/>
          <w:sz w:val="24"/>
          <w:szCs w:val="24"/>
        </w:rPr>
      </w:pPr>
    </w:p>
    <w:p w14:paraId="0ACF18B2">
      <w:pPr>
        <w:spacing w:before="0" w:beforeAutospacing="0" w:after="0" w:afterAutospacing="0" w:line="360" w:lineRule="auto"/>
        <w:jc w:val="center"/>
        <w:rPr>
          <w:rFonts w:ascii="Times New Roman" w:hAnsi="Times New Roman"/>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omic Sans MS">
    <w:panose1 w:val="030F0702030302020204"/>
    <w:charset w:val="00"/>
    <w:family w:val="script"/>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Times-Bold">
    <w:altName w:val="Times New Roman"/>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Times-BoldItalic">
    <w:altName w:val="Times New Roman"/>
    <w:panose1 w:val="00000000000000000000"/>
    <w:charset w:val="00"/>
    <w:family w:val="roman"/>
    <w:pitch w:val="default"/>
    <w:sig w:usb0="00000000" w:usb1="00000000" w:usb2="00000000" w:usb3="00000000" w:csb0="00000000" w:csb1="00000000"/>
  </w:font>
  <w:font w:name="Franklin Gothic Demi Cond">
    <w:panose1 w:val="020B0706030402020204"/>
    <w:charset w:val="00"/>
    <w:family w:val="auto"/>
    <w:pitch w:val="default"/>
    <w:sig w:usb0="00000287" w:usb1="00000000" w:usb2="00000000" w:usb3="00000000" w:csb0="2000009F" w:csb1="DFD7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7C"/>
    <w:rsid w:val="00327DA8"/>
    <w:rsid w:val="00583505"/>
    <w:rsid w:val="00601DCA"/>
    <w:rsid w:val="006E4150"/>
    <w:rsid w:val="0073557C"/>
    <w:rsid w:val="008853AA"/>
    <w:rsid w:val="00AB023C"/>
    <w:rsid w:val="00F31D78"/>
    <w:rsid w:val="056D77F4"/>
    <w:rsid w:val="0AE57D8B"/>
    <w:rsid w:val="407676CF"/>
    <w:rsid w:val="4214206C"/>
    <w:rsid w:val="4C0A12CF"/>
    <w:rsid w:val="6CB9474B"/>
    <w:rsid w:val="7E1006A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before="100" w:beforeAutospacing="1" w:after="100" w:afterAutospacing="1" w:line="273" w:lineRule="auto"/>
    </w:pPr>
    <w:rPr>
      <w:rFonts w:ascii="Calibri" w:hAnsi="Calibri" w:eastAsia="Times New Roman" w:cs="Times New Roman"/>
      <w:sz w:val="24"/>
      <w:szCs w:val="24"/>
      <w:lang w:val="fr-FR" w:eastAsia="fr-FR" w:bidi="ar-SA"/>
    </w:rPr>
  </w:style>
  <w:style w:type="paragraph" w:styleId="2">
    <w:name w:val="heading 1"/>
    <w:basedOn w:val="1"/>
    <w:next w:val="1"/>
    <w:link w:val="11"/>
    <w:qFormat/>
    <w:uiPriority w:val="99"/>
    <w:pPr>
      <w:autoSpaceDE w:val="0"/>
      <w:autoSpaceDN w:val="0"/>
      <w:adjustRightInd w:val="0"/>
      <w:jc w:val="both"/>
      <w:outlineLvl w:val="0"/>
    </w:pPr>
    <w:rPr>
      <w:rFonts w:ascii="Times New Roman" w:hAnsi="Times New Roman"/>
      <w:b/>
      <w:bCs/>
    </w:rPr>
  </w:style>
  <w:style w:type="paragraph" w:styleId="3">
    <w:name w:val="heading 2"/>
    <w:basedOn w:val="4"/>
    <w:next w:val="1"/>
    <w:link w:val="12"/>
    <w:qFormat/>
    <w:uiPriority w:val="99"/>
    <w:pPr>
      <w:spacing w:before="100" w:beforeAutospacing="1" w:after="100" w:afterAutospacing="1" w:line="360" w:lineRule="auto"/>
      <w:jc w:val="both"/>
      <w:outlineLvl w:val="1"/>
    </w:pPr>
    <w:rPr>
      <w:rFonts w:ascii="Times New Roman" w:hAnsi="Times New Roman"/>
      <w:b/>
      <w:bCs/>
    </w:rPr>
  </w:style>
  <w:style w:type="paragraph" w:styleId="5">
    <w:name w:val="heading 3"/>
    <w:basedOn w:val="3"/>
    <w:next w:val="1"/>
    <w:link w:val="13"/>
    <w:qFormat/>
    <w:uiPriority w:val="99"/>
    <w:pPr>
      <w:outlineLvl w:val="2"/>
    </w:pPr>
  </w:style>
  <w:style w:type="character" w:default="1" w:styleId="6">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4">
    <w:name w:val="Default"/>
    <w:basedOn w:val="1"/>
    <w:uiPriority w:val="0"/>
    <w:pPr>
      <w:autoSpaceDE w:val="0"/>
      <w:autoSpaceDN w:val="0"/>
      <w:adjustRightInd w:val="0"/>
      <w:spacing w:before="0" w:beforeAutospacing="0" w:after="0" w:afterAutospacing="0" w:line="240" w:lineRule="auto"/>
    </w:pPr>
    <w:rPr>
      <w:rFonts w:ascii="Comic Sans MS" w:hAnsi="Comic Sans MS"/>
      <w:color w:val="000000"/>
    </w:rPr>
  </w:style>
  <w:style w:type="character" w:styleId="7">
    <w:name w:val="Hyperlink"/>
    <w:basedOn w:val="6"/>
    <w:unhideWhenUsed/>
    <w:uiPriority w:val="99"/>
    <w:rPr>
      <w:color w:val="0000FF"/>
      <w:u w:val="single"/>
    </w:rPr>
  </w:style>
  <w:style w:type="paragraph" w:styleId="8">
    <w:name w:val="caption"/>
    <w:basedOn w:val="1"/>
    <w:next w:val="1"/>
    <w:qFormat/>
    <w:uiPriority w:val="99"/>
    <w:rPr>
      <w:b/>
      <w:bCs/>
    </w:rPr>
  </w:style>
  <w:style w:type="paragraph" w:styleId="9">
    <w:name w:val="Balloon Text"/>
    <w:basedOn w:val="1"/>
    <w:link w:val="16"/>
    <w:semiHidden/>
    <w:unhideWhenUsed/>
    <w:uiPriority w:val="99"/>
    <w:pPr>
      <w:spacing w:before="0" w:after="0" w:line="240" w:lineRule="auto"/>
    </w:pPr>
    <w:rPr>
      <w:rFonts w:ascii="Tahoma" w:hAnsi="Tahoma" w:cs="Tahoma"/>
      <w:sz w:val="16"/>
      <w:szCs w:val="16"/>
    </w:rPr>
  </w:style>
  <w:style w:type="character" w:customStyle="1" w:styleId="11">
    <w:name w:val="Titre 1 Car"/>
    <w:basedOn w:val="6"/>
    <w:link w:val="2"/>
    <w:uiPriority w:val="99"/>
    <w:rPr>
      <w:rFonts w:ascii="Times New Roman" w:hAnsi="Times New Roman" w:eastAsia="Times New Roman" w:cs="Times New Roman"/>
      <w:b/>
      <w:bCs/>
      <w:sz w:val="24"/>
      <w:szCs w:val="24"/>
      <w:lang w:eastAsia="fr-FR"/>
    </w:rPr>
  </w:style>
  <w:style w:type="character" w:customStyle="1" w:styleId="12">
    <w:name w:val="Titre 2 Car"/>
    <w:basedOn w:val="6"/>
    <w:link w:val="3"/>
    <w:uiPriority w:val="99"/>
    <w:rPr>
      <w:rFonts w:ascii="Times New Roman" w:hAnsi="Times New Roman" w:eastAsia="Times New Roman" w:cs="Times New Roman"/>
      <w:b/>
      <w:bCs/>
      <w:color w:val="000000"/>
      <w:sz w:val="24"/>
      <w:szCs w:val="24"/>
      <w:lang w:eastAsia="fr-FR"/>
    </w:rPr>
  </w:style>
  <w:style w:type="character" w:customStyle="1" w:styleId="13">
    <w:name w:val="Titre 3 Car"/>
    <w:basedOn w:val="6"/>
    <w:link w:val="5"/>
    <w:uiPriority w:val="99"/>
    <w:rPr>
      <w:rFonts w:ascii="Times New Roman" w:hAnsi="Times New Roman" w:eastAsia="Times New Roman" w:cs="Times New Roman"/>
      <w:b/>
      <w:bCs/>
      <w:color w:val="000000"/>
      <w:sz w:val="24"/>
      <w:szCs w:val="24"/>
      <w:lang w:eastAsia="fr-FR"/>
    </w:rPr>
  </w:style>
  <w:style w:type="character" w:customStyle="1" w:styleId="14">
    <w:name w:val="15"/>
    <w:basedOn w:val="6"/>
    <w:uiPriority w:val="0"/>
    <w:rPr>
      <w:rFonts w:hint="default" w:ascii="Calibri" w:hAnsi="Calibri"/>
      <w:color w:val="0000FF"/>
      <w:u w:val="single"/>
    </w:rPr>
  </w:style>
  <w:style w:type="table" w:customStyle="1" w:styleId="15">
    <w:name w:val="Normal Table1"/>
    <w:semiHidden/>
    <w:uiPriority w:val="0"/>
    <w:pPr>
      <w:spacing w:after="0" w:line="240" w:lineRule="auto"/>
    </w:pPr>
    <w:rPr>
      <w:rFonts w:ascii="Times New Roman" w:hAnsi="Times New Roman" w:eastAsia="Times New Roman" w:cs="Times New Roman"/>
      <w:sz w:val="20"/>
      <w:szCs w:val="20"/>
      <w:lang w:eastAsia="fr-FR"/>
    </w:rPr>
    <w:tblPr>
      <w:tblCellMar>
        <w:top w:w="0" w:type="dxa"/>
        <w:left w:w="0" w:type="dxa"/>
        <w:bottom w:w="0" w:type="dxa"/>
        <w:right w:w="0" w:type="dxa"/>
      </w:tblCellMar>
    </w:tblPr>
  </w:style>
  <w:style w:type="character" w:customStyle="1" w:styleId="16">
    <w:name w:val="Texte de bulles Car"/>
    <w:basedOn w:val="6"/>
    <w:link w:val="9"/>
    <w:semiHidden/>
    <w:uiPriority w:val="99"/>
    <w:rPr>
      <w:rFonts w:ascii="Tahoma" w:hAnsi="Tahoma" w:eastAsia="Times New Roman" w:cs="Tahoma"/>
      <w:sz w:val="16"/>
      <w:szCs w:val="16"/>
      <w:lang w:eastAsia="fr-FR"/>
    </w:rPr>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4729</Words>
  <Characters>26015</Characters>
  <Lines>216</Lines>
  <Paragraphs>61</Paragraphs>
  <TotalTime>8</TotalTime>
  <ScaleCrop>false</ScaleCrop>
  <LinksUpToDate>false</LinksUpToDate>
  <CharactersWithSpaces>30683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2024-11-01T21:14:00Z</dcterms:created>
  <dc:creator>user</dc:creator>
  <cp:lastModifiedBy>Sara Himour</cp:lastModifiedBy>
  <dcterms:modified xsi:type="dcterms:W3CDTF">2024-12-07T21:46:31Z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1036-12.2.0.19307</vt:lpwstr>
  </property>
  <property fmtid="{D5CDD505-2E9C-101B-9397-08002B2CF9AE}" pid="3" name="ICV">
    <vt:lpwstr>3A4590182DDD42BF9086F5AE52F89C4D_13</vt:lpwstr>
  </property>
</Properties>
</file>