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46" w:rsidRDefault="00F42646" w:rsidP="00517259">
      <w:pPr>
        <w:spacing w:line="240" w:lineRule="auto"/>
        <w:jc w:val="both"/>
        <w:rPr>
          <w:rFonts w:asciiTheme="majorBidi" w:hAnsiTheme="majorBidi" w:cstheme="majorBidi"/>
          <w:i/>
          <w:iCs/>
          <w:lang w:val="en-GB"/>
        </w:rPr>
      </w:pPr>
      <w:proofErr w:type="spellStart"/>
      <w:r w:rsidRPr="007F1276">
        <w:rPr>
          <w:rFonts w:asciiTheme="majorBidi" w:hAnsiTheme="majorBidi" w:cstheme="majorBidi"/>
          <w:i/>
          <w:iCs/>
          <w:lang w:val="en-GB"/>
        </w:rPr>
        <w:t>Abdelhafidh</w:t>
      </w:r>
      <w:proofErr w:type="spellEnd"/>
      <w:r w:rsidRPr="007F1276">
        <w:rPr>
          <w:rFonts w:asciiTheme="majorBidi" w:hAnsiTheme="majorBidi" w:cstheme="majorBidi"/>
          <w:i/>
          <w:iCs/>
          <w:lang w:val="en-GB"/>
        </w:rPr>
        <w:t xml:space="preserve"> </w:t>
      </w:r>
      <w:proofErr w:type="spellStart"/>
      <w:r w:rsidRPr="007F1276">
        <w:rPr>
          <w:rFonts w:asciiTheme="majorBidi" w:hAnsiTheme="majorBidi" w:cstheme="majorBidi"/>
          <w:i/>
          <w:iCs/>
          <w:lang w:val="en-GB"/>
        </w:rPr>
        <w:t>Boussouf</w:t>
      </w:r>
      <w:proofErr w:type="spellEnd"/>
      <w:r w:rsidRPr="007F1276">
        <w:rPr>
          <w:rFonts w:asciiTheme="majorBidi" w:hAnsiTheme="majorBidi" w:cstheme="majorBidi"/>
          <w:i/>
          <w:iCs/>
          <w:lang w:val="en-GB"/>
        </w:rPr>
        <w:t xml:space="preserve"> University </w:t>
      </w:r>
      <w:proofErr w:type="spellStart"/>
      <w:r w:rsidRPr="007F1276">
        <w:rPr>
          <w:rFonts w:asciiTheme="majorBidi" w:hAnsiTheme="majorBidi" w:cstheme="majorBidi"/>
          <w:i/>
          <w:iCs/>
          <w:lang w:val="en-GB"/>
        </w:rPr>
        <w:t>Center</w:t>
      </w:r>
      <w:proofErr w:type="spellEnd"/>
      <w:r w:rsidRPr="007F1276">
        <w:rPr>
          <w:rFonts w:asciiTheme="majorBidi" w:hAnsiTheme="majorBidi" w:cstheme="majorBidi"/>
          <w:i/>
          <w:iCs/>
          <w:lang w:val="en-GB"/>
        </w:rPr>
        <w:t>-Mila</w:t>
      </w:r>
    </w:p>
    <w:p w:rsidR="00F42646" w:rsidRPr="007F1276" w:rsidRDefault="00F42646" w:rsidP="00517259">
      <w:pPr>
        <w:spacing w:line="240" w:lineRule="auto"/>
        <w:jc w:val="both"/>
        <w:rPr>
          <w:rFonts w:asciiTheme="majorBidi" w:hAnsiTheme="majorBidi" w:cstheme="majorBidi"/>
          <w:i/>
          <w:iCs/>
          <w:lang w:val="en-GB"/>
        </w:rPr>
      </w:pPr>
      <w:r>
        <w:rPr>
          <w:rFonts w:asciiTheme="majorBidi" w:hAnsiTheme="majorBidi" w:cstheme="majorBidi"/>
          <w:i/>
          <w:iCs/>
          <w:lang w:val="en-GB"/>
        </w:rPr>
        <w:t>Institute of Letters and Languages</w:t>
      </w:r>
    </w:p>
    <w:p w:rsidR="00F42646" w:rsidRPr="007F1276" w:rsidRDefault="00F42646" w:rsidP="00517259">
      <w:pPr>
        <w:spacing w:line="240" w:lineRule="auto"/>
        <w:jc w:val="both"/>
        <w:rPr>
          <w:rFonts w:asciiTheme="majorBidi" w:hAnsiTheme="majorBidi" w:cstheme="majorBidi"/>
          <w:i/>
          <w:iCs/>
          <w:lang w:val="en-GB"/>
        </w:rPr>
      </w:pPr>
      <w:r w:rsidRPr="007F1276">
        <w:rPr>
          <w:rFonts w:asciiTheme="majorBidi" w:hAnsiTheme="majorBidi" w:cstheme="majorBidi"/>
          <w:i/>
          <w:iCs/>
          <w:lang w:val="en-GB"/>
        </w:rPr>
        <w:t>Department of Foreign Languages</w:t>
      </w:r>
    </w:p>
    <w:p w:rsidR="00F42646" w:rsidRDefault="00F42646" w:rsidP="00517259">
      <w:pPr>
        <w:spacing w:line="240" w:lineRule="auto"/>
        <w:jc w:val="both"/>
        <w:rPr>
          <w:rFonts w:asciiTheme="majorBidi" w:hAnsiTheme="majorBidi" w:cstheme="majorBidi"/>
          <w:b/>
          <w:bCs/>
          <w:lang w:val="en-GB"/>
        </w:rPr>
      </w:pPr>
    </w:p>
    <w:p w:rsidR="00F42646" w:rsidRDefault="00F42646" w:rsidP="00517259">
      <w:pPr>
        <w:spacing w:line="240" w:lineRule="auto"/>
        <w:jc w:val="both"/>
        <w:rPr>
          <w:rFonts w:asciiTheme="majorBidi" w:hAnsiTheme="majorBidi" w:cstheme="majorBidi"/>
          <w:b/>
          <w:bCs/>
          <w:lang w:val="en-GB"/>
        </w:rPr>
      </w:pPr>
    </w:p>
    <w:p w:rsidR="00DE748D" w:rsidRDefault="00F42646" w:rsidP="00517259">
      <w:pPr>
        <w:spacing w:line="240" w:lineRule="auto"/>
        <w:jc w:val="both"/>
        <w:rPr>
          <w:rFonts w:asciiTheme="majorBidi" w:hAnsiTheme="majorBidi" w:cstheme="majorBidi"/>
          <w:sz w:val="24"/>
          <w:szCs w:val="24"/>
          <w:lang w:val="en-GB"/>
        </w:rPr>
      </w:pPr>
      <w:r w:rsidRPr="00185633">
        <w:rPr>
          <w:rFonts w:asciiTheme="majorBidi" w:hAnsiTheme="majorBidi" w:cstheme="majorBidi"/>
          <w:b/>
          <w:bCs/>
          <w:sz w:val="24"/>
          <w:szCs w:val="24"/>
          <w:lang w:val="en-GB"/>
        </w:rPr>
        <w:t>Module:</w:t>
      </w:r>
      <w:r w:rsidRPr="00185633">
        <w:rPr>
          <w:rFonts w:asciiTheme="majorBidi" w:hAnsiTheme="majorBidi" w:cstheme="majorBidi"/>
          <w:sz w:val="24"/>
          <w:szCs w:val="24"/>
          <w:lang w:val="en-GB"/>
        </w:rPr>
        <w:t xml:space="preserve">  </w:t>
      </w:r>
      <w:r w:rsidR="00DE748D">
        <w:rPr>
          <w:rFonts w:asciiTheme="majorBidi" w:hAnsiTheme="majorBidi" w:cstheme="majorBidi"/>
          <w:sz w:val="24"/>
          <w:szCs w:val="24"/>
          <w:lang w:val="en-GB"/>
        </w:rPr>
        <w:t xml:space="preserve">Reading Comprehension </w:t>
      </w:r>
    </w:p>
    <w:p w:rsidR="00F42646" w:rsidRPr="00185633" w:rsidRDefault="00F42646" w:rsidP="00517259">
      <w:pPr>
        <w:spacing w:line="240" w:lineRule="auto"/>
        <w:jc w:val="both"/>
        <w:rPr>
          <w:rFonts w:asciiTheme="majorBidi" w:hAnsiTheme="majorBidi" w:cstheme="majorBidi"/>
          <w:sz w:val="24"/>
          <w:szCs w:val="24"/>
          <w:lang w:val="en-GB"/>
        </w:rPr>
      </w:pPr>
      <w:r w:rsidRPr="00185633">
        <w:rPr>
          <w:rFonts w:asciiTheme="majorBidi" w:hAnsiTheme="majorBidi" w:cstheme="majorBidi"/>
          <w:b/>
          <w:bCs/>
          <w:sz w:val="24"/>
          <w:szCs w:val="24"/>
          <w:lang w:val="en-GB"/>
        </w:rPr>
        <w:t>Level:</w:t>
      </w:r>
      <w:r w:rsidRPr="00185633">
        <w:rPr>
          <w:rFonts w:asciiTheme="majorBidi" w:hAnsiTheme="majorBidi" w:cstheme="majorBidi"/>
          <w:sz w:val="24"/>
          <w:szCs w:val="24"/>
          <w:lang w:val="en-GB"/>
        </w:rPr>
        <w:t xml:space="preserve"> First Year </w:t>
      </w:r>
      <w:r>
        <w:rPr>
          <w:rFonts w:asciiTheme="majorBidi" w:hAnsiTheme="majorBidi" w:cstheme="majorBidi"/>
          <w:sz w:val="24"/>
          <w:szCs w:val="24"/>
          <w:lang w:val="en-GB"/>
        </w:rPr>
        <w:t xml:space="preserve">   2024/2025</w:t>
      </w:r>
    </w:p>
    <w:p w:rsidR="00F42646" w:rsidRPr="00185633" w:rsidRDefault="00F42646" w:rsidP="00517259">
      <w:pPr>
        <w:spacing w:line="240" w:lineRule="auto"/>
        <w:jc w:val="both"/>
        <w:rPr>
          <w:rFonts w:asciiTheme="majorBidi" w:hAnsiTheme="majorBidi" w:cstheme="majorBidi"/>
          <w:sz w:val="24"/>
          <w:szCs w:val="24"/>
          <w:lang w:val="en-GB"/>
        </w:rPr>
      </w:pPr>
      <w:r w:rsidRPr="00185633">
        <w:rPr>
          <w:rFonts w:asciiTheme="majorBidi" w:hAnsiTheme="majorBidi" w:cstheme="majorBidi"/>
          <w:b/>
          <w:bCs/>
          <w:sz w:val="24"/>
          <w:szCs w:val="24"/>
          <w:lang w:val="en-GB"/>
        </w:rPr>
        <w:t>Domain:</w:t>
      </w:r>
      <w:r w:rsidRPr="00185633">
        <w:rPr>
          <w:rFonts w:asciiTheme="majorBidi" w:hAnsiTheme="majorBidi" w:cstheme="majorBidi"/>
          <w:sz w:val="24"/>
          <w:szCs w:val="24"/>
          <w:lang w:val="en-GB"/>
        </w:rPr>
        <w:t xml:space="preserve"> English</w:t>
      </w:r>
    </w:p>
    <w:p w:rsidR="00517259" w:rsidRPr="00517259" w:rsidRDefault="00517259" w:rsidP="00517259">
      <w:pPr>
        <w:jc w:val="both"/>
        <w:rPr>
          <w:rFonts w:asciiTheme="majorBidi" w:hAnsiTheme="majorBidi" w:cstheme="majorBidi"/>
          <w:b/>
          <w:bCs/>
          <w:sz w:val="24"/>
          <w:szCs w:val="24"/>
          <w:lang w:val="en-GB"/>
        </w:rPr>
      </w:pPr>
      <w:r w:rsidRPr="00517259">
        <w:rPr>
          <w:rFonts w:asciiTheme="majorBidi" w:hAnsiTheme="majorBidi" w:cstheme="majorBidi"/>
          <w:b/>
          <w:bCs/>
          <w:sz w:val="24"/>
          <w:szCs w:val="24"/>
          <w:lang w:val="en-GB"/>
        </w:rPr>
        <w:t xml:space="preserve">Lesson: </w:t>
      </w:r>
      <w:r w:rsidRPr="00517259">
        <w:rPr>
          <w:rFonts w:asciiTheme="majorBidi" w:hAnsiTheme="majorBidi" w:cstheme="majorBidi"/>
          <w:sz w:val="24"/>
          <w:szCs w:val="24"/>
          <w:lang w:val="en-GB"/>
        </w:rPr>
        <w:t>Reading strategies</w:t>
      </w:r>
    </w:p>
    <w:p w:rsidR="00367494" w:rsidRPr="00517259" w:rsidRDefault="00517259" w:rsidP="00517259">
      <w:pPr>
        <w:jc w:val="both"/>
        <w:rPr>
          <w:rFonts w:asciiTheme="majorBidi" w:hAnsiTheme="majorBidi" w:cstheme="majorBidi"/>
          <w:b/>
          <w:bCs/>
          <w:sz w:val="24"/>
          <w:szCs w:val="24"/>
          <w:lang w:val="en-GB"/>
        </w:rPr>
      </w:pPr>
      <w:r w:rsidRPr="00517259">
        <w:rPr>
          <w:rFonts w:asciiTheme="majorBidi" w:hAnsiTheme="majorBidi" w:cstheme="majorBidi"/>
          <w:b/>
          <w:bCs/>
          <w:sz w:val="24"/>
          <w:szCs w:val="24"/>
          <w:lang w:val="en-GB"/>
        </w:rPr>
        <w:t xml:space="preserve">Part One: </w:t>
      </w:r>
      <w:r w:rsidRPr="00517259">
        <w:rPr>
          <w:rFonts w:asciiTheme="majorBidi" w:hAnsiTheme="majorBidi" w:cstheme="majorBidi"/>
          <w:sz w:val="24"/>
          <w:szCs w:val="24"/>
          <w:lang w:val="en-GB"/>
        </w:rPr>
        <w:t>Pre-reading</w:t>
      </w:r>
      <w:r w:rsidRPr="00517259">
        <w:rPr>
          <w:rFonts w:asciiTheme="majorBidi" w:hAnsiTheme="majorBidi" w:cstheme="majorBidi"/>
          <w:b/>
          <w:bCs/>
          <w:sz w:val="24"/>
          <w:szCs w:val="24"/>
          <w:lang w:val="en-GB"/>
        </w:rPr>
        <w:t xml:space="preserve"> </w:t>
      </w:r>
    </w:p>
    <w:p w:rsidR="00517259" w:rsidRPr="00185633" w:rsidRDefault="00517259" w:rsidP="00517259">
      <w:pPr>
        <w:spacing w:line="240" w:lineRule="auto"/>
        <w:jc w:val="both"/>
        <w:rPr>
          <w:rFonts w:asciiTheme="majorBidi" w:hAnsiTheme="majorBidi" w:cstheme="majorBidi"/>
          <w:sz w:val="24"/>
          <w:szCs w:val="24"/>
          <w:lang w:val="en-GB"/>
        </w:rPr>
      </w:pPr>
      <w:r w:rsidRPr="00185633">
        <w:rPr>
          <w:rFonts w:asciiTheme="majorBidi" w:hAnsiTheme="majorBidi" w:cstheme="majorBidi"/>
          <w:b/>
          <w:bCs/>
          <w:sz w:val="24"/>
          <w:szCs w:val="24"/>
          <w:lang w:val="en-GB"/>
        </w:rPr>
        <w:t xml:space="preserve">Prepared, compiled and organized by the </w:t>
      </w:r>
      <w:r>
        <w:rPr>
          <w:rFonts w:asciiTheme="majorBidi" w:hAnsiTheme="majorBidi" w:cstheme="majorBidi"/>
          <w:b/>
          <w:bCs/>
          <w:sz w:val="24"/>
          <w:szCs w:val="24"/>
          <w:lang w:val="en-GB"/>
        </w:rPr>
        <w:t>Lecturer</w:t>
      </w:r>
      <w:r w:rsidRPr="00185633">
        <w:rPr>
          <w:rFonts w:asciiTheme="majorBidi" w:hAnsiTheme="majorBidi" w:cstheme="majorBidi"/>
          <w:b/>
          <w:bCs/>
          <w:sz w:val="24"/>
          <w:szCs w:val="24"/>
          <w:lang w:val="en-GB"/>
        </w:rPr>
        <w:t>:</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Dr.</w:t>
      </w:r>
      <w:proofErr w:type="spellEnd"/>
      <w:r>
        <w:rPr>
          <w:rFonts w:asciiTheme="majorBidi" w:hAnsiTheme="majorBidi" w:cstheme="majorBidi"/>
          <w:sz w:val="24"/>
          <w:szCs w:val="24"/>
          <w:lang w:val="en-GB"/>
        </w:rPr>
        <w:t xml:space="preserve"> Rania </w:t>
      </w:r>
      <w:proofErr w:type="spellStart"/>
      <w:r>
        <w:rPr>
          <w:rFonts w:asciiTheme="majorBidi" w:hAnsiTheme="majorBidi" w:cstheme="majorBidi"/>
          <w:sz w:val="24"/>
          <w:szCs w:val="24"/>
          <w:lang w:val="en-GB"/>
        </w:rPr>
        <w:t>Khelifa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chelihi</w:t>
      </w:r>
      <w:proofErr w:type="spellEnd"/>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lang w:val="en-GB"/>
        </w:rPr>
      </w:pPr>
    </w:p>
    <w:p w:rsidR="00DE748D" w:rsidRDefault="00DE748D" w:rsidP="00517259">
      <w:pPr>
        <w:jc w:val="both"/>
        <w:rPr>
          <w:rFonts w:asciiTheme="majorBidi" w:hAnsiTheme="majorBidi" w:cstheme="majorBidi"/>
          <w:b/>
          <w:bCs/>
          <w:sz w:val="28"/>
          <w:szCs w:val="28"/>
          <w:lang w:val="en-GB"/>
        </w:rPr>
      </w:pPr>
      <w:r w:rsidRPr="00DE748D">
        <w:rPr>
          <w:rFonts w:asciiTheme="majorBidi" w:hAnsiTheme="majorBidi" w:cstheme="majorBidi"/>
          <w:b/>
          <w:bCs/>
          <w:sz w:val="28"/>
          <w:szCs w:val="28"/>
          <w:lang w:val="en-GB"/>
        </w:rPr>
        <w:t>Lesson 1:</w:t>
      </w:r>
      <w:r>
        <w:rPr>
          <w:rFonts w:asciiTheme="majorBidi" w:hAnsiTheme="majorBidi" w:cstheme="majorBidi"/>
          <w:b/>
          <w:bCs/>
          <w:sz w:val="28"/>
          <w:szCs w:val="28"/>
          <w:lang w:val="en-GB"/>
        </w:rPr>
        <w:t xml:space="preserve"> Pre-reading Strategies </w:t>
      </w:r>
    </w:p>
    <w:p w:rsidR="00DE748D" w:rsidRDefault="00DE748D" w:rsidP="00517259">
      <w:pPr>
        <w:jc w:val="both"/>
        <w:rPr>
          <w:rFonts w:asciiTheme="majorBidi" w:hAnsiTheme="majorBidi" w:cstheme="majorBidi"/>
          <w:b/>
          <w:bCs/>
          <w:sz w:val="28"/>
          <w:szCs w:val="28"/>
          <w:lang w:val="en-GB"/>
        </w:rPr>
      </w:pPr>
    </w:p>
    <w:p w:rsidR="009427D4" w:rsidRDefault="009427D4" w:rsidP="00517259">
      <w:pPr>
        <w:jc w:val="both"/>
        <w:rPr>
          <w:rFonts w:asciiTheme="majorBidi" w:hAnsiTheme="majorBidi" w:cstheme="majorBidi"/>
          <w:b/>
          <w:bCs/>
          <w:sz w:val="28"/>
          <w:szCs w:val="28"/>
          <w:lang w:val="en-GB"/>
        </w:rPr>
      </w:pPr>
      <w:r>
        <w:rPr>
          <w:rFonts w:asciiTheme="majorBidi" w:hAnsiTheme="majorBidi" w:cstheme="majorBidi"/>
          <w:b/>
          <w:bCs/>
          <w:sz w:val="28"/>
          <w:szCs w:val="28"/>
          <w:lang w:val="en-GB"/>
        </w:rPr>
        <w:t>Introduction:</w:t>
      </w:r>
    </w:p>
    <w:p w:rsidR="00AB6308" w:rsidRDefault="009427D4" w:rsidP="00517259">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517259" w:rsidRPr="00517259">
        <w:rPr>
          <w:rFonts w:asciiTheme="majorBidi" w:hAnsiTheme="majorBidi" w:cstheme="majorBidi"/>
          <w:sz w:val="24"/>
          <w:szCs w:val="24"/>
          <w:lang w:val="en-GB"/>
        </w:rPr>
        <w:t>When tackling new reading material, it's easy to jump straight into the text, but pre-reading is an essential strategy that can significantly improve your comprehension and retention of information. Pre-reading involves specific actions you can take before you dive into a text, to engage with it more deeply and effectively. These strategies help you set the stage for a more productive reading session, making it easier to understand and remember key concepts.</w:t>
      </w:r>
    </w:p>
    <w:p w:rsidR="00517259" w:rsidRPr="00517259" w:rsidRDefault="00517259" w:rsidP="00517259">
      <w:pPr>
        <w:pStyle w:val="ListParagraph"/>
        <w:numPr>
          <w:ilvl w:val="0"/>
          <w:numId w:val="1"/>
        </w:numPr>
        <w:jc w:val="both"/>
        <w:rPr>
          <w:rFonts w:asciiTheme="majorBidi" w:hAnsiTheme="majorBidi" w:cstheme="majorBidi"/>
          <w:b/>
          <w:bCs/>
          <w:sz w:val="24"/>
          <w:szCs w:val="24"/>
          <w:lang w:val="en-GB"/>
        </w:rPr>
      </w:pPr>
      <w:r w:rsidRPr="00517259">
        <w:rPr>
          <w:rFonts w:asciiTheme="majorBidi" w:hAnsiTheme="majorBidi" w:cstheme="majorBidi"/>
          <w:b/>
          <w:bCs/>
          <w:sz w:val="24"/>
          <w:szCs w:val="24"/>
          <w:lang w:val="en-GB"/>
        </w:rPr>
        <w:t>What is Pre-Reading?</w:t>
      </w:r>
    </w:p>
    <w:p w:rsidR="00517259" w:rsidRPr="00517259" w:rsidRDefault="00517259" w:rsidP="00517259">
      <w:pPr>
        <w:pStyle w:val="ListParagraph"/>
        <w:jc w:val="both"/>
        <w:rPr>
          <w:rFonts w:asciiTheme="majorBidi" w:hAnsiTheme="majorBidi" w:cstheme="majorBidi"/>
          <w:b/>
          <w:bCs/>
          <w:sz w:val="24"/>
          <w:szCs w:val="24"/>
          <w:lang w:val="en-GB"/>
        </w:rPr>
      </w:pPr>
    </w:p>
    <w:p w:rsidR="00517259" w:rsidRPr="00517259" w:rsidRDefault="00517259" w:rsidP="00517259">
      <w:pPr>
        <w:pStyle w:val="ListParagraph"/>
        <w:jc w:val="both"/>
        <w:rPr>
          <w:rFonts w:asciiTheme="majorBidi" w:hAnsiTheme="majorBidi" w:cstheme="majorBidi"/>
          <w:sz w:val="24"/>
          <w:szCs w:val="24"/>
          <w:lang w:val="en-GB"/>
        </w:rPr>
      </w:pPr>
      <w:r w:rsidRPr="00517259">
        <w:rPr>
          <w:rFonts w:asciiTheme="majorBidi" w:hAnsiTheme="majorBidi" w:cstheme="majorBidi"/>
          <w:sz w:val="24"/>
          <w:szCs w:val="24"/>
          <w:lang w:val="en-GB"/>
        </w:rPr>
        <w:t>Pre-reading refers to the activities you engage in before you start reading the main body of a text. These activities help you get a general sense of the material, its structure, and the main ideas. By taking these steps, you build a framework for your reading, which makes the information easier to absorb.</w:t>
      </w:r>
    </w:p>
    <w:p w:rsidR="00517259" w:rsidRPr="00517259" w:rsidRDefault="00517259" w:rsidP="00517259">
      <w:pPr>
        <w:pStyle w:val="ListParagraph"/>
        <w:jc w:val="both"/>
        <w:rPr>
          <w:rFonts w:asciiTheme="majorBidi" w:hAnsiTheme="majorBidi" w:cstheme="majorBidi"/>
          <w:b/>
          <w:bCs/>
          <w:sz w:val="24"/>
          <w:szCs w:val="24"/>
          <w:lang w:val="en-GB"/>
        </w:rPr>
      </w:pPr>
    </w:p>
    <w:p w:rsidR="00517259" w:rsidRPr="00517259" w:rsidRDefault="00517259" w:rsidP="00517259">
      <w:pPr>
        <w:pStyle w:val="ListParagraph"/>
        <w:numPr>
          <w:ilvl w:val="0"/>
          <w:numId w:val="1"/>
        </w:numPr>
        <w:jc w:val="both"/>
        <w:rPr>
          <w:rFonts w:asciiTheme="majorBidi" w:hAnsiTheme="majorBidi" w:cstheme="majorBidi"/>
          <w:b/>
          <w:bCs/>
          <w:sz w:val="24"/>
          <w:szCs w:val="24"/>
          <w:lang w:val="en-GB"/>
        </w:rPr>
      </w:pPr>
      <w:r w:rsidRPr="00517259">
        <w:rPr>
          <w:rFonts w:asciiTheme="majorBidi" w:hAnsiTheme="majorBidi" w:cstheme="majorBidi"/>
          <w:b/>
          <w:bCs/>
          <w:sz w:val="28"/>
          <w:szCs w:val="28"/>
          <w:lang w:val="en-GB"/>
        </w:rPr>
        <w:t>Importance of Pre-Reading</w:t>
      </w:r>
      <w:r w:rsidRPr="00517259">
        <w:rPr>
          <w:rFonts w:asciiTheme="majorBidi" w:hAnsiTheme="majorBidi" w:cstheme="majorBidi"/>
          <w:b/>
          <w:bCs/>
          <w:sz w:val="24"/>
          <w:szCs w:val="24"/>
          <w:lang w:val="en-GB"/>
        </w:rPr>
        <w:t>:</w:t>
      </w:r>
    </w:p>
    <w:p w:rsidR="00517259" w:rsidRPr="00517259" w:rsidRDefault="00517259" w:rsidP="00517259">
      <w:pPr>
        <w:pStyle w:val="ListParagraph"/>
        <w:jc w:val="both"/>
        <w:rPr>
          <w:rFonts w:asciiTheme="majorBidi" w:hAnsiTheme="majorBidi" w:cstheme="majorBidi"/>
          <w:b/>
          <w:bCs/>
          <w:sz w:val="24"/>
          <w:szCs w:val="24"/>
          <w:lang w:val="en-GB"/>
        </w:rPr>
      </w:pPr>
    </w:p>
    <w:p w:rsidR="00517259" w:rsidRPr="00517259" w:rsidRDefault="00517259" w:rsidP="00517259">
      <w:pPr>
        <w:pStyle w:val="ListParagraph"/>
        <w:jc w:val="both"/>
        <w:rPr>
          <w:rFonts w:asciiTheme="majorBidi" w:hAnsiTheme="majorBidi" w:cstheme="majorBidi"/>
          <w:sz w:val="24"/>
          <w:szCs w:val="24"/>
          <w:lang w:val="en-GB"/>
        </w:rPr>
      </w:pPr>
      <w:r w:rsidRPr="00517259">
        <w:rPr>
          <w:rFonts w:asciiTheme="majorBidi" w:hAnsiTheme="majorBidi" w:cstheme="majorBidi"/>
          <w:b/>
          <w:bCs/>
          <w:sz w:val="24"/>
          <w:szCs w:val="24"/>
          <w:lang w:val="en-GB"/>
        </w:rPr>
        <w:t xml:space="preserve">Improves Comprehension: </w:t>
      </w:r>
      <w:r w:rsidRPr="00517259">
        <w:rPr>
          <w:rFonts w:asciiTheme="majorBidi" w:hAnsiTheme="majorBidi" w:cstheme="majorBidi"/>
          <w:sz w:val="24"/>
          <w:szCs w:val="24"/>
          <w:lang w:val="en-GB"/>
        </w:rPr>
        <w:t>Pre-reading helps you gain an overall understanding of the material. It allows you to see the structure of the text, the main points, and how the content is organized, which gives you a roadmap for when you actually start reading.</w:t>
      </w:r>
    </w:p>
    <w:p w:rsidR="00517259" w:rsidRPr="00517259" w:rsidRDefault="00517259" w:rsidP="00517259">
      <w:pPr>
        <w:pStyle w:val="ListParagraph"/>
        <w:jc w:val="both"/>
        <w:rPr>
          <w:rFonts w:asciiTheme="majorBidi" w:hAnsiTheme="majorBidi" w:cstheme="majorBidi"/>
          <w:sz w:val="24"/>
          <w:szCs w:val="24"/>
          <w:lang w:val="en-GB"/>
        </w:rPr>
      </w:pPr>
    </w:p>
    <w:p w:rsidR="00517259" w:rsidRPr="00517259" w:rsidRDefault="00517259" w:rsidP="00517259">
      <w:pPr>
        <w:pStyle w:val="ListParagraph"/>
        <w:jc w:val="both"/>
        <w:rPr>
          <w:rFonts w:asciiTheme="majorBidi" w:hAnsiTheme="majorBidi" w:cstheme="majorBidi"/>
          <w:sz w:val="24"/>
          <w:szCs w:val="24"/>
          <w:lang w:val="en-GB"/>
        </w:rPr>
      </w:pPr>
      <w:r w:rsidRPr="00517259">
        <w:rPr>
          <w:rFonts w:asciiTheme="majorBidi" w:hAnsiTheme="majorBidi" w:cstheme="majorBidi"/>
          <w:b/>
          <w:bCs/>
          <w:sz w:val="24"/>
          <w:szCs w:val="24"/>
          <w:lang w:val="en-GB"/>
        </w:rPr>
        <w:t xml:space="preserve">Identifies Key Terms and Concepts: </w:t>
      </w:r>
      <w:r w:rsidRPr="00517259">
        <w:rPr>
          <w:rFonts w:asciiTheme="majorBidi" w:hAnsiTheme="majorBidi" w:cstheme="majorBidi"/>
          <w:sz w:val="24"/>
          <w:szCs w:val="24"/>
          <w:lang w:val="en-GB"/>
        </w:rPr>
        <w:t>You can identify important terms or concepts before reading, which helps you better understand the content when you encounter these terms during the reading.</w:t>
      </w:r>
    </w:p>
    <w:p w:rsidR="00517259" w:rsidRPr="00517259" w:rsidRDefault="00517259" w:rsidP="00517259">
      <w:pPr>
        <w:pStyle w:val="ListParagraph"/>
        <w:jc w:val="both"/>
        <w:rPr>
          <w:rFonts w:asciiTheme="majorBidi" w:hAnsiTheme="majorBidi" w:cstheme="majorBidi"/>
          <w:b/>
          <w:bCs/>
          <w:sz w:val="24"/>
          <w:szCs w:val="24"/>
          <w:lang w:val="en-GB"/>
        </w:rPr>
      </w:pPr>
    </w:p>
    <w:p w:rsidR="00517259" w:rsidRPr="00517259" w:rsidRDefault="00517259" w:rsidP="00517259">
      <w:pPr>
        <w:pStyle w:val="ListParagraph"/>
        <w:jc w:val="both"/>
        <w:rPr>
          <w:rFonts w:asciiTheme="majorBidi" w:hAnsiTheme="majorBidi" w:cstheme="majorBidi"/>
          <w:sz w:val="24"/>
          <w:szCs w:val="24"/>
          <w:lang w:val="en-GB"/>
        </w:rPr>
      </w:pPr>
      <w:r w:rsidRPr="00517259">
        <w:rPr>
          <w:rFonts w:asciiTheme="majorBidi" w:hAnsiTheme="majorBidi" w:cstheme="majorBidi"/>
          <w:b/>
          <w:bCs/>
          <w:sz w:val="24"/>
          <w:szCs w:val="24"/>
          <w:lang w:val="en-GB"/>
        </w:rPr>
        <w:t xml:space="preserve">Gives Purpose to Your Reading: </w:t>
      </w:r>
      <w:r w:rsidRPr="00517259">
        <w:rPr>
          <w:rFonts w:asciiTheme="majorBidi" w:hAnsiTheme="majorBidi" w:cstheme="majorBidi"/>
          <w:sz w:val="24"/>
          <w:szCs w:val="24"/>
          <w:lang w:val="en-GB"/>
        </w:rPr>
        <w:t>Pre-reading helps you understand why you're reading the text and what you hope to learn. This clear sense of purpose can keep you focused and motivated throughout your reading session.</w:t>
      </w:r>
    </w:p>
    <w:p w:rsidR="00517259" w:rsidRPr="00517259" w:rsidRDefault="00517259" w:rsidP="00517259">
      <w:pPr>
        <w:pStyle w:val="ListParagraph"/>
        <w:jc w:val="both"/>
        <w:rPr>
          <w:rFonts w:asciiTheme="majorBidi" w:hAnsiTheme="majorBidi" w:cstheme="majorBidi"/>
          <w:sz w:val="24"/>
          <w:szCs w:val="24"/>
          <w:lang w:val="en-GB"/>
        </w:rPr>
      </w:pPr>
    </w:p>
    <w:p w:rsidR="00517259" w:rsidRPr="00517259" w:rsidRDefault="00517259" w:rsidP="00517259">
      <w:pPr>
        <w:pStyle w:val="ListParagraph"/>
        <w:jc w:val="both"/>
        <w:rPr>
          <w:rFonts w:asciiTheme="majorBidi" w:hAnsiTheme="majorBidi" w:cstheme="majorBidi"/>
          <w:sz w:val="24"/>
          <w:szCs w:val="24"/>
          <w:lang w:val="en-GB"/>
        </w:rPr>
      </w:pPr>
      <w:r w:rsidRPr="00517259">
        <w:rPr>
          <w:rFonts w:asciiTheme="majorBidi" w:hAnsiTheme="majorBidi" w:cstheme="majorBidi"/>
          <w:b/>
          <w:bCs/>
          <w:sz w:val="24"/>
          <w:szCs w:val="24"/>
          <w:lang w:val="en-GB"/>
        </w:rPr>
        <w:t xml:space="preserve">Saves Time: </w:t>
      </w:r>
      <w:r w:rsidRPr="00517259">
        <w:rPr>
          <w:rFonts w:asciiTheme="majorBidi" w:hAnsiTheme="majorBidi" w:cstheme="majorBidi"/>
          <w:sz w:val="24"/>
          <w:szCs w:val="24"/>
          <w:lang w:val="en-GB"/>
        </w:rPr>
        <w:t>It might seem like an additional step, but pre-reading can save you time by allowing you to quickly assess whether the material is relevant to your needs. If you determine that the text is not what you need, you can move on to something more suitable.</w:t>
      </w:r>
    </w:p>
    <w:p w:rsidR="0012128A" w:rsidRPr="00517259" w:rsidRDefault="0012128A" w:rsidP="00517259">
      <w:pPr>
        <w:pStyle w:val="ListParagraph"/>
        <w:jc w:val="both"/>
        <w:rPr>
          <w:rFonts w:asciiTheme="majorBidi" w:hAnsiTheme="majorBidi" w:cstheme="majorBidi"/>
          <w:sz w:val="24"/>
          <w:szCs w:val="24"/>
          <w:lang w:val="en-GB"/>
        </w:rPr>
      </w:pPr>
    </w:p>
    <w:p w:rsidR="00517259" w:rsidRPr="00517259" w:rsidRDefault="00517259" w:rsidP="005172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b/>
          <w:bCs/>
          <w:sz w:val="24"/>
          <w:szCs w:val="24"/>
          <w:lang w:val="en-GB" w:eastAsia="en-GB"/>
        </w:rPr>
        <w:t>Popular Pre-Reading Strategies:</w:t>
      </w:r>
    </w:p>
    <w:p w:rsidR="00517259" w:rsidRPr="00517259" w:rsidRDefault="00517259" w:rsidP="00517259">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sz w:val="24"/>
          <w:szCs w:val="24"/>
          <w:lang w:val="en-GB" w:eastAsia="en-GB"/>
        </w:rPr>
        <w:t>Several techniques can guide you in your pre-reading process. These strategies can vary in complexity, but they all aim to provide you with a structured approach to reading.</w:t>
      </w:r>
    </w:p>
    <w:p w:rsidR="00517259" w:rsidRPr="00517259" w:rsidRDefault="00517259" w:rsidP="005172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b/>
          <w:bCs/>
          <w:sz w:val="24"/>
          <w:szCs w:val="24"/>
          <w:lang w:val="en-GB" w:eastAsia="en-GB"/>
        </w:rPr>
        <w:lastRenderedPageBreak/>
        <w:t>Skimming and Scanning:</w:t>
      </w:r>
    </w:p>
    <w:p w:rsidR="00517259" w:rsidRPr="00517259" w:rsidRDefault="00517259" w:rsidP="00517259">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i/>
          <w:iCs/>
          <w:sz w:val="24"/>
          <w:szCs w:val="24"/>
          <w:lang w:val="en-GB" w:eastAsia="en-GB"/>
        </w:rPr>
        <w:t>Skimming</w:t>
      </w:r>
      <w:r w:rsidRPr="00517259">
        <w:rPr>
          <w:rFonts w:ascii="Times New Roman" w:eastAsia="Times New Roman" w:hAnsi="Times New Roman" w:cs="Times New Roman"/>
          <w:sz w:val="24"/>
          <w:szCs w:val="24"/>
          <w:lang w:val="en-GB" w:eastAsia="en-GB"/>
        </w:rPr>
        <w:t xml:space="preserve"> involves reading the text quickly to get an overall sense of its structure and main ideas.</w:t>
      </w:r>
    </w:p>
    <w:p w:rsidR="00517259" w:rsidRPr="00517259" w:rsidRDefault="00517259" w:rsidP="00517259">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i/>
          <w:iCs/>
          <w:sz w:val="24"/>
          <w:szCs w:val="24"/>
          <w:lang w:val="en-GB" w:eastAsia="en-GB"/>
        </w:rPr>
        <w:t>Scanning</w:t>
      </w:r>
      <w:r w:rsidRPr="00517259">
        <w:rPr>
          <w:rFonts w:ascii="Times New Roman" w:eastAsia="Times New Roman" w:hAnsi="Times New Roman" w:cs="Times New Roman"/>
          <w:sz w:val="24"/>
          <w:szCs w:val="24"/>
          <w:lang w:val="en-GB" w:eastAsia="en-GB"/>
        </w:rPr>
        <w:t xml:space="preserve"> focuses on finding specific pieces of information, like headings, subheadings, or bolded/italicized text.</w:t>
      </w:r>
    </w:p>
    <w:p w:rsidR="00517259" w:rsidRPr="00517259" w:rsidRDefault="00517259" w:rsidP="005172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b/>
          <w:bCs/>
          <w:sz w:val="24"/>
          <w:szCs w:val="24"/>
          <w:lang w:val="en-GB" w:eastAsia="en-GB"/>
        </w:rPr>
        <w:t>Previewing:</w:t>
      </w:r>
      <w:r w:rsidRPr="00517259">
        <w:rPr>
          <w:rFonts w:ascii="Times New Roman" w:eastAsia="Times New Roman" w:hAnsi="Times New Roman" w:cs="Times New Roman"/>
          <w:sz w:val="24"/>
          <w:szCs w:val="24"/>
          <w:lang w:val="en-GB" w:eastAsia="en-GB"/>
        </w:rPr>
        <w:t xml:space="preserve"> Previewing a text involves examining the introduction, headings, subheadings, chapter names, and summaries to understand the text's main purpose and organization.</w:t>
      </w:r>
    </w:p>
    <w:p w:rsidR="00517259" w:rsidRPr="00517259" w:rsidRDefault="00517259" w:rsidP="005172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b/>
          <w:bCs/>
          <w:sz w:val="24"/>
          <w:szCs w:val="24"/>
          <w:lang w:val="en-GB" w:eastAsia="en-GB"/>
        </w:rPr>
        <w:t>Expectation Outline:</w:t>
      </w:r>
      <w:r w:rsidRPr="00517259">
        <w:rPr>
          <w:rFonts w:ascii="Times New Roman" w:eastAsia="Times New Roman" w:hAnsi="Times New Roman" w:cs="Times New Roman"/>
          <w:sz w:val="24"/>
          <w:szCs w:val="24"/>
          <w:lang w:val="en-GB" w:eastAsia="en-GB"/>
        </w:rPr>
        <w:t xml:space="preserve"> This strategy involves setting expectations for what you think the text will cover. You might generate questions you want the text to answer, helping you stay focused on your objectives while reading.</w:t>
      </w:r>
    </w:p>
    <w:p w:rsidR="00517259" w:rsidRPr="00517259" w:rsidRDefault="00517259" w:rsidP="005172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b/>
          <w:bCs/>
          <w:sz w:val="24"/>
          <w:szCs w:val="24"/>
          <w:lang w:val="en-GB" w:eastAsia="en-GB"/>
        </w:rPr>
        <w:t>KWL Chart:</w:t>
      </w:r>
      <w:r w:rsidRPr="00517259">
        <w:rPr>
          <w:rFonts w:ascii="Times New Roman" w:eastAsia="Times New Roman" w:hAnsi="Times New Roman" w:cs="Times New Roman"/>
          <w:sz w:val="24"/>
          <w:szCs w:val="24"/>
          <w:lang w:val="en-GB" w:eastAsia="en-GB"/>
        </w:rPr>
        <w:t xml:space="preserve"> The KWL chart is a simple but effective pre-reading tool. It helps organize your thoughts into three columns:</w:t>
      </w:r>
    </w:p>
    <w:p w:rsidR="00517259" w:rsidRPr="00517259" w:rsidRDefault="00517259" w:rsidP="00517259">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i/>
          <w:iCs/>
          <w:sz w:val="24"/>
          <w:szCs w:val="24"/>
          <w:lang w:val="en-GB" w:eastAsia="en-GB"/>
        </w:rPr>
        <w:t>K</w:t>
      </w:r>
      <w:r w:rsidRPr="00517259">
        <w:rPr>
          <w:rFonts w:ascii="Times New Roman" w:eastAsia="Times New Roman" w:hAnsi="Times New Roman" w:cs="Times New Roman"/>
          <w:sz w:val="24"/>
          <w:szCs w:val="24"/>
          <w:lang w:val="en-GB" w:eastAsia="en-GB"/>
        </w:rPr>
        <w:t xml:space="preserve"> column: What you already know about the topic.</w:t>
      </w:r>
    </w:p>
    <w:p w:rsidR="00517259" w:rsidRPr="00517259" w:rsidRDefault="00517259" w:rsidP="00517259">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i/>
          <w:iCs/>
          <w:sz w:val="24"/>
          <w:szCs w:val="24"/>
          <w:lang w:val="en-GB" w:eastAsia="en-GB"/>
        </w:rPr>
        <w:t>W</w:t>
      </w:r>
      <w:r w:rsidRPr="00517259">
        <w:rPr>
          <w:rFonts w:ascii="Times New Roman" w:eastAsia="Times New Roman" w:hAnsi="Times New Roman" w:cs="Times New Roman"/>
          <w:sz w:val="24"/>
          <w:szCs w:val="24"/>
          <w:lang w:val="en-GB" w:eastAsia="en-GB"/>
        </w:rPr>
        <w:t xml:space="preserve"> column: What you want to learn from the reading.</w:t>
      </w:r>
    </w:p>
    <w:p w:rsidR="00517259" w:rsidRPr="00517259" w:rsidRDefault="00517259" w:rsidP="00517259">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17259">
        <w:rPr>
          <w:rFonts w:ascii="Times New Roman" w:eastAsia="Times New Roman" w:hAnsi="Times New Roman" w:cs="Times New Roman"/>
          <w:i/>
          <w:iCs/>
          <w:sz w:val="24"/>
          <w:szCs w:val="24"/>
          <w:lang w:val="en-GB" w:eastAsia="en-GB"/>
        </w:rPr>
        <w:t>L</w:t>
      </w:r>
      <w:r w:rsidRPr="00517259">
        <w:rPr>
          <w:rFonts w:ascii="Times New Roman" w:eastAsia="Times New Roman" w:hAnsi="Times New Roman" w:cs="Times New Roman"/>
          <w:sz w:val="24"/>
          <w:szCs w:val="24"/>
          <w:lang w:val="en-GB" w:eastAsia="en-GB"/>
        </w:rPr>
        <w:t xml:space="preserve"> column: After reading, write what you have learned.</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595"/>
        <w:gridCol w:w="3225"/>
      </w:tblGrid>
      <w:tr w:rsidR="00517259" w:rsidTr="00517259">
        <w:tblPrEx>
          <w:tblCellMar>
            <w:top w:w="0" w:type="dxa"/>
            <w:bottom w:w="0" w:type="dxa"/>
          </w:tblCellMar>
        </w:tblPrEx>
        <w:trPr>
          <w:trHeight w:val="960"/>
        </w:trPr>
        <w:tc>
          <w:tcPr>
            <w:tcW w:w="2250" w:type="dxa"/>
          </w:tcPr>
          <w:p w:rsidR="00517259" w:rsidRDefault="00517259" w:rsidP="00517259">
            <w:pPr>
              <w:jc w:val="both"/>
              <w:rPr>
                <w:rFonts w:asciiTheme="majorBidi" w:hAnsiTheme="majorBidi" w:cstheme="majorBidi"/>
                <w:b/>
                <w:bCs/>
                <w:sz w:val="28"/>
                <w:szCs w:val="28"/>
                <w:lang w:val="en-GB"/>
              </w:rPr>
            </w:pPr>
            <w:r>
              <w:rPr>
                <w:rFonts w:asciiTheme="majorBidi" w:hAnsiTheme="majorBidi" w:cstheme="majorBidi"/>
                <w:b/>
                <w:bCs/>
                <w:sz w:val="28"/>
                <w:szCs w:val="28"/>
                <w:lang w:val="en-GB"/>
              </w:rPr>
              <w:t>K</w:t>
            </w:r>
          </w:p>
        </w:tc>
        <w:tc>
          <w:tcPr>
            <w:tcW w:w="2595" w:type="dxa"/>
          </w:tcPr>
          <w:p w:rsidR="00517259" w:rsidRDefault="00517259" w:rsidP="00517259">
            <w:pPr>
              <w:jc w:val="both"/>
              <w:rPr>
                <w:rFonts w:asciiTheme="majorBidi" w:hAnsiTheme="majorBidi" w:cstheme="majorBidi"/>
                <w:b/>
                <w:bCs/>
                <w:sz w:val="28"/>
                <w:szCs w:val="28"/>
                <w:lang w:val="en-GB"/>
              </w:rPr>
            </w:pPr>
            <w:r>
              <w:rPr>
                <w:rFonts w:asciiTheme="majorBidi" w:hAnsiTheme="majorBidi" w:cstheme="majorBidi"/>
                <w:b/>
                <w:bCs/>
                <w:sz w:val="28"/>
                <w:szCs w:val="28"/>
                <w:lang w:val="en-GB"/>
              </w:rPr>
              <w:t>W</w:t>
            </w:r>
          </w:p>
        </w:tc>
        <w:tc>
          <w:tcPr>
            <w:tcW w:w="3225" w:type="dxa"/>
          </w:tcPr>
          <w:p w:rsidR="00517259" w:rsidRDefault="00517259" w:rsidP="00517259">
            <w:pPr>
              <w:jc w:val="both"/>
              <w:rPr>
                <w:rFonts w:asciiTheme="majorBidi" w:hAnsiTheme="majorBidi" w:cstheme="majorBidi"/>
                <w:b/>
                <w:bCs/>
                <w:sz w:val="28"/>
                <w:szCs w:val="28"/>
                <w:lang w:val="en-GB"/>
              </w:rPr>
            </w:pPr>
            <w:r>
              <w:rPr>
                <w:rFonts w:asciiTheme="majorBidi" w:hAnsiTheme="majorBidi" w:cstheme="majorBidi"/>
                <w:b/>
                <w:bCs/>
                <w:sz w:val="28"/>
                <w:szCs w:val="28"/>
                <w:lang w:val="en-GB"/>
              </w:rPr>
              <w:t>L</w:t>
            </w:r>
          </w:p>
        </w:tc>
      </w:tr>
      <w:tr w:rsidR="00517259" w:rsidTr="00517259">
        <w:tblPrEx>
          <w:tblCellMar>
            <w:top w:w="0" w:type="dxa"/>
            <w:bottom w:w="0" w:type="dxa"/>
          </w:tblCellMar>
        </w:tblPrEx>
        <w:trPr>
          <w:trHeight w:val="2385"/>
        </w:trPr>
        <w:tc>
          <w:tcPr>
            <w:tcW w:w="2250" w:type="dxa"/>
          </w:tcPr>
          <w:p w:rsidR="00517259" w:rsidRDefault="00517259" w:rsidP="00517259">
            <w:pPr>
              <w:jc w:val="both"/>
              <w:rPr>
                <w:rFonts w:asciiTheme="majorBidi" w:hAnsiTheme="majorBidi" w:cstheme="majorBidi"/>
                <w:b/>
                <w:bCs/>
                <w:sz w:val="28"/>
                <w:szCs w:val="28"/>
                <w:lang w:val="en-GB"/>
              </w:rPr>
            </w:pPr>
          </w:p>
        </w:tc>
        <w:tc>
          <w:tcPr>
            <w:tcW w:w="2595" w:type="dxa"/>
          </w:tcPr>
          <w:p w:rsidR="00517259" w:rsidRDefault="00517259" w:rsidP="00517259">
            <w:pPr>
              <w:jc w:val="both"/>
              <w:rPr>
                <w:rFonts w:asciiTheme="majorBidi" w:hAnsiTheme="majorBidi" w:cstheme="majorBidi"/>
                <w:b/>
                <w:bCs/>
                <w:sz w:val="28"/>
                <w:szCs w:val="28"/>
                <w:lang w:val="en-GB"/>
              </w:rPr>
            </w:pPr>
          </w:p>
        </w:tc>
        <w:tc>
          <w:tcPr>
            <w:tcW w:w="3225" w:type="dxa"/>
          </w:tcPr>
          <w:p w:rsidR="00517259" w:rsidRDefault="00517259" w:rsidP="00517259">
            <w:pPr>
              <w:jc w:val="both"/>
              <w:rPr>
                <w:rFonts w:asciiTheme="majorBidi" w:hAnsiTheme="majorBidi" w:cstheme="majorBidi"/>
                <w:b/>
                <w:bCs/>
                <w:sz w:val="28"/>
                <w:szCs w:val="28"/>
                <w:lang w:val="en-GB"/>
              </w:rPr>
            </w:pPr>
          </w:p>
        </w:tc>
      </w:tr>
    </w:tbl>
    <w:p w:rsidR="007104BC" w:rsidRDefault="007104BC" w:rsidP="00517259">
      <w:pPr>
        <w:jc w:val="both"/>
        <w:rPr>
          <w:rFonts w:asciiTheme="majorBidi" w:hAnsiTheme="majorBidi" w:cstheme="majorBidi"/>
          <w:b/>
          <w:bCs/>
          <w:sz w:val="28"/>
          <w:szCs w:val="28"/>
          <w:lang w:val="en-GB"/>
        </w:rPr>
      </w:pPr>
    </w:p>
    <w:p w:rsidR="00FC37F0" w:rsidRDefault="00FC37F0" w:rsidP="00517259">
      <w:pPr>
        <w:jc w:val="both"/>
        <w:rPr>
          <w:rFonts w:asciiTheme="majorBidi" w:hAnsiTheme="majorBidi" w:cstheme="majorBidi"/>
          <w:b/>
          <w:bCs/>
          <w:sz w:val="28"/>
          <w:szCs w:val="28"/>
          <w:lang w:val="en-GB"/>
        </w:rPr>
      </w:pPr>
      <w:r>
        <w:rPr>
          <w:rFonts w:asciiTheme="majorBidi" w:hAnsiTheme="majorBidi" w:cstheme="majorBidi"/>
          <w:b/>
          <w:bCs/>
          <w:sz w:val="28"/>
          <w:szCs w:val="28"/>
          <w:lang w:val="en-GB"/>
        </w:rPr>
        <w:t>References:</w:t>
      </w:r>
    </w:p>
    <w:p w:rsidR="00FC37F0" w:rsidRPr="00FC37F0" w:rsidRDefault="00FC37F0" w:rsidP="00FC37F0">
      <w:pPr>
        <w:spacing w:after="0" w:line="240" w:lineRule="auto"/>
        <w:rPr>
          <w:rFonts w:ascii="Times New Roman" w:eastAsia="Times New Roman" w:hAnsi="Times New Roman" w:cs="Times New Roman"/>
          <w:sz w:val="24"/>
          <w:szCs w:val="24"/>
          <w:lang w:val="en-GB" w:eastAsia="en-GB"/>
        </w:rPr>
      </w:pPr>
      <w:proofErr w:type="gramStart"/>
      <w:r w:rsidRPr="00FC37F0">
        <w:rPr>
          <w:rFonts w:ascii="Times New Roman" w:eastAsia="Times New Roman" w:hAnsi="Symbol" w:cs="Times New Roman"/>
          <w:sz w:val="24"/>
          <w:szCs w:val="24"/>
          <w:lang w:val="en-GB" w:eastAsia="en-GB"/>
        </w:rPr>
        <w:t></w:t>
      </w:r>
      <w:r w:rsidRPr="00FC37F0">
        <w:rPr>
          <w:rFonts w:ascii="Times New Roman" w:eastAsia="Times New Roman" w:hAnsi="Times New Roman" w:cs="Times New Roman"/>
          <w:sz w:val="24"/>
          <w:szCs w:val="24"/>
          <w:lang w:val="en-GB" w:eastAsia="en-GB"/>
        </w:rPr>
        <w:t xml:space="preserve">  Brown</w:t>
      </w:r>
      <w:proofErr w:type="gramEnd"/>
      <w:r w:rsidRPr="00FC37F0">
        <w:rPr>
          <w:rFonts w:ascii="Times New Roman" w:eastAsia="Times New Roman" w:hAnsi="Times New Roman" w:cs="Times New Roman"/>
          <w:sz w:val="24"/>
          <w:szCs w:val="24"/>
          <w:lang w:val="en-GB" w:eastAsia="en-GB"/>
        </w:rPr>
        <w:t xml:space="preserve">, H. D. (2001). </w:t>
      </w:r>
      <w:r w:rsidRPr="00FC37F0">
        <w:rPr>
          <w:rFonts w:ascii="Times New Roman" w:eastAsia="Times New Roman" w:hAnsi="Times New Roman" w:cs="Times New Roman"/>
          <w:i/>
          <w:iCs/>
          <w:sz w:val="24"/>
          <w:szCs w:val="24"/>
          <w:lang w:val="en-GB" w:eastAsia="en-GB"/>
        </w:rPr>
        <w:t>Teaching by Principles: An Interactive Approach to Language Pedagogy</w:t>
      </w:r>
      <w:r w:rsidRPr="00FC37F0">
        <w:rPr>
          <w:rFonts w:ascii="Times New Roman" w:eastAsia="Times New Roman" w:hAnsi="Times New Roman" w:cs="Times New Roman"/>
          <w:sz w:val="24"/>
          <w:szCs w:val="24"/>
          <w:lang w:val="en-GB" w:eastAsia="en-GB"/>
        </w:rPr>
        <w:t>. Longman.</w:t>
      </w:r>
    </w:p>
    <w:p w:rsidR="00FC37F0" w:rsidRPr="00FC37F0" w:rsidRDefault="00FC37F0" w:rsidP="00FC37F0">
      <w:pPr>
        <w:spacing w:after="0" w:line="240" w:lineRule="auto"/>
        <w:rPr>
          <w:rFonts w:ascii="Times New Roman" w:eastAsia="Times New Roman" w:hAnsi="Times New Roman" w:cs="Times New Roman"/>
          <w:sz w:val="24"/>
          <w:szCs w:val="24"/>
          <w:lang w:val="en-GB" w:eastAsia="en-GB"/>
        </w:rPr>
      </w:pPr>
      <w:proofErr w:type="gramStart"/>
      <w:r w:rsidRPr="00FC37F0">
        <w:rPr>
          <w:rFonts w:ascii="Times New Roman" w:eastAsia="Times New Roman" w:hAnsi="Symbol" w:cs="Times New Roman"/>
          <w:sz w:val="24"/>
          <w:szCs w:val="24"/>
          <w:lang w:val="en-GB" w:eastAsia="en-GB"/>
        </w:rPr>
        <w:t></w:t>
      </w:r>
      <w:r w:rsidRPr="00FC37F0">
        <w:rPr>
          <w:rFonts w:ascii="Times New Roman" w:eastAsia="Times New Roman" w:hAnsi="Times New Roman" w:cs="Times New Roman"/>
          <w:sz w:val="24"/>
          <w:szCs w:val="24"/>
          <w:lang w:val="en-GB" w:eastAsia="en-GB"/>
        </w:rPr>
        <w:t xml:space="preserve">  </w:t>
      </w:r>
      <w:proofErr w:type="spellStart"/>
      <w:r w:rsidRPr="00FC37F0">
        <w:rPr>
          <w:rFonts w:ascii="Times New Roman" w:eastAsia="Times New Roman" w:hAnsi="Times New Roman" w:cs="Times New Roman"/>
          <w:sz w:val="24"/>
          <w:szCs w:val="24"/>
          <w:lang w:val="en-GB" w:eastAsia="en-GB"/>
        </w:rPr>
        <w:t>Grabe</w:t>
      </w:r>
      <w:proofErr w:type="spellEnd"/>
      <w:proofErr w:type="gramEnd"/>
      <w:r w:rsidRPr="00FC37F0">
        <w:rPr>
          <w:rFonts w:ascii="Times New Roman" w:eastAsia="Times New Roman" w:hAnsi="Times New Roman" w:cs="Times New Roman"/>
          <w:sz w:val="24"/>
          <w:szCs w:val="24"/>
          <w:lang w:val="en-GB" w:eastAsia="en-GB"/>
        </w:rPr>
        <w:t xml:space="preserve">, W., &amp; </w:t>
      </w:r>
      <w:proofErr w:type="spellStart"/>
      <w:r w:rsidRPr="00FC37F0">
        <w:rPr>
          <w:rFonts w:ascii="Times New Roman" w:eastAsia="Times New Roman" w:hAnsi="Times New Roman" w:cs="Times New Roman"/>
          <w:sz w:val="24"/>
          <w:szCs w:val="24"/>
          <w:lang w:val="en-GB" w:eastAsia="en-GB"/>
        </w:rPr>
        <w:t>Stoller</w:t>
      </w:r>
      <w:proofErr w:type="spellEnd"/>
      <w:r w:rsidRPr="00FC37F0">
        <w:rPr>
          <w:rFonts w:ascii="Times New Roman" w:eastAsia="Times New Roman" w:hAnsi="Times New Roman" w:cs="Times New Roman"/>
          <w:sz w:val="24"/>
          <w:szCs w:val="24"/>
          <w:lang w:val="en-GB" w:eastAsia="en-GB"/>
        </w:rPr>
        <w:t>, F. L. (20</w:t>
      </w:r>
      <w:r>
        <w:rPr>
          <w:rFonts w:ascii="Times New Roman" w:eastAsia="Times New Roman" w:hAnsi="Times New Roman" w:cs="Times New Roman"/>
          <w:sz w:val="24"/>
          <w:szCs w:val="24"/>
          <w:lang w:val="en-GB" w:eastAsia="en-GB"/>
        </w:rPr>
        <w:t>19</w:t>
      </w:r>
      <w:r w:rsidRPr="00FC37F0">
        <w:rPr>
          <w:rFonts w:ascii="Times New Roman" w:eastAsia="Times New Roman" w:hAnsi="Times New Roman" w:cs="Times New Roman"/>
          <w:sz w:val="24"/>
          <w:szCs w:val="24"/>
          <w:lang w:val="en-GB" w:eastAsia="en-GB"/>
        </w:rPr>
        <w:t xml:space="preserve">). </w:t>
      </w:r>
      <w:r w:rsidRPr="00FC37F0">
        <w:rPr>
          <w:rFonts w:ascii="Times New Roman" w:eastAsia="Times New Roman" w:hAnsi="Times New Roman" w:cs="Times New Roman"/>
          <w:i/>
          <w:iCs/>
          <w:sz w:val="24"/>
          <w:szCs w:val="24"/>
          <w:lang w:val="en-GB" w:eastAsia="en-GB"/>
        </w:rPr>
        <w:t>Teaching and Researching Reading</w:t>
      </w:r>
      <w:r w:rsidRPr="00FC37F0">
        <w:rPr>
          <w:rFonts w:ascii="Times New Roman" w:eastAsia="Times New Roman" w:hAnsi="Times New Roman" w:cs="Times New Roman"/>
          <w:sz w:val="24"/>
          <w:szCs w:val="24"/>
          <w:lang w:val="en-GB" w:eastAsia="en-GB"/>
        </w:rPr>
        <w:t>. Pearson Education.</w:t>
      </w:r>
    </w:p>
    <w:p w:rsidR="00FC37F0" w:rsidRPr="00FC37F0" w:rsidRDefault="00FC37F0" w:rsidP="00FC37F0">
      <w:pPr>
        <w:spacing w:after="0" w:line="240" w:lineRule="auto"/>
        <w:rPr>
          <w:rFonts w:ascii="Times New Roman" w:eastAsia="Times New Roman" w:hAnsi="Times New Roman" w:cs="Times New Roman"/>
          <w:sz w:val="24"/>
          <w:szCs w:val="24"/>
          <w:lang w:val="en-GB" w:eastAsia="en-GB"/>
        </w:rPr>
      </w:pPr>
      <w:proofErr w:type="gramStart"/>
      <w:r w:rsidRPr="00FC37F0">
        <w:rPr>
          <w:rFonts w:ascii="Times New Roman" w:eastAsia="Times New Roman" w:hAnsi="Symbol" w:cs="Times New Roman"/>
          <w:sz w:val="24"/>
          <w:szCs w:val="24"/>
          <w:lang w:val="en-GB" w:eastAsia="en-GB"/>
        </w:rPr>
        <w:t></w:t>
      </w:r>
      <w:r w:rsidRPr="00FC37F0">
        <w:rPr>
          <w:rFonts w:ascii="Times New Roman" w:eastAsia="Times New Roman" w:hAnsi="Times New Roman" w:cs="Times New Roman"/>
          <w:sz w:val="24"/>
          <w:szCs w:val="24"/>
          <w:lang w:val="en-GB" w:eastAsia="en-GB"/>
        </w:rPr>
        <w:t xml:space="preserve">  </w:t>
      </w:r>
      <w:proofErr w:type="spellStart"/>
      <w:r w:rsidRPr="00FC37F0">
        <w:rPr>
          <w:rFonts w:ascii="Times New Roman" w:eastAsia="Times New Roman" w:hAnsi="Times New Roman" w:cs="Times New Roman"/>
          <w:sz w:val="24"/>
          <w:szCs w:val="24"/>
          <w:lang w:val="en-GB" w:eastAsia="en-GB"/>
        </w:rPr>
        <w:t>Klingner</w:t>
      </w:r>
      <w:proofErr w:type="spellEnd"/>
      <w:proofErr w:type="gramEnd"/>
      <w:r w:rsidRPr="00FC37F0">
        <w:rPr>
          <w:rFonts w:ascii="Times New Roman" w:eastAsia="Times New Roman" w:hAnsi="Times New Roman" w:cs="Times New Roman"/>
          <w:sz w:val="24"/>
          <w:szCs w:val="24"/>
          <w:lang w:val="en-GB" w:eastAsia="en-GB"/>
        </w:rPr>
        <w:t xml:space="preserve">, J. K., Vaughn, S., &amp; Boardman, A. G. (2007). </w:t>
      </w:r>
      <w:r w:rsidRPr="00FC37F0">
        <w:rPr>
          <w:rFonts w:ascii="Times New Roman" w:eastAsia="Times New Roman" w:hAnsi="Times New Roman" w:cs="Times New Roman"/>
          <w:i/>
          <w:iCs/>
          <w:sz w:val="24"/>
          <w:szCs w:val="24"/>
          <w:lang w:val="en-GB" w:eastAsia="en-GB"/>
        </w:rPr>
        <w:t>Teaching Reading Comprehension to Students with Learning Difficulties</w:t>
      </w:r>
      <w:r w:rsidRPr="00FC37F0">
        <w:rPr>
          <w:rFonts w:ascii="Times New Roman" w:eastAsia="Times New Roman" w:hAnsi="Times New Roman" w:cs="Times New Roman"/>
          <w:sz w:val="24"/>
          <w:szCs w:val="24"/>
          <w:lang w:val="en-GB" w:eastAsia="en-GB"/>
        </w:rPr>
        <w:t>. Guilford Press.</w:t>
      </w:r>
    </w:p>
    <w:p w:rsidR="00FC37F0" w:rsidRPr="007104BC" w:rsidRDefault="00FC37F0" w:rsidP="00FC37F0">
      <w:pPr>
        <w:jc w:val="both"/>
        <w:rPr>
          <w:rFonts w:asciiTheme="majorBidi" w:hAnsiTheme="majorBidi" w:cstheme="majorBidi"/>
          <w:b/>
          <w:bCs/>
          <w:sz w:val="28"/>
          <w:szCs w:val="28"/>
          <w:lang w:val="en-GB"/>
        </w:rPr>
      </w:pPr>
      <w:proofErr w:type="gramStart"/>
      <w:r w:rsidRPr="00FC37F0">
        <w:rPr>
          <w:rFonts w:ascii="Times New Roman" w:eastAsia="Times New Roman" w:hAnsi="Symbol" w:cs="Times New Roman"/>
          <w:sz w:val="24"/>
          <w:szCs w:val="24"/>
          <w:lang w:val="en-GB" w:eastAsia="en-GB"/>
        </w:rPr>
        <w:t></w:t>
      </w:r>
      <w:r w:rsidRPr="00FC37F0">
        <w:rPr>
          <w:rFonts w:ascii="Times New Roman" w:eastAsia="Times New Roman" w:hAnsi="Times New Roman" w:cs="Times New Roman"/>
          <w:sz w:val="24"/>
          <w:szCs w:val="24"/>
          <w:lang w:val="en-GB" w:eastAsia="en-GB"/>
        </w:rPr>
        <w:t xml:space="preserve">  </w:t>
      </w:r>
      <w:bookmarkStart w:id="0" w:name="_GoBack"/>
      <w:r w:rsidRPr="00FC37F0">
        <w:rPr>
          <w:rFonts w:ascii="Times New Roman" w:eastAsia="Times New Roman" w:hAnsi="Times New Roman" w:cs="Times New Roman"/>
          <w:sz w:val="24"/>
          <w:szCs w:val="24"/>
          <w:lang w:val="en-GB" w:eastAsia="en-GB"/>
        </w:rPr>
        <w:t>Ogle</w:t>
      </w:r>
      <w:proofErr w:type="gramEnd"/>
      <w:r w:rsidRPr="00FC37F0">
        <w:rPr>
          <w:rFonts w:ascii="Times New Roman" w:eastAsia="Times New Roman" w:hAnsi="Times New Roman" w:cs="Times New Roman"/>
          <w:sz w:val="24"/>
          <w:szCs w:val="24"/>
          <w:lang w:val="en-GB" w:eastAsia="en-GB"/>
        </w:rPr>
        <w:t xml:space="preserve">, D. (1986). </w:t>
      </w:r>
      <w:r w:rsidRPr="00FC37F0">
        <w:rPr>
          <w:rFonts w:ascii="Times New Roman" w:eastAsia="Times New Roman" w:hAnsi="Times New Roman" w:cs="Times New Roman"/>
          <w:i/>
          <w:iCs/>
          <w:sz w:val="24"/>
          <w:szCs w:val="24"/>
          <w:lang w:val="en-GB" w:eastAsia="en-GB"/>
        </w:rPr>
        <w:t>KWL: A Teaching Model that Develops Active Reading of Expository Text</w:t>
      </w:r>
      <w:r w:rsidRPr="00FC37F0">
        <w:rPr>
          <w:rFonts w:ascii="Times New Roman" w:eastAsia="Times New Roman" w:hAnsi="Times New Roman" w:cs="Times New Roman"/>
          <w:sz w:val="24"/>
          <w:szCs w:val="24"/>
          <w:lang w:val="en-GB" w:eastAsia="en-GB"/>
        </w:rPr>
        <w:t>. The Reading Teacher.</w:t>
      </w:r>
      <w:bookmarkEnd w:id="0"/>
    </w:p>
    <w:sectPr w:rsidR="00FC37F0" w:rsidRPr="00710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C6048"/>
    <w:multiLevelType w:val="multilevel"/>
    <w:tmpl w:val="E5A21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12D23"/>
    <w:multiLevelType w:val="hybridMultilevel"/>
    <w:tmpl w:val="C364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9736F6"/>
    <w:multiLevelType w:val="hybridMultilevel"/>
    <w:tmpl w:val="20C6D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15"/>
    <w:rsid w:val="0012128A"/>
    <w:rsid w:val="00367494"/>
    <w:rsid w:val="00517259"/>
    <w:rsid w:val="00623915"/>
    <w:rsid w:val="007104BC"/>
    <w:rsid w:val="009427D4"/>
    <w:rsid w:val="00AB6308"/>
    <w:rsid w:val="00DE748D"/>
    <w:rsid w:val="00EF2717"/>
    <w:rsid w:val="00F42646"/>
    <w:rsid w:val="00FC37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9C82"/>
  <w15:chartTrackingRefBased/>
  <w15:docId w15:val="{3E2B3A17-B96A-47C4-9967-58E98AE9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46"/>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605043">
      <w:bodyDiv w:val="1"/>
      <w:marLeft w:val="0"/>
      <w:marRight w:val="0"/>
      <w:marTop w:val="0"/>
      <w:marBottom w:val="0"/>
      <w:divBdr>
        <w:top w:val="none" w:sz="0" w:space="0" w:color="auto"/>
        <w:left w:val="none" w:sz="0" w:space="0" w:color="auto"/>
        <w:bottom w:val="none" w:sz="0" w:space="0" w:color="auto"/>
        <w:right w:val="none" w:sz="0" w:space="0" w:color="auto"/>
      </w:divBdr>
    </w:div>
    <w:div w:id="193432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7</cp:revision>
  <dcterms:created xsi:type="dcterms:W3CDTF">2024-11-29T22:19:00Z</dcterms:created>
  <dcterms:modified xsi:type="dcterms:W3CDTF">2024-12-03T09:20:00Z</dcterms:modified>
</cp:coreProperties>
</file>