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3"/>
        <w:gridCol w:w="22"/>
        <w:gridCol w:w="389"/>
        <w:gridCol w:w="148"/>
        <w:gridCol w:w="594"/>
        <w:gridCol w:w="2403"/>
        <w:gridCol w:w="72"/>
        <w:gridCol w:w="357"/>
        <w:gridCol w:w="134"/>
        <w:gridCol w:w="85"/>
        <w:gridCol w:w="1238"/>
        <w:gridCol w:w="246"/>
        <w:gridCol w:w="27"/>
        <w:gridCol w:w="781"/>
        <w:gridCol w:w="228"/>
        <w:gridCol w:w="2155"/>
      </w:tblGrid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E22CE" w:rsidRPr="00111A99" w:rsidRDefault="005E22CE" w:rsidP="00A5569E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proofErr w:type="gramStart"/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proofErr w:type="gramEnd"/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> </w:t>
            </w:r>
            <w:r w:rsidR="00A5569E" w:rsidRPr="00A5569E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  <w:r w:rsidR="00A5569E" w:rsidRPr="00A556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5E22CE" w:rsidRPr="00FF3D20" w:rsidRDefault="005E22CE" w:rsidP="00BC484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r w:rsidR="00BC484F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ندوة في الادارة المالية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1545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4097" w:type="dxa"/>
            <w:gridSpan w:val="7"/>
            <w:shd w:val="clear" w:color="auto" w:fill="auto"/>
            <w:vAlign w:val="center"/>
          </w:tcPr>
          <w:p w:rsidR="00C34721" w:rsidRPr="00FF3D20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3164" w:type="dxa"/>
            <w:gridSpan w:val="3"/>
            <w:shd w:val="clear" w:color="auto" w:fill="auto"/>
            <w:vAlign w:val="center"/>
          </w:tcPr>
          <w:p w:rsidR="00C34721" w:rsidRPr="00FF3D20" w:rsidRDefault="00CF01C2" w:rsidP="00ED716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ادارة المالية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1545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4097" w:type="dxa"/>
            <w:gridSpan w:val="7"/>
            <w:shd w:val="clear" w:color="auto" w:fill="auto"/>
            <w:vAlign w:val="center"/>
          </w:tcPr>
          <w:p w:rsidR="00C34721" w:rsidRPr="00FF3D20" w:rsidRDefault="00CF01C2" w:rsidP="00021A1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التسيير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3164" w:type="dxa"/>
            <w:gridSpan w:val="3"/>
            <w:shd w:val="clear" w:color="auto" w:fill="auto"/>
            <w:vAlign w:val="center"/>
          </w:tcPr>
          <w:p w:rsidR="00C34721" w:rsidRPr="00FF3D20" w:rsidRDefault="00BC484F" w:rsidP="00EE758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ماستر2</w:t>
            </w:r>
          </w:p>
        </w:tc>
      </w:tr>
      <w:tr w:rsidR="00CB2779" w:rsidRPr="0050480E" w:rsidTr="00CF01C2">
        <w:trPr>
          <w:trHeight w:val="143"/>
          <w:jc w:val="center"/>
        </w:trPr>
        <w:tc>
          <w:tcPr>
            <w:tcW w:w="1545" w:type="dxa"/>
            <w:gridSpan w:val="2"/>
            <w:shd w:val="clear" w:color="auto" w:fill="auto"/>
            <w:vAlign w:val="center"/>
          </w:tcPr>
          <w:p w:rsidR="00CB2779" w:rsidRPr="00FF3D20" w:rsidRDefault="00CB2779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4097" w:type="dxa"/>
            <w:gridSpan w:val="7"/>
            <w:shd w:val="clear" w:color="auto" w:fill="auto"/>
            <w:vAlign w:val="center"/>
          </w:tcPr>
          <w:p w:rsidR="00CB2779" w:rsidRPr="00C34721" w:rsidRDefault="00BC484F" w:rsidP="00E83EE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الثالث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CB2779" w:rsidRPr="00FF3D20" w:rsidRDefault="00CB2779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</w:t>
            </w:r>
            <w:proofErr w:type="gramEnd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الجامعية</w:t>
            </w:r>
          </w:p>
        </w:tc>
        <w:tc>
          <w:tcPr>
            <w:tcW w:w="3164" w:type="dxa"/>
            <w:gridSpan w:val="3"/>
            <w:shd w:val="clear" w:color="auto" w:fill="auto"/>
            <w:vAlign w:val="center"/>
          </w:tcPr>
          <w:p w:rsidR="00CB2779" w:rsidRPr="00FF3D20" w:rsidRDefault="00CF01C2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2024/2025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E82A76" w:rsidRDefault="00BC484F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ندوة في الادارة المالية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التعليم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BC484F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وحدة التعليم افقية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50480E" w:rsidRDefault="00BC484F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BC484F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</w:tr>
      <w:tr w:rsidR="009D771D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9D771D" w:rsidRPr="0050480E" w:rsidRDefault="009D771D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المحاضرة (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</w:t>
            </w:r>
            <w:r w:rsidR="00A5569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9D771D" w:rsidRPr="0050480E" w:rsidRDefault="009D771D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عدد الساعات في الأسبوع )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50480E" w:rsidRDefault="00CF01C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هشام حريز</w:t>
            </w:r>
            <w:r w:rsidR="00C34721"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CF01C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استاذ محاضر أ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50480E" w:rsidRDefault="00CF01C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19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الالكتروني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CF01C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h.heriz</w:t>
            </w:r>
            <w:r w:rsidR="00403D82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 @centre-univ-mila.dz</w:t>
            </w:r>
          </w:p>
        </w:tc>
      </w:tr>
      <w:tr w:rsidR="00C34721" w:rsidRPr="0050480E" w:rsidTr="00CF01C2">
        <w:trPr>
          <w:trHeight w:val="143"/>
          <w:jc w:val="center"/>
        </w:trPr>
        <w:tc>
          <w:tcPr>
            <w:tcW w:w="2082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C34721" w:rsidRPr="0050480E" w:rsidRDefault="00403D8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0542207944</w:t>
            </w:r>
            <w:r w:rsidR="00C34721"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</w:t>
            </w:r>
          </w:p>
        </w:tc>
        <w:tc>
          <w:tcPr>
            <w:tcW w:w="2087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3164" w:type="dxa"/>
            <w:gridSpan w:val="3"/>
            <w:shd w:val="clear" w:color="auto" w:fill="auto"/>
          </w:tcPr>
          <w:p w:rsidR="00C34721" w:rsidRPr="0050480E" w:rsidRDefault="00BC484F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ق 24.23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D84EAE" w:rsidRPr="0050480E" w:rsidTr="00CF01C2">
        <w:trPr>
          <w:trHeight w:val="1489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A91ADB" w:rsidRDefault="00D84EA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879" w:type="dxa"/>
            <w:gridSpan w:val="15"/>
            <w:shd w:val="clear" w:color="auto" w:fill="auto"/>
            <w:vAlign w:val="center"/>
          </w:tcPr>
          <w:p w:rsidR="00D84EAE" w:rsidRPr="00FF1847" w:rsidRDefault="00403D82" w:rsidP="00BC484F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اكتساب معارف جديدة للطالب من لمقياس </w:t>
            </w:r>
            <w:r w:rsidR="00BC484F">
              <w:rPr>
                <w:rFonts w:ascii="Sakkal Majalla" w:hAnsi="Sakkal Majalla" w:cs="Sakkal Majalla" w:hint="cs"/>
                <w:sz w:val="30"/>
                <w:szCs w:val="30"/>
                <w:rtl/>
              </w:rPr>
              <w:t>ندوة في الادارة المعرفة</w:t>
            </w:r>
          </w:p>
        </w:tc>
      </w:tr>
      <w:tr w:rsidR="00D84EAE" w:rsidRPr="0050480E" w:rsidTr="00CF01C2">
        <w:trPr>
          <w:trHeight w:val="2098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79" w:type="dxa"/>
            <w:gridSpan w:val="15"/>
            <w:shd w:val="clear" w:color="auto" w:fill="auto"/>
            <w:vAlign w:val="center"/>
          </w:tcPr>
          <w:p w:rsidR="00D84EAE" w:rsidRPr="00FF1847" w:rsidRDefault="00403D82" w:rsidP="00BC484F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تهدف هذه الدراسة الى </w:t>
            </w:r>
            <w:r w:rsidR="00BC484F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استكمال معارف الطالب في الادارة المالية بكل المستجدات المالية الحديى</w:t>
            </w:r>
          </w:p>
        </w:tc>
      </w:tr>
      <w:tr w:rsidR="00D84EAE" w:rsidRPr="0050480E" w:rsidTr="00CF01C2">
        <w:trPr>
          <w:trHeight w:val="143"/>
          <w:jc w:val="center"/>
        </w:trPr>
        <w:tc>
          <w:tcPr>
            <w:tcW w:w="1523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79" w:type="dxa"/>
            <w:gridSpan w:val="15"/>
            <w:shd w:val="clear" w:color="auto" w:fill="auto"/>
            <w:vAlign w:val="center"/>
          </w:tcPr>
          <w:p w:rsidR="00D84EAE" w:rsidRPr="00C754E5" w:rsidRDefault="00D84EAE" w:rsidP="00BC484F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="00403D8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بعد دراسةالطالب للمقياس يكون ملما بمختلف المفاهيم الاساسية </w:t>
            </w:r>
            <w:r w:rsidR="00BC484F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خاصة ازمات المالية حالية ، العملات الرقمية، التمويل الالكتروني المالي ، الشمول المالي </w:t>
            </w:r>
            <w:r w:rsidR="00617C6E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 المادة التعليمية</w:t>
            </w:r>
          </w:p>
        </w:tc>
      </w:tr>
      <w:tr w:rsidR="00D84EAE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D84EAE" w:rsidRPr="0058217A" w:rsidRDefault="004D2BD9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ندوة</w:t>
            </w:r>
            <w:proofErr w:type="gramEnd"/>
            <w:r w:rsidR="00D84EAE"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الأول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ى</w:t>
            </w:r>
          </w:p>
        </w:tc>
        <w:tc>
          <w:tcPr>
            <w:tcW w:w="8468" w:type="dxa"/>
            <w:gridSpan w:val="13"/>
            <w:shd w:val="clear" w:color="auto" w:fill="auto"/>
            <w:vAlign w:val="center"/>
          </w:tcPr>
          <w:p w:rsidR="00D84EAE" w:rsidRPr="0058217A" w:rsidRDefault="004D2BD9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الازمات المالية</w:t>
            </w:r>
          </w:p>
        </w:tc>
      </w:tr>
      <w:tr w:rsidR="00D84EAE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D84EAE" w:rsidRPr="0058217A" w:rsidRDefault="004D2BD9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4D2BD9">
              <w:rPr>
                <w:rFonts w:ascii="Sakkal Majalla" w:hAnsi="Sakkal Majalla" w:cs="Sakkal Majalla"/>
                <w:sz w:val="32"/>
                <w:szCs w:val="32"/>
                <w:rtl/>
              </w:rPr>
              <w:lastRenderedPageBreak/>
              <w:t>ندوة</w:t>
            </w:r>
            <w:proofErr w:type="gramEnd"/>
            <w:r w:rsidR="00D84EAE"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الثاني</w:t>
            </w:r>
          </w:p>
        </w:tc>
        <w:tc>
          <w:tcPr>
            <w:tcW w:w="8468" w:type="dxa"/>
            <w:gridSpan w:val="13"/>
            <w:shd w:val="clear" w:color="auto" w:fill="auto"/>
            <w:vAlign w:val="center"/>
          </w:tcPr>
          <w:p w:rsidR="00D84EAE" w:rsidRPr="0058217A" w:rsidRDefault="004D2BD9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العملات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الرقمية</w:t>
            </w:r>
          </w:p>
        </w:tc>
      </w:tr>
      <w:tr w:rsidR="00D84EAE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D84EAE" w:rsidRPr="0058217A" w:rsidRDefault="004D2BD9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4D2BD9">
              <w:rPr>
                <w:rFonts w:ascii="Sakkal Majalla" w:hAnsi="Sakkal Majalla" w:cs="Sakkal Majalla"/>
                <w:sz w:val="32"/>
                <w:szCs w:val="32"/>
                <w:rtl/>
              </w:rPr>
              <w:t>ندوة</w:t>
            </w:r>
            <w:proofErr w:type="gramEnd"/>
            <w:r w:rsidR="00D84EAE"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الثالث</w:t>
            </w:r>
          </w:p>
        </w:tc>
        <w:tc>
          <w:tcPr>
            <w:tcW w:w="8468" w:type="dxa"/>
            <w:gridSpan w:val="13"/>
            <w:shd w:val="clear" w:color="auto" w:fill="auto"/>
            <w:vAlign w:val="center"/>
          </w:tcPr>
          <w:p w:rsidR="00D84EAE" w:rsidRPr="0058217A" w:rsidRDefault="004D2BD9" w:rsidP="00D84EA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التمويل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الالكتروني</w:t>
            </w:r>
          </w:p>
        </w:tc>
      </w:tr>
      <w:tr w:rsidR="00D84EAE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D84EAE" w:rsidRPr="0058217A" w:rsidRDefault="004D2BD9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4D2BD9">
              <w:rPr>
                <w:rFonts w:ascii="Sakkal Majalla" w:hAnsi="Sakkal Majalla" w:cs="Sakkal Majalla"/>
                <w:sz w:val="32"/>
                <w:szCs w:val="32"/>
                <w:rtl/>
              </w:rPr>
              <w:t>ندوة</w:t>
            </w:r>
            <w:proofErr w:type="gramEnd"/>
            <w:r w:rsidR="00D84EAE"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الرابع</w:t>
            </w:r>
          </w:p>
        </w:tc>
        <w:tc>
          <w:tcPr>
            <w:tcW w:w="8468" w:type="dxa"/>
            <w:gridSpan w:val="13"/>
            <w:shd w:val="clear" w:color="auto" w:fill="auto"/>
            <w:vAlign w:val="center"/>
          </w:tcPr>
          <w:p w:rsidR="00D84EAE" w:rsidRPr="0058217A" w:rsidRDefault="004D2BD9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الادارة المالية الالكترونية</w:t>
            </w:r>
          </w:p>
        </w:tc>
      </w:tr>
      <w:tr w:rsidR="00D84EAE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D84EAE" w:rsidRPr="0058217A" w:rsidRDefault="004D2BD9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bookmarkStart w:id="0" w:name="_GoBack"/>
            <w:bookmarkEnd w:id="0"/>
            <w:proofErr w:type="gramStart"/>
            <w:r w:rsidRPr="004D2BD9">
              <w:rPr>
                <w:rFonts w:ascii="Sakkal Majalla" w:hAnsi="Sakkal Majalla" w:cs="Sakkal Majalla"/>
                <w:sz w:val="32"/>
                <w:szCs w:val="32"/>
                <w:rtl/>
              </w:rPr>
              <w:t>ندوة</w:t>
            </w:r>
            <w:proofErr w:type="gramEnd"/>
            <w:r w:rsidR="00D84EAE"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الخامس</w:t>
            </w:r>
          </w:p>
        </w:tc>
        <w:tc>
          <w:tcPr>
            <w:tcW w:w="8468" w:type="dxa"/>
            <w:gridSpan w:val="13"/>
            <w:shd w:val="clear" w:color="auto" w:fill="auto"/>
            <w:vAlign w:val="center"/>
          </w:tcPr>
          <w:p w:rsidR="00D84EAE" w:rsidRPr="0058217A" w:rsidRDefault="004D2BD9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دراسة حالات مؤسسات المالية</w:t>
            </w:r>
          </w:p>
        </w:tc>
      </w:tr>
      <w:tr w:rsidR="005F1E9A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5F1E9A" w:rsidRPr="0058217A" w:rsidRDefault="004D2BD9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4D2BD9">
              <w:rPr>
                <w:rFonts w:ascii="Sakkal Majalla" w:hAnsi="Sakkal Majalla" w:cs="Sakkal Majalla"/>
                <w:sz w:val="32"/>
                <w:szCs w:val="32"/>
                <w:rtl/>
              </w:rPr>
              <w:t>ندوة</w:t>
            </w:r>
            <w:r w:rsidR="005F1E9A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5F1E9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السادس</w:t>
            </w:r>
            <w:proofErr w:type="gramEnd"/>
          </w:p>
        </w:tc>
        <w:tc>
          <w:tcPr>
            <w:tcW w:w="8468" w:type="dxa"/>
            <w:gridSpan w:val="13"/>
            <w:shd w:val="clear" w:color="auto" w:fill="auto"/>
            <w:vAlign w:val="center"/>
          </w:tcPr>
          <w:p w:rsidR="005F1E9A" w:rsidRPr="0058217A" w:rsidRDefault="004D2BD9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الشمول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المالي</w:t>
            </w:r>
          </w:p>
        </w:tc>
      </w:tr>
      <w:tr w:rsidR="005F1E9A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5F1E9A" w:rsidRPr="0058217A" w:rsidRDefault="004D2BD9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4D2BD9">
              <w:rPr>
                <w:rFonts w:ascii="Sakkal Majalla" w:hAnsi="Sakkal Majalla" w:cs="Sakkal Majalla"/>
                <w:sz w:val="32"/>
                <w:szCs w:val="32"/>
                <w:rtl/>
              </w:rPr>
              <w:t>ندوة</w:t>
            </w:r>
            <w:proofErr w:type="gramEnd"/>
            <w:r w:rsidR="005F1E9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السابع</w:t>
            </w:r>
          </w:p>
        </w:tc>
        <w:tc>
          <w:tcPr>
            <w:tcW w:w="8468" w:type="dxa"/>
            <w:gridSpan w:val="13"/>
            <w:shd w:val="clear" w:color="auto" w:fill="auto"/>
            <w:vAlign w:val="center"/>
          </w:tcPr>
          <w:p w:rsidR="005F1E9A" w:rsidRPr="0058217A" w:rsidRDefault="004D2BD9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العلاقة بين مالية مؤسسة ومالية الاسواق</w:t>
            </w:r>
          </w:p>
        </w:tc>
      </w:tr>
      <w:tr w:rsidR="005F1E9A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الثامن</w:t>
            </w:r>
          </w:p>
        </w:tc>
        <w:tc>
          <w:tcPr>
            <w:tcW w:w="8468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التاسع</w:t>
            </w:r>
          </w:p>
        </w:tc>
        <w:tc>
          <w:tcPr>
            <w:tcW w:w="8468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العاشر</w:t>
            </w:r>
          </w:p>
        </w:tc>
        <w:tc>
          <w:tcPr>
            <w:tcW w:w="8468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C34721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793" w:type="dxa"/>
            <w:gridSpan w:val="7"/>
            <w:shd w:val="clear" w:color="auto" w:fill="auto"/>
          </w:tcPr>
          <w:p w:rsidR="00C34721" w:rsidRPr="0050480E" w:rsidRDefault="00C34721" w:rsidP="00C0519C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675" w:type="dxa"/>
            <w:gridSpan w:val="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C34721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3793" w:type="dxa"/>
            <w:gridSpan w:val="7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238" w:type="dxa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AE6434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314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CF01C2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48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054" w:type="dxa"/>
            <w:gridSpan w:val="3"/>
            <w:vMerge w:val="restart"/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AE6434" w:rsidRPr="0050480E" w:rsidRDefault="00AE6434" w:rsidP="004B497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(ال</w:t>
            </w:r>
            <w:r w:rsidR="004B497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ندوة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: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إعداد/إلقاء)     </w:t>
            </w:r>
          </w:p>
        </w:tc>
        <w:tc>
          <w:tcPr>
            <w:tcW w:w="314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CF01C2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314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314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5%</w:t>
            </w:r>
          </w:p>
        </w:tc>
      </w:tr>
      <w:tr w:rsidR="00AE6434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الأعمال الجماعية (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ضمن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فريق)          </w:t>
            </w:r>
          </w:p>
        </w:tc>
        <w:tc>
          <w:tcPr>
            <w:tcW w:w="314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314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(الحضور / الغياب )</w:t>
            </w:r>
          </w:p>
        </w:tc>
        <w:tc>
          <w:tcPr>
            <w:tcW w:w="314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CF01C2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عناصر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أخرى ( المشاركة )               </w:t>
            </w:r>
          </w:p>
        </w:tc>
        <w:tc>
          <w:tcPr>
            <w:tcW w:w="314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CF01C2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4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5%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Default="009F7D79" w:rsidP="004B497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تدرس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المادة في شكل </w:t>
            </w:r>
            <w:r w:rsidR="004B497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ندوات 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أعمال موجهة و طبيعة تقييمها امتحان و مراقبة مستمرة يقاس معدل المادة بالوزن الترجيحي للمحاضرة والأعمال الموجهة</w:t>
            </w:r>
            <w:r w:rsidR="00C34721" w:rsidRPr="005C7BB6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</w:p>
              </w:tc>
            </w:tr>
          </w:tbl>
          <w:p w:rsidR="00C34721" w:rsidRPr="00FF3D20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C34721" w:rsidRPr="0050480E" w:rsidTr="00A5569E">
        <w:trPr>
          <w:trHeight w:val="439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C34721" w:rsidRPr="0050480E" w:rsidTr="004B4976">
        <w:trPr>
          <w:trHeight w:val="143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3793" w:type="dxa"/>
            <w:gridSpan w:val="7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675" w:type="dxa"/>
            <w:gridSpan w:val="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C754E5" w:rsidRPr="0050480E" w:rsidTr="004B4976">
        <w:trPr>
          <w:trHeight w:val="270"/>
          <w:jc w:val="center"/>
        </w:trPr>
        <w:tc>
          <w:tcPr>
            <w:tcW w:w="19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454955" w:rsidP="005D5602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الاستثمارات والاسواق المالية</w:t>
            </w:r>
          </w:p>
        </w:tc>
        <w:tc>
          <w:tcPr>
            <w:tcW w:w="379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454955" w:rsidP="005D560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معروف هوشيار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454955" w:rsidP="005D5602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دار صفاء ، الاردن، 2003</w:t>
            </w:r>
          </w:p>
        </w:tc>
      </w:tr>
      <w:tr w:rsidR="00C754E5" w:rsidRPr="0050480E" w:rsidTr="004B4976">
        <w:trPr>
          <w:trHeight w:val="237"/>
          <w:jc w:val="center"/>
        </w:trPr>
        <w:tc>
          <w:tcPr>
            <w:tcW w:w="19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454955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اساسيات الاستثمار في الاوارق المالية</w:t>
            </w:r>
          </w:p>
        </w:tc>
        <w:tc>
          <w:tcPr>
            <w:tcW w:w="37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454955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منير ابراهيم هندي</w:t>
            </w:r>
          </w:p>
        </w:tc>
        <w:tc>
          <w:tcPr>
            <w:tcW w:w="46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454955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منشأة المعارف، الاسكندرية، 2002</w:t>
            </w:r>
          </w:p>
        </w:tc>
      </w:tr>
      <w:tr w:rsidR="00C754E5" w:rsidRPr="0050480E" w:rsidTr="004B4976">
        <w:trPr>
          <w:trHeight w:val="270"/>
          <w:jc w:val="center"/>
        </w:trPr>
        <w:tc>
          <w:tcPr>
            <w:tcW w:w="19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D56541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التمويل والادارة المالية للمؤسسات</w:t>
            </w:r>
          </w:p>
        </w:tc>
        <w:tc>
          <w:tcPr>
            <w:tcW w:w="379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D56541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اندرواس وليم عاطف</w:t>
            </w:r>
          </w:p>
        </w:tc>
        <w:tc>
          <w:tcPr>
            <w:tcW w:w="467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D56541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دار الفكر الجامعي ،2008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 xml:space="preserve">مراجع الدعم الإضافية (إن وجدت): 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F1E9A" w:rsidRPr="005F1E9A" w:rsidRDefault="005F1E9A" w:rsidP="005F1E9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7B4CA9">
              <w:rPr>
                <w:rFonts w:ascii="NewCaledoniaLTStd-SemiBd" w:hAnsi="NewCaledoniaLTStd-SemiBd" w:cs="NewCaledoniaLTStd-SemiBd"/>
                <w:i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5F1E9A" w:rsidRP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C34721" w:rsidRPr="007B4CA9" w:rsidRDefault="00C34721" w:rsidP="005F1E9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</w:p>
        </w:tc>
      </w:tr>
      <w:tr w:rsidR="00C34721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</w:t>
            </w:r>
          </w:p>
        </w:tc>
      </w:tr>
      <w:tr w:rsidR="00C34721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6313" w:type="dxa"/>
            <w:gridSpan w:val="12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2155" w:type="dxa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C754E5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  <w:proofErr w:type="gramEnd"/>
          </w:p>
        </w:tc>
        <w:tc>
          <w:tcPr>
            <w:tcW w:w="6313" w:type="dxa"/>
            <w:gridSpan w:val="12"/>
            <w:shd w:val="clear" w:color="auto" w:fill="auto"/>
          </w:tcPr>
          <w:p w:rsidR="00C754E5" w:rsidRPr="004513B5" w:rsidRDefault="00403D82" w:rsidP="00A8614B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نظرة العامة </w:t>
            </w:r>
            <w:proofErr w:type="gramStart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حول</w:t>
            </w:r>
            <w:proofErr w:type="gramEnd"/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محاور المقياس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45495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30/09/2024</w:t>
            </w:r>
          </w:p>
        </w:tc>
      </w:tr>
      <w:tr w:rsidR="004B4976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4B4976" w:rsidRPr="0058217A" w:rsidRDefault="004B497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  <w:proofErr w:type="gramEnd"/>
          </w:p>
        </w:tc>
        <w:tc>
          <w:tcPr>
            <w:tcW w:w="6313" w:type="dxa"/>
            <w:gridSpan w:val="12"/>
            <w:shd w:val="clear" w:color="auto" w:fill="auto"/>
          </w:tcPr>
          <w:p w:rsidR="004B4976" w:rsidRPr="00A8614B" w:rsidRDefault="004B4976" w:rsidP="00A8614B">
            <w:pPr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</w:rPr>
            </w:pPr>
            <w:r w:rsidRPr="00A8614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الازمات المالية</w:t>
            </w:r>
          </w:p>
        </w:tc>
        <w:tc>
          <w:tcPr>
            <w:tcW w:w="2155" w:type="dxa"/>
            <w:shd w:val="clear" w:color="auto" w:fill="auto"/>
          </w:tcPr>
          <w:p w:rsidR="004B4976" w:rsidRPr="0058217A" w:rsidRDefault="004B497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07/10/2024</w:t>
            </w:r>
          </w:p>
        </w:tc>
      </w:tr>
      <w:tr w:rsidR="004B4976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4B4976" w:rsidRPr="0058217A" w:rsidRDefault="004B497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  <w:proofErr w:type="gramEnd"/>
          </w:p>
        </w:tc>
        <w:tc>
          <w:tcPr>
            <w:tcW w:w="6313" w:type="dxa"/>
            <w:gridSpan w:val="12"/>
            <w:shd w:val="clear" w:color="auto" w:fill="auto"/>
          </w:tcPr>
          <w:p w:rsidR="004B4976" w:rsidRPr="00A8614B" w:rsidRDefault="004B4976" w:rsidP="00A8614B">
            <w:pPr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</w:rPr>
            </w:pPr>
            <w:r w:rsidRPr="00A8614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الازمات المالية</w:t>
            </w:r>
          </w:p>
        </w:tc>
        <w:tc>
          <w:tcPr>
            <w:tcW w:w="2155" w:type="dxa"/>
            <w:shd w:val="clear" w:color="auto" w:fill="auto"/>
          </w:tcPr>
          <w:p w:rsidR="004B4976" w:rsidRPr="0058217A" w:rsidRDefault="004B497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14/10/2024</w:t>
            </w:r>
          </w:p>
        </w:tc>
      </w:tr>
      <w:tr w:rsidR="004B4976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4B4976" w:rsidRPr="0058217A" w:rsidRDefault="004B497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  <w:proofErr w:type="gramEnd"/>
          </w:p>
        </w:tc>
        <w:tc>
          <w:tcPr>
            <w:tcW w:w="6313" w:type="dxa"/>
            <w:gridSpan w:val="12"/>
            <w:shd w:val="clear" w:color="auto" w:fill="auto"/>
          </w:tcPr>
          <w:p w:rsidR="004B4976" w:rsidRPr="00A8614B" w:rsidRDefault="004B4976" w:rsidP="00A8614B">
            <w:pPr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</w:rPr>
            </w:pPr>
            <w:r w:rsidRPr="00A8614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الازمات المالية</w:t>
            </w:r>
          </w:p>
        </w:tc>
        <w:tc>
          <w:tcPr>
            <w:tcW w:w="2155" w:type="dxa"/>
            <w:shd w:val="clear" w:color="auto" w:fill="auto"/>
          </w:tcPr>
          <w:p w:rsidR="004B4976" w:rsidRPr="0058217A" w:rsidRDefault="004B497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21/10/2024</w:t>
            </w:r>
          </w:p>
        </w:tc>
      </w:tr>
      <w:tr w:rsidR="004B4976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4B4976" w:rsidRPr="0058217A" w:rsidRDefault="004B497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  <w:proofErr w:type="gramEnd"/>
          </w:p>
        </w:tc>
        <w:tc>
          <w:tcPr>
            <w:tcW w:w="6313" w:type="dxa"/>
            <w:gridSpan w:val="12"/>
            <w:shd w:val="clear" w:color="auto" w:fill="auto"/>
          </w:tcPr>
          <w:p w:rsidR="004B4976" w:rsidRPr="00A8614B" w:rsidRDefault="004B4976" w:rsidP="00A8614B">
            <w:pPr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</w:rPr>
            </w:pPr>
            <w:proofErr w:type="gramStart"/>
            <w:r w:rsidRPr="00A8614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العملات</w:t>
            </w:r>
            <w:proofErr w:type="gramEnd"/>
            <w:r w:rsidRPr="00A8614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 xml:space="preserve"> الرقمية</w:t>
            </w:r>
          </w:p>
        </w:tc>
        <w:tc>
          <w:tcPr>
            <w:tcW w:w="2155" w:type="dxa"/>
            <w:shd w:val="clear" w:color="auto" w:fill="auto"/>
          </w:tcPr>
          <w:p w:rsidR="004B4976" w:rsidRPr="0058217A" w:rsidRDefault="004B497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28/10/2024</w:t>
            </w:r>
          </w:p>
        </w:tc>
      </w:tr>
      <w:tr w:rsidR="004B4976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4B4976" w:rsidRPr="0058217A" w:rsidRDefault="004B497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السادس</w:t>
            </w:r>
            <w:proofErr w:type="gramEnd"/>
          </w:p>
        </w:tc>
        <w:tc>
          <w:tcPr>
            <w:tcW w:w="6313" w:type="dxa"/>
            <w:gridSpan w:val="12"/>
            <w:shd w:val="clear" w:color="auto" w:fill="auto"/>
          </w:tcPr>
          <w:p w:rsidR="004B4976" w:rsidRPr="00A8614B" w:rsidRDefault="004B4976" w:rsidP="00A8614B">
            <w:pPr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</w:rPr>
            </w:pPr>
            <w:proofErr w:type="gramStart"/>
            <w:r w:rsidRPr="00A8614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التمويل</w:t>
            </w:r>
            <w:proofErr w:type="gramEnd"/>
            <w:r w:rsidRPr="00A8614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 xml:space="preserve"> الالكتروني</w:t>
            </w:r>
          </w:p>
        </w:tc>
        <w:tc>
          <w:tcPr>
            <w:tcW w:w="2155" w:type="dxa"/>
            <w:shd w:val="clear" w:color="auto" w:fill="auto"/>
          </w:tcPr>
          <w:p w:rsidR="004B4976" w:rsidRPr="0058217A" w:rsidRDefault="004B497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4/11/2024</w:t>
            </w:r>
          </w:p>
        </w:tc>
      </w:tr>
      <w:tr w:rsidR="004B4976" w:rsidRPr="0050480E" w:rsidTr="004B4976">
        <w:trPr>
          <w:trHeight w:val="445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4B4976" w:rsidRPr="0058217A" w:rsidRDefault="004B497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السابع</w:t>
            </w:r>
            <w:proofErr w:type="gramEnd"/>
          </w:p>
        </w:tc>
        <w:tc>
          <w:tcPr>
            <w:tcW w:w="6313" w:type="dxa"/>
            <w:gridSpan w:val="12"/>
            <w:shd w:val="clear" w:color="auto" w:fill="auto"/>
          </w:tcPr>
          <w:p w:rsidR="004B4976" w:rsidRPr="00A8614B" w:rsidRDefault="004B4976" w:rsidP="00A8614B">
            <w:pPr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</w:rPr>
            </w:pPr>
            <w:r w:rsidRPr="00A8614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الادارة المالية الالكترونية</w:t>
            </w:r>
          </w:p>
        </w:tc>
        <w:tc>
          <w:tcPr>
            <w:tcW w:w="2155" w:type="dxa"/>
            <w:shd w:val="clear" w:color="auto" w:fill="auto"/>
          </w:tcPr>
          <w:p w:rsidR="004B4976" w:rsidRPr="0058217A" w:rsidRDefault="004B497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  <w:proofErr w:type="gramEnd"/>
          </w:p>
        </w:tc>
        <w:tc>
          <w:tcPr>
            <w:tcW w:w="6313" w:type="dxa"/>
            <w:gridSpan w:val="12"/>
            <w:shd w:val="clear" w:color="auto" w:fill="auto"/>
          </w:tcPr>
          <w:p w:rsidR="00C754E5" w:rsidRPr="004513B5" w:rsidRDefault="004B4976" w:rsidP="00A8614B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 w:rsidRPr="004B4976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لادارة المالية الالكترونية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التاسع</w:t>
            </w:r>
            <w:proofErr w:type="gramEnd"/>
          </w:p>
        </w:tc>
        <w:tc>
          <w:tcPr>
            <w:tcW w:w="6313" w:type="dxa"/>
            <w:gridSpan w:val="12"/>
            <w:shd w:val="clear" w:color="auto" w:fill="auto"/>
          </w:tcPr>
          <w:p w:rsidR="00C754E5" w:rsidRPr="004513B5" w:rsidRDefault="004B4976" w:rsidP="00A8614B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 w:rsidRPr="00A8614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دراسة حالات مؤسسات المالية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العاشر</w:t>
            </w:r>
            <w:proofErr w:type="gramEnd"/>
          </w:p>
        </w:tc>
        <w:tc>
          <w:tcPr>
            <w:tcW w:w="6313" w:type="dxa"/>
            <w:gridSpan w:val="12"/>
            <w:shd w:val="clear" w:color="auto" w:fill="auto"/>
          </w:tcPr>
          <w:p w:rsidR="00C754E5" w:rsidRPr="004513B5" w:rsidRDefault="004B4976" w:rsidP="00A8614B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 w:rsidRPr="004B4976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دراسة حالات مؤسسات المالية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الحادي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313" w:type="dxa"/>
            <w:gridSpan w:val="12"/>
            <w:shd w:val="clear" w:color="auto" w:fill="auto"/>
          </w:tcPr>
          <w:p w:rsidR="00C754E5" w:rsidRPr="00A8614B" w:rsidRDefault="004B4976" w:rsidP="00A8614B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proofErr w:type="gramStart"/>
            <w:r w:rsidRPr="00A8614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الشمول</w:t>
            </w:r>
            <w:proofErr w:type="gramEnd"/>
            <w:r w:rsidRPr="00A8614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 xml:space="preserve"> المالي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4B4976">
        <w:trPr>
          <w:trHeight w:val="962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313" w:type="dxa"/>
            <w:gridSpan w:val="12"/>
            <w:shd w:val="clear" w:color="auto" w:fill="auto"/>
          </w:tcPr>
          <w:p w:rsidR="00C754E5" w:rsidRPr="004513B5" w:rsidRDefault="00A8614B" w:rsidP="00A8614B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jc w:val="center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 w:rsidRPr="00A8614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العلاقة بين مالية مؤسسة ومالية الاسواق</w:t>
            </w: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313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313" w:type="dxa"/>
            <w:gridSpan w:val="12"/>
            <w:shd w:val="clear" w:color="auto" w:fill="auto"/>
          </w:tcPr>
          <w:p w:rsidR="00C754E5" w:rsidRPr="004513B5" w:rsidRDefault="00C754E5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4B4976">
        <w:trPr>
          <w:trHeight w:val="464"/>
          <w:jc w:val="center"/>
        </w:trPr>
        <w:tc>
          <w:tcPr>
            <w:tcW w:w="1934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313" w:type="dxa"/>
            <w:gridSpan w:val="12"/>
            <w:shd w:val="clear" w:color="auto" w:fill="auto"/>
          </w:tcPr>
          <w:p w:rsidR="00C754E5" w:rsidRPr="004513B5" w:rsidRDefault="00C754E5" w:rsidP="007E03C8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5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A13AB" w:rsidRPr="0050480E" w:rsidTr="004B4976">
        <w:trPr>
          <w:trHeight w:val="352"/>
          <w:jc w:val="center"/>
        </w:trPr>
        <w:tc>
          <w:tcPr>
            <w:tcW w:w="1934" w:type="dxa"/>
            <w:gridSpan w:val="3"/>
            <w:vMerge w:val="restart"/>
            <w:shd w:val="clear" w:color="auto" w:fill="auto"/>
            <w:vAlign w:val="center"/>
          </w:tcPr>
          <w:p w:rsidR="005A13AB" w:rsidRPr="0058217A" w:rsidRDefault="005A13AB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313" w:type="dxa"/>
            <w:gridSpan w:val="12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امتحان نهاية السداسي</w:t>
            </w:r>
          </w:p>
        </w:tc>
        <w:tc>
          <w:tcPr>
            <w:tcW w:w="2155" w:type="dxa"/>
            <w:shd w:val="clear" w:color="auto" w:fill="auto"/>
          </w:tcPr>
          <w:p w:rsidR="005A13AB" w:rsidRPr="0058217A" w:rsidRDefault="00A8614B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لا</w:t>
            </w:r>
            <w:proofErr w:type="gramEnd"/>
            <w:r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 xml:space="preserve"> يوجد</w:t>
            </w:r>
          </w:p>
        </w:tc>
      </w:tr>
      <w:tr w:rsidR="005A13AB" w:rsidRPr="0050480E" w:rsidTr="004B4976">
        <w:trPr>
          <w:trHeight w:val="371"/>
          <w:jc w:val="center"/>
        </w:trPr>
        <w:tc>
          <w:tcPr>
            <w:tcW w:w="1934" w:type="dxa"/>
            <w:gridSpan w:val="3"/>
            <w:vMerge/>
            <w:shd w:val="clear" w:color="auto" w:fill="auto"/>
            <w:vAlign w:val="center"/>
          </w:tcPr>
          <w:p w:rsidR="005A13AB" w:rsidRPr="0058217A" w:rsidRDefault="005A13AB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313" w:type="dxa"/>
            <w:gridSpan w:val="12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2155" w:type="dxa"/>
            <w:shd w:val="clear" w:color="auto" w:fill="auto"/>
          </w:tcPr>
          <w:p w:rsidR="005A13AB" w:rsidRPr="0058217A" w:rsidRDefault="00A8614B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لايوجد</w:t>
            </w:r>
          </w:p>
        </w:tc>
      </w:tr>
      <w:tr w:rsidR="005A13AB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5A13AB" w:rsidRPr="00A5569E" w:rsidRDefault="005A13AB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 الشخصية المقررة للمادة</w:t>
            </w:r>
          </w:p>
        </w:tc>
      </w:tr>
      <w:tr w:rsidR="00C754E5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DA5155" w:rsidRPr="004517BB" w:rsidRDefault="00DA5155" w:rsidP="00A8614B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تقدم حصص الأعمال الموجهة </w:t>
            </w:r>
            <w:proofErr w:type="gramStart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على</w:t>
            </w:r>
            <w:proofErr w:type="gramEnd"/>
            <w:r w:rsidRPr="004517BB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شكل </w:t>
            </w:r>
            <w:r w:rsidR="00A8614B">
              <w:rPr>
                <w:rFonts w:ascii="Sakkal Majalla" w:hAnsi="Sakkal Majalla" w:cs="Sakkal Majalla" w:hint="cs"/>
                <w:sz w:val="30"/>
                <w:szCs w:val="30"/>
                <w:rtl/>
              </w:rPr>
              <w:t>ندوات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. </w:t>
            </w:r>
          </w:p>
          <w:p w:rsidR="005F1E9A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إعداد بطاقة قراءة حول </w:t>
            </w:r>
          </w:p>
          <w:p w:rsidR="00DA5155" w:rsidRPr="005F1E9A" w:rsidRDefault="00DA5155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lastRenderedPageBreak/>
              <w:t>استجواب تقييمي؛</w:t>
            </w:r>
          </w:p>
          <w:p w:rsidR="00DA5155" w:rsidRPr="004517BB" w:rsidRDefault="00DA5155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تقديم بطاقة قراءة لمحور 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تقييم الأسئلة التفاعلية للطلبة عبر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A5569E" w:rsidRPr="00A5569E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color w:val="FF0000"/>
                <w:sz w:val="26"/>
                <w:szCs w:val="26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إنشاء دردشة ومنتدى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الالكتروني</w:t>
            </w:r>
            <w:r w:rsidRPr="008571B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DZ"/>
              </w:rPr>
              <w:t>.</w:t>
            </w:r>
          </w:p>
        </w:tc>
      </w:tr>
      <w:tr w:rsidR="00C754E5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A5569E" w:rsidRDefault="00C754E5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مصادقات الهيئات الإدارية والبيداغوجية</w:t>
            </w:r>
          </w:p>
        </w:tc>
      </w:tr>
      <w:tr w:rsidR="00C754E5" w:rsidRPr="0050480E" w:rsidTr="00CF01C2">
        <w:trPr>
          <w:trHeight w:val="705"/>
          <w:jc w:val="center"/>
        </w:trPr>
        <w:tc>
          <w:tcPr>
            <w:tcW w:w="2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 أو الفرع أو التخصص (حسب المستوى)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31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C754E5" w:rsidRPr="0050480E" w:rsidTr="00CF01C2">
        <w:trPr>
          <w:trHeight w:val="1817"/>
          <w:jc w:val="center"/>
        </w:trPr>
        <w:tc>
          <w:tcPr>
            <w:tcW w:w="26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C754E5" w:rsidRPr="0050480E" w:rsidTr="00A5569E">
        <w:trPr>
          <w:trHeight w:val="778"/>
          <w:jc w:val="center"/>
        </w:trPr>
        <w:tc>
          <w:tcPr>
            <w:tcW w:w="10402" w:type="dxa"/>
            <w:gridSpan w:val="16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5C7BB6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90D" w:rsidRDefault="004D290D" w:rsidP="00343D69">
      <w:pPr>
        <w:spacing w:after="0" w:line="240" w:lineRule="auto"/>
      </w:pPr>
      <w:r>
        <w:separator/>
      </w:r>
    </w:p>
  </w:endnote>
  <w:endnote w:type="continuationSeparator" w:id="0">
    <w:p w:rsidR="004D290D" w:rsidRDefault="004D290D" w:rsidP="003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NewCaledoniaLTStd-SemiB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 w:rsidP="00343D6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 w:rsidR="00B75E23">
      <w:fldChar w:fldCharType="begin"/>
    </w:r>
    <w:r w:rsidR="00B75E23">
      <w:instrText xml:space="preserve"> PAGE   \* MERGEFORMAT </w:instrText>
    </w:r>
    <w:r w:rsidR="00B75E23">
      <w:fldChar w:fldCharType="separate"/>
    </w:r>
    <w:r w:rsidR="004D2BD9" w:rsidRPr="004D2BD9">
      <w:rPr>
        <w:rFonts w:asciiTheme="majorHAnsi" w:hAnsiTheme="majorHAnsi"/>
        <w:noProof/>
      </w:rPr>
      <w:t>2</w:t>
    </w:r>
    <w:r w:rsidR="00B75E23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90D" w:rsidRDefault="004D290D" w:rsidP="00343D69">
      <w:pPr>
        <w:spacing w:after="0" w:line="240" w:lineRule="auto"/>
      </w:pPr>
      <w:r>
        <w:separator/>
      </w:r>
    </w:p>
  </w:footnote>
  <w:footnote w:type="continuationSeparator" w:id="0">
    <w:p w:rsidR="004D290D" w:rsidRDefault="004D290D" w:rsidP="0034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2A49"/>
    <w:multiLevelType w:val="hybridMultilevel"/>
    <w:tmpl w:val="C9381110"/>
    <w:lvl w:ilvl="0" w:tplc="DF789A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C31AE"/>
    <w:multiLevelType w:val="hybridMultilevel"/>
    <w:tmpl w:val="CE52AB44"/>
    <w:lvl w:ilvl="0" w:tplc="30383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27A20"/>
    <w:multiLevelType w:val="hybridMultilevel"/>
    <w:tmpl w:val="BC3A8436"/>
    <w:lvl w:ilvl="0" w:tplc="7E3890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B9"/>
    <w:rsid w:val="00021A1E"/>
    <w:rsid w:val="00026CB3"/>
    <w:rsid w:val="00042834"/>
    <w:rsid w:val="0005403E"/>
    <w:rsid w:val="00080104"/>
    <w:rsid w:val="000A2CC2"/>
    <w:rsid w:val="000D7CD0"/>
    <w:rsid w:val="000F2B30"/>
    <w:rsid w:val="00146791"/>
    <w:rsid w:val="001A6846"/>
    <w:rsid w:val="001C12EC"/>
    <w:rsid w:val="002231DE"/>
    <w:rsid w:val="00247AA8"/>
    <w:rsid w:val="0028233F"/>
    <w:rsid w:val="002D32A2"/>
    <w:rsid w:val="002D7413"/>
    <w:rsid w:val="00310431"/>
    <w:rsid w:val="00343D69"/>
    <w:rsid w:val="003636DE"/>
    <w:rsid w:val="00366219"/>
    <w:rsid w:val="00376FE9"/>
    <w:rsid w:val="003A5367"/>
    <w:rsid w:val="00403D82"/>
    <w:rsid w:val="00454955"/>
    <w:rsid w:val="004B4976"/>
    <w:rsid w:val="004D290D"/>
    <w:rsid w:val="004D2BD9"/>
    <w:rsid w:val="00504441"/>
    <w:rsid w:val="00533F74"/>
    <w:rsid w:val="00544363"/>
    <w:rsid w:val="00563E57"/>
    <w:rsid w:val="0058217A"/>
    <w:rsid w:val="00591C6C"/>
    <w:rsid w:val="005A13AB"/>
    <w:rsid w:val="005B0C3F"/>
    <w:rsid w:val="005B7D4E"/>
    <w:rsid w:val="005C627B"/>
    <w:rsid w:val="005E22CE"/>
    <w:rsid w:val="005F1E9A"/>
    <w:rsid w:val="00617C6E"/>
    <w:rsid w:val="006728C4"/>
    <w:rsid w:val="006857D1"/>
    <w:rsid w:val="006A5D08"/>
    <w:rsid w:val="00724099"/>
    <w:rsid w:val="007B4CA9"/>
    <w:rsid w:val="007E03C8"/>
    <w:rsid w:val="008D0B93"/>
    <w:rsid w:val="008E08A8"/>
    <w:rsid w:val="008E7CD5"/>
    <w:rsid w:val="009258DC"/>
    <w:rsid w:val="0094783E"/>
    <w:rsid w:val="00981212"/>
    <w:rsid w:val="009D771D"/>
    <w:rsid w:val="009F7D79"/>
    <w:rsid w:val="00A17998"/>
    <w:rsid w:val="00A5569E"/>
    <w:rsid w:val="00A661FA"/>
    <w:rsid w:val="00A8614B"/>
    <w:rsid w:val="00A91ADB"/>
    <w:rsid w:val="00AE6434"/>
    <w:rsid w:val="00B432F3"/>
    <w:rsid w:val="00B52784"/>
    <w:rsid w:val="00B75E23"/>
    <w:rsid w:val="00BB1046"/>
    <w:rsid w:val="00BC484F"/>
    <w:rsid w:val="00C25017"/>
    <w:rsid w:val="00C34721"/>
    <w:rsid w:val="00C5263C"/>
    <w:rsid w:val="00C54D69"/>
    <w:rsid w:val="00C730A7"/>
    <w:rsid w:val="00C754E5"/>
    <w:rsid w:val="00C95252"/>
    <w:rsid w:val="00CB2779"/>
    <w:rsid w:val="00CF01C2"/>
    <w:rsid w:val="00D56541"/>
    <w:rsid w:val="00D57B68"/>
    <w:rsid w:val="00D836ED"/>
    <w:rsid w:val="00D84EAE"/>
    <w:rsid w:val="00DA5155"/>
    <w:rsid w:val="00E71FE6"/>
    <w:rsid w:val="00E77088"/>
    <w:rsid w:val="00E82A76"/>
    <w:rsid w:val="00E83EE7"/>
    <w:rsid w:val="00E911EE"/>
    <w:rsid w:val="00EA4872"/>
    <w:rsid w:val="00ED6BCE"/>
    <w:rsid w:val="00ED7162"/>
    <w:rsid w:val="00EE758D"/>
    <w:rsid w:val="00EF7A96"/>
    <w:rsid w:val="00F02BA7"/>
    <w:rsid w:val="00F12BB9"/>
    <w:rsid w:val="00F70AA2"/>
    <w:rsid w:val="00FA4384"/>
    <w:rsid w:val="00FD2A08"/>
    <w:rsid w:val="00FF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Admin</cp:lastModifiedBy>
  <cp:revision>4</cp:revision>
  <cp:lastPrinted>2023-02-27T21:31:00Z</cp:lastPrinted>
  <dcterms:created xsi:type="dcterms:W3CDTF">2024-11-25T15:51:00Z</dcterms:created>
  <dcterms:modified xsi:type="dcterms:W3CDTF">2024-11-25T16:02:00Z</dcterms:modified>
</cp:coreProperties>
</file>