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3186C" w14:textId="3F260B10" w:rsidR="005201D6" w:rsidRPr="000F06F2" w:rsidRDefault="005201D6">
      <w:pPr>
        <w:rPr>
          <w:b/>
          <w:bCs/>
          <w:sz w:val="46"/>
          <w:szCs w:val="46"/>
        </w:rPr>
      </w:pPr>
      <w:r w:rsidRPr="000F06F2">
        <w:rPr>
          <w:b/>
          <w:bCs/>
          <w:sz w:val="46"/>
          <w:szCs w:val="46"/>
        </w:rPr>
        <w:t>Corrigé 1</w:t>
      </w:r>
    </w:p>
    <w:p w14:paraId="1544276A" w14:textId="77777777" w:rsidR="001C3898" w:rsidRDefault="001C3898"/>
    <w:p w14:paraId="53F3B852" w14:textId="77777777" w:rsidR="00CC5101" w:rsidRPr="00260622" w:rsidRDefault="00CC5101" w:rsidP="00472EF1">
      <w:pPr>
        <w:pStyle w:val="p1"/>
        <w:numPr>
          <w:ilvl w:val="0"/>
          <w:numId w:val="2"/>
        </w:numPr>
        <w:divId w:val="1490749862"/>
        <w:rPr>
          <w:sz w:val="24"/>
          <w:szCs w:val="24"/>
        </w:rPr>
      </w:pPr>
      <w:r w:rsidRPr="00260622">
        <w:rPr>
          <w:rStyle w:val="s1"/>
          <w:sz w:val="24"/>
          <w:szCs w:val="24"/>
        </w:rPr>
        <w:t>Apollinaire, «Zone» (Alcools, 1913).</w:t>
      </w:r>
    </w:p>
    <w:p w14:paraId="47F307FE" w14:textId="77777777" w:rsidR="00CC5101" w:rsidRPr="00260622" w:rsidRDefault="00CC5101">
      <w:pPr>
        <w:pStyle w:val="p1"/>
        <w:divId w:val="1490749862"/>
        <w:rPr>
          <w:sz w:val="24"/>
          <w:szCs w:val="24"/>
        </w:rPr>
      </w:pPr>
      <w:r w:rsidRPr="00260622">
        <w:rPr>
          <w:rStyle w:val="s1"/>
          <w:sz w:val="24"/>
          <w:szCs w:val="24"/>
        </w:rPr>
        <w:t>Bergère, ô tour Eiffel, le troupeau des ponts bêle ce matin</w:t>
      </w:r>
    </w:p>
    <w:p w14:paraId="361434DC" w14:textId="77777777" w:rsidR="001C3898" w:rsidRPr="00260622" w:rsidRDefault="001C3898">
      <w:pPr>
        <w:pStyle w:val="p1"/>
        <w:divId w:val="1490749862"/>
        <w:rPr>
          <w:rStyle w:val="s1"/>
          <w:sz w:val="24"/>
          <w:szCs w:val="24"/>
        </w:rPr>
      </w:pPr>
    </w:p>
    <w:p w14:paraId="7C70449D" w14:textId="35AA2B3C" w:rsidR="00CC5101" w:rsidRPr="00260622" w:rsidRDefault="009627A9" w:rsidP="004A648D">
      <w:pPr>
        <w:pStyle w:val="p1"/>
        <w:jc w:val="both"/>
        <w:divId w:val="1490749862"/>
        <w:rPr>
          <w:sz w:val="24"/>
          <w:szCs w:val="24"/>
        </w:rPr>
      </w:pPr>
      <w:r w:rsidRPr="009627A9">
        <w:rPr>
          <w:rStyle w:val="s1"/>
          <w:sz w:val="24"/>
          <w:szCs w:val="24"/>
        </w:rPr>
        <w:t>•</w:t>
      </w:r>
      <w:r w:rsidR="00CC5101" w:rsidRPr="00260622">
        <w:rPr>
          <w:rStyle w:val="s1"/>
          <w:sz w:val="24"/>
          <w:szCs w:val="24"/>
        </w:rPr>
        <w:t xml:space="preserve">La métaphore filée (in </w:t>
      </w:r>
      <w:proofErr w:type="spellStart"/>
      <w:r w:rsidR="00CC5101" w:rsidRPr="00260622">
        <w:rPr>
          <w:rStyle w:val="s1"/>
          <w:sz w:val="24"/>
          <w:szCs w:val="24"/>
        </w:rPr>
        <w:t>praesentia</w:t>
      </w:r>
      <w:proofErr w:type="spellEnd"/>
      <w:r w:rsidR="00CC5101" w:rsidRPr="00260622">
        <w:rPr>
          <w:rStyle w:val="s1"/>
          <w:sz w:val="24"/>
          <w:szCs w:val="24"/>
        </w:rPr>
        <w:t>) donne à voir dans la tour Eiffel dominant les ponts (comparés 1 et 2) une bergère gardant son troupeau de moutons (</w:t>
      </w:r>
      <w:proofErr w:type="spellStart"/>
      <w:r w:rsidR="00CC5101" w:rsidRPr="00260622">
        <w:rPr>
          <w:rStyle w:val="s1"/>
          <w:sz w:val="24"/>
          <w:szCs w:val="24"/>
        </w:rPr>
        <w:t>compa-rants</w:t>
      </w:r>
      <w:proofErr w:type="spellEnd"/>
      <w:r w:rsidR="00CC5101" w:rsidRPr="00260622">
        <w:rPr>
          <w:rStyle w:val="s1"/>
          <w:sz w:val="24"/>
          <w:szCs w:val="24"/>
        </w:rPr>
        <w:t xml:space="preserve"> 1 et 2). La motivation (la qualité commune entre le comparant et le comparé) est implicite à travers les sèmes communs: verticalité de la tour et de la bergère, horizontalité et disposition linéaire des moutons et des ponts (le long de la Seine).</w:t>
      </w:r>
    </w:p>
    <w:p w14:paraId="7A054473" w14:textId="3D6E2451" w:rsidR="00CC5101" w:rsidRPr="00260622" w:rsidRDefault="00CC5101" w:rsidP="004A648D">
      <w:pPr>
        <w:pStyle w:val="p1"/>
        <w:jc w:val="both"/>
        <w:divId w:val="1490749862"/>
        <w:rPr>
          <w:sz w:val="24"/>
          <w:szCs w:val="24"/>
        </w:rPr>
      </w:pPr>
      <w:r w:rsidRPr="00260622">
        <w:rPr>
          <w:rStyle w:val="s1"/>
          <w:sz w:val="24"/>
          <w:szCs w:val="24"/>
        </w:rPr>
        <w:t xml:space="preserve">La référence aux moutons est donnée par l'emploi du verbe bêle, qui introduit en outre une métaphore in </w:t>
      </w:r>
      <w:proofErr w:type="spellStart"/>
      <w:r w:rsidRPr="00260622">
        <w:rPr>
          <w:rStyle w:val="s1"/>
          <w:sz w:val="24"/>
          <w:szCs w:val="24"/>
        </w:rPr>
        <w:t>absentia</w:t>
      </w:r>
      <w:proofErr w:type="spellEnd"/>
      <w:r w:rsidRPr="00260622">
        <w:rPr>
          <w:rStyle w:val="s1"/>
          <w:sz w:val="24"/>
          <w:szCs w:val="24"/>
        </w:rPr>
        <w:t xml:space="preserve">: ces bêlements peuvent désigner le bruit des automobiles. </w:t>
      </w:r>
    </w:p>
    <w:p w14:paraId="116970F7" w14:textId="77777777" w:rsidR="005201D6" w:rsidRDefault="005201D6">
      <w:pPr>
        <w:rPr>
          <w:sz w:val="24"/>
          <w:szCs w:val="24"/>
        </w:rPr>
      </w:pPr>
    </w:p>
    <w:p w14:paraId="530AD75E" w14:textId="77777777" w:rsidR="009627A9" w:rsidRPr="009627A9" w:rsidRDefault="009627A9" w:rsidP="00472EF1">
      <w:pPr>
        <w:pStyle w:val="p1"/>
        <w:numPr>
          <w:ilvl w:val="0"/>
          <w:numId w:val="1"/>
        </w:numPr>
        <w:jc w:val="both"/>
        <w:divId w:val="1076319940"/>
        <w:rPr>
          <w:sz w:val="24"/>
          <w:szCs w:val="24"/>
        </w:rPr>
      </w:pPr>
      <w:r w:rsidRPr="009627A9">
        <w:rPr>
          <w:rStyle w:val="s1"/>
          <w:sz w:val="24"/>
          <w:szCs w:val="24"/>
        </w:rPr>
        <w:t xml:space="preserve">Voici le premier et le dernier vers d'un poème célèbre </w:t>
      </w:r>
      <w:proofErr w:type="spellStart"/>
      <w:r w:rsidRPr="009627A9">
        <w:rPr>
          <w:rStyle w:val="s1"/>
          <w:sz w:val="24"/>
          <w:szCs w:val="24"/>
        </w:rPr>
        <w:t>d'Éluard</w:t>
      </w:r>
      <w:proofErr w:type="spellEnd"/>
      <w:r w:rsidRPr="009627A9">
        <w:rPr>
          <w:rStyle w:val="s1"/>
          <w:sz w:val="24"/>
          <w:szCs w:val="24"/>
        </w:rPr>
        <w:t xml:space="preserve"> dans Capitale de la douleur (1926):</w:t>
      </w:r>
    </w:p>
    <w:p w14:paraId="61F500B8" w14:textId="77777777" w:rsidR="009627A9" w:rsidRPr="009627A9" w:rsidRDefault="009627A9" w:rsidP="009627A9">
      <w:pPr>
        <w:pStyle w:val="p1"/>
        <w:jc w:val="both"/>
        <w:divId w:val="1076319940"/>
        <w:rPr>
          <w:sz w:val="24"/>
          <w:szCs w:val="24"/>
        </w:rPr>
      </w:pPr>
      <w:r w:rsidRPr="009627A9">
        <w:rPr>
          <w:rStyle w:val="s1"/>
          <w:sz w:val="24"/>
          <w:szCs w:val="24"/>
        </w:rPr>
        <w:t>La courbe de tes yeux fait le tour de mon cœur</w:t>
      </w:r>
    </w:p>
    <w:p w14:paraId="0F298F4E" w14:textId="77777777" w:rsidR="009627A9" w:rsidRPr="009627A9" w:rsidRDefault="009627A9" w:rsidP="009627A9">
      <w:pPr>
        <w:pStyle w:val="p1"/>
        <w:jc w:val="both"/>
        <w:divId w:val="1076319940"/>
        <w:rPr>
          <w:sz w:val="24"/>
          <w:szCs w:val="24"/>
        </w:rPr>
      </w:pPr>
      <w:r w:rsidRPr="009627A9">
        <w:rPr>
          <w:rStyle w:val="s1"/>
          <w:sz w:val="24"/>
          <w:szCs w:val="24"/>
        </w:rPr>
        <w:t>(v. 1)</w:t>
      </w:r>
    </w:p>
    <w:p w14:paraId="486B4B7F" w14:textId="77777777" w:rsidR="009627A9" w:rsidRPr="009627A9" w:rsidRDefault="009627A9" w:rsidP="009627A9">
      <w:pPr>
        <w:pStyle w:val="p1"/>
        <w:jc w:val="both"/>
        <w:divId w:val="1076319940"/>
        <w:rPr>
          <w:sz w:val="24"/>
          <w:szCs w:val="24"/>
        </w:rPr>
      </w:pPr>
      <w:r w:rsidRPr="009627A9">
        <w:rPr>
          <w:rStyle w:val="s1"/>
          <w:sz w:val="24"/>
          <w:szCs w:val="24"/>
        </w:rPr>
        <w:t>Et tout mon sang coule dans leurs regards</w:t>
      </w:r>
    </w:p>
    <w:p w14:paraId="573C2EC3" w14:textId="77777777" w:rsidR="009627A9" w:rsidRDefault="009627A9" w:rsidP="009627A9">
      <w:pPr>
        <w:pStyle w:val="p1"/>
        <w:jc w:val="both"/>
        <w:divId w:val="1076319940"/>
        <w:rPr>
          <w:rStyle w:val="s1"/>
          <w:sz w:val="24"/>
          <w:szCs w:val="24"/>
        </w:rPr>
      </w:pPr>
      <w:r w:rsidRPr="009627A9">
        <w:rPr>
          <w:rStyle w:val="s1"/>
          <w:sz w:val="24"/>
          <w:szCs w:val="24"/>
        </w:rPr>
        <w:t>(v. 15)</w:t>
      </w:r>
    </w:p>
    <w:p w14:paraId="4904D5CB" w14:textId="77777777" w:rsidR="009627A9" w:rsidRPr="009627A9" w:rsidRDefault="009627A9" w:rsidP="009627A9">
      <w:pPr>
        <w:pStyle w:val="p1"/>
        <w:jc w:val="both"/>
        <w:divId w:val="1076319940"/>
        <w:rPr>
          <w:sz w:val="24"/>
          <w:szCs w:val="24"/>
        </w:rPr>
      </w:pPr>
    </w:p>
    <w:p w14:paraId="3ADAD0B2" w14:textId="77777777" w:rsidR="009627A9" w:rsidRDefault="009627A9" w:rsidP="009627A9">
      <w:pPr>
        <w:pStyle w:val="p1"/>
        <w:jc w:val="both"/>
        <w:divId w:val="1076319940"/>
        <w:rPr>
          <w:rStyle w:val="s1"/>
          <w:sz w:val="24"/>
          <w:szCs w:val="24"/>
        </w:rPr>
      </w:pPr>
      <w:r w:rsidRPr="009627A9">
        <w:rPr>
          <w:rStyle w:val="s1"/>
          <w:sz w:val="24"/>
          <w:szCs w:val="24"/>
        </w:rPr>
        <w:t xml:space="preserve">• L'écriture de ces deux vers est telle qu'ils peuvent être lus comme s'ils se succédaient alors qu'ils ouvrent et ferment le poème. Par un effet de lecture </w:t>
      </w:r>
      <w:proofErr w:type="spellStart"/>
      <w:r w:rsidRPr="009627A9">
        <w:rPr>
          <w:rStyle w:val="s1"/>
          <w:sz w:val="24"/>
          <w:szCs w:val="24"/>
        </w:rPr>
        <w:t>rétrospec-tive</w:t>
      </w:r>
      <w:proofErr w:type="spellEnd"/>
      <w:r w:rsidRPr="009627A9">
        <w:rPr>
          <w:rStyle w:val="s1"/>
          <w:sz w:val="24"/>
          <w:szCs w:val="24"/>
        </w:rPr>
        <w:t>, le mot cœur, compris comme le siège de l'amour dans le contexte du premier vers, reçoit aussi, grâce aux mots sang et coule du dernier vers, le sens d'organe assurant la circulation du sang. La syllepse de sens présente donc l'amour comme un sentiment absolument vital pour le je poétique (ce que confirment d'autres vers du poème).</w:t>
      </w:r>
    </w:p>
    <w:p w14:paraId="6EE3233F" w14:textId="77777777" w:rsidR="003D6B7D" w:rsidRDefault="003D6B7D" w:rsidP="009627A9">
      <w:pPr>
        <w:pStyle w:val="p1"/>
        <w:jc w:val="both"/>
        <w:divId w:val="1076319940"/>
        <w:rPr>
          <w:rStyle w:val="s1"/>
          <w:sz w:val="24"/>
          <w:szCs w:val="24"/>
        </w:rPr>
      </w:pPr>
    </w:p>
    <w:p w14:paraId="25AF0628" w14:textId="77777777" w:rsidR="003D6B7D" w:rsidRPr="009627A9" w:rsidRDefault="003D6B7D" w:rsidP="009627A9">
      <w:pPr>
        <w:pStyle w:val="p1"/>
        <w:jc w:val="both"/>
        <w:divId w:val="1076319940"/>
        <w:rPr>
          <w:sz w:val="24"/>
          <w:szCs w:val="24"/>
        </w:rPr>
      </w:pPr>
    </w:p>
    <w:p w14:paraId="468BE8C6" w14:textId="77777777" w:rsidR="003D6B7D" w:rsidRPr="00B46C4F" w:rsidRDefault="003D6B7D" w:rsidP="003D6B7D">
      <w:pPr>
        <w:pStyle w:val="li1"/>
        <w:numPr>
          <w:ilvl w:val="0"/>
          <w:numId w:val="3"/>
        </w:numPr>
        <w:rPr>
          <w:rFonts w:asciiTheme="majorBidi" w:eastAsia="Times New Roman" w:hAnsiTheme="majorBidi" w:cstheme="majorBidi"/>
          <w:sz w:val="28"/>
          <w:szCs w:val="28"/>
        </w:rPr>
      </w:pPr>
      <w:r w:rsidRPr="00B46C4F">
        <w:rPr>
          <w:rStyle w:val="s1"/>
          <w:rFonts w:asciiTheme="majorBidi" w:hAnsiTheme="majorBidi" w:cstheme="majorBidi"/>
          <w:sz w:val="28"/>
          <w:szCs w:val="28"/>
        </w:rPr>
        <w:t>D'âme égoïste en un corps éperdu, les choses à son avis tournent bien quand sa robe tourne en tulipe et tout le reste au désordre. (</w:t>
      </w:r>
      <w:r w:rsidRPr="00B46C4F">
        <w:rPr>
          <w:rStyle w:val="s1"/>
          <w:rFonts w:asciiTheme="majorBidi" w:eastAsia="Times New Roman" w:hAnsiTheme="majorBidi" w:cstheme="majorBidi"/>
          <w:sz w:val="28"/>
          <w:szCs w:val="28"/>
        </w:rPr>
        <w:t xml:space="preserve">poème de </w:t>
      </w:r>
      <w:proofErr w:type="spellStart"/>
      <w:r w:rsidRPr="00B46C4F">
        <w:rPr>
          <w:rStyle w:val="s1"/>
          <w:rFonts w:asciiTheme="majorBidi" w:eastAsia="Times New Roman" w:hAnsiTheme="majorBidi" w:cstheme="majorBidi"/>
          <w:sz w:val="28"/>
          <w:szCs w:val="28"/>
        </w:rPr>
        <w:t>Ponge</w:t>
      </w:r>
      <w:proofErr w:type="spellEnd"/>
      <w:r w:rsidRPr="00B46C4F">
        <w:rPr>
          <w:rFonts w:asciiTheme="majorBidi" w:eastAsia="Times New Roman" w:hAnsiTheme="majorBidi" w:cstheme="majorBidi"/>
          <w:sz w:val="28"/>
          <w:szCs w:val="28"/>
        </w:rPr>
        <w:t xml:space="preserve"> </w:t>
      </w:r>
      <w:r w:rsidRPr="00B46C4F">
        <w:rPr>
          <w:rStyle w:val="s1"/>
          <w:rFonts w:asciiTheme="majorBidi" w:eastAsia="Times New Roman" w:hAnsiTheme="majorBidi" w:cstheme="majorBidi"/>
          <w:sz w:val="28"/>
          <w:szCs w:val="28"/>
        </w:rPr>
        <w:t>«La Danseuse» (Pièces, 1961).</w:t>
      </w:r>
    </w:p>
    <w:p w14:paraId="006DCF45" w14:textId="77777777" w:rsidR="003D6B7D" w:rsidRPr="009F1260" w:rsidRDefault="003D6B7D" w:rsidP="00930561">
      <w:pPr>
        <w:pStyle w:val="p1"/>
        <w:rPr>
          <w:rFonts w:asciiTheme="majorBidi" w:hAnsiTheme="majorBidi" w:cstheme="majorBidi"/>
          <w:sz w:val="24"/>
          <w:szCs w:val="24"/>
        </w:rPr>
      </w:pPr>
    </w:p>
    <w:p w14:paraId="0B937EFA" w14:textId="77777777" w:rsidR="009127DB" w:rsidRPr="009F1260" w:rsidRDefault="009127DB">
      <w:pPr>
        <w:pStyle w:val="p1"/>
        <w:divId w:val="394356145"/>
        <w:rPr>
          <w:rStyle w:val="s1"/>
          <w:sz w:val="24"/>
          <w:szCs w:val="24"/>
        </w:rPr>
      </w:pPr>
      <w:r w:rsidRPr="009F1260">
        <w:rPr>
          <w:rStyle w:val="s1"/>
          <w:sz w:val="24"/>
          <w:szCs w:val="24"/>
        </w:rPr>
        <w:t>La concision et la cohérence de l'expression sont favorisées par de nombreuses figures de signification et de construction, accentuant ainsi la charge, la densité satirique de ce début de poème en prose.</w:t>
      </w:r>
    </w:p>
    <w:p w14:paraId="49EB0AE3" w14:textId="77777777" w:rsidR="009F1260" w:rsidRPr="009F1260" w:rsidRDefault="009F1260">
      <w:pPr>
        <w:pStyle w:val="p1"/>
        <w:divId w:val="394356145"/>
        <w:rPr>
          <w:sz w:val="24"/>
          <w:szCs w:val="24"/>
        </w:rPr>
      </w:pPr>
    </w:p>
    <w:p w14:paraId="347AE475" w14:textId="77777777" w:rsidR="009127DB" w:rsidRPr="009F1260" w:rsidRDefault="009127DB" w:rsidP="009127DB">
      <w:pPr>
        <w:pStyle w:val="li1"/>
        <w:numPr>
          <w:ilvl w:val="0"/>
          <w:numId w:val="4"/>
        </w:numPr>
        <w:divId w:val="394356145"/>
        <w:rPr>
          <w:rFonts w:eastAsia="Times New Roman"/>
          <w:sz w:val="24"/>
          <w:szCs w:val="24"/>
        </w:rPr>
      </w:pPr>
      <w:r w:rsidRPr="009F1260">
        <w:rPr>
          <w:rStyle w:val="s1"/>
          <w:rFonts w:ascii="Courier New" w:eastAsia="Times New Roman" w:hAnsi="Courier New" w:cs="Courier New"/>
          <w:sz w:val="24"/>
          <w:szCs w:val="24"/>
        </w:rPr>
        <w:t>﻿﻿</w:t>
      </w:r>
      <w:r w:rsidRPr="009F1260">
        <w:rPr>
          <w:rStyle w:val="s1"/>
          <w:rFonts w:eastAsia="Times New Roman"/>
          <w:sz w:val="24"/>
          <w:szCs w:val="24"/>
        </w:rPr>
        <w:t>Un jeu de mots (un calembour) fondé sur l'homophonie fait entendre à la fois</w:t>
      </w:r>
    </w:p>
    <w:p w14:paraId="699B39B6" w14:textId="77777777" w:rsidR="009127DB" w:rsidRPr="009F1260" w:rsidRDefault="009127DB" w:rsidP="009127DB">
      <w:pPr>
        <w:pStyle w:val="li1"/>
        <w:numPr>
          <w:ilvl w:val="0"/>
          <w:numId w:val="4"/>
        </w:numPr>
        <w:divId w:val="394356145"/>
        <w:rPr>
          <w:rFonts w:eastAsia="Times New Roman"/>
          <w:sz w:val="24"/>
          <w:szCs w:val="24"/>
        </w:rPr>
      </w:pPr>
      <w:r w:rsidRPr="009F1260">
        <w:rPr>
          <w:rStyle w:val="s1"/>
          <w:rFonts w:eastAsia="Times New Roman"/>
          <w:sz w:val="24"/>
          <w:szCs w:val="24"/>
        </w:rPr>
        <w:t>«D'âme» et «Dame»: attribué à son âme, l'égoïsme de la danseuse n'en parait que plus essentiel.</w:t>
      </w:r>
    </w:p>
    <w:p w14:paraId="0301F9D3" w14:textId="77777777" w:rsidR="009127DB" w:rsidRPr="009F1260" w:rsidRDefault="009127DB" w:rsidP="009127DB">
      <w:pPr>
        <w:pStyle w:val="li1"/>
        <w:numPr>
          <w:ilvl w:val="0"/>
          <w:numId w:val="4"/>
        </w:numPr>
        <w:divId w:val="394356145"/>
        <w:rPr>
          <w:rFonts w:eastAsia="Times New Roman"/>
          <w:sz w:val="24"/>
          <w:szCs w:val="24"/>
        </w:rPr>
      </w:pPr>
      <w:r w:rsidRPr="009F1260">
        <w:rPr>
          <w:rStyle w:val="s1"/>
          <w:rFonts w:ascii="Courier New" w:eastAsia="Times New Roman" w:hAnsi="Courier New" w:cs="Courier New"/>
          <w:sz w:val="24"/>
          <w:szCs w:val="24"/>
        </w:rPr>
        <w:t>﻿﻿</w:t>
      </w:r>
      <w:r w:rsidRPr="009F1260">
        <w:rPr>
          <w:rStyle w:val="s1"/>
          <w:rFonts w:eastAsia="Times New Roman"/>
          <w:sz w:val="24"/>
          <w:szCs w:val="24"/>
        </w:rPr>
        <w:t>Le parallélisme de la construction (nom-adjectif/nom-adjectif) met en valeur une double antithèse, celle - évidente - des noms «âme » et «corps» et celle des adjectifs, rapprochés par leur première syllabe et opposés par l'idée d'un mouvement vers soi (« égoïste») ou expansif («éperdu»). Une autre antithèse oppose les mots «bien » et « désordre», confirmant l'égoïsme de la danseuse.</w:t>
      </w:r>
    </w:p>
    <w:p w14:paraId="7DD9CD0B" w14:textId="77777777" w:rsidR="009127DB" w:rsidRPr="009F1260" w:rsidRDefault="009127DB" w:rsidP="009127DB">
      <w:pPr>
        <w:pStyle w:val="li1"/>
        <w:numPr>
          <w:ilvl w:val="0"/>
          <w:numId w:val="4"/>
        </w:numPr>
        <w:divId w:val="394356145"/>
        <w:rPr>
          <w:rFonts w:eastAsia="Times New Roman"/>
          <w:sz w:val="24"/>
          <w:szCs w:val="24"/>
        </w:rPr>
      </w:pPr>
      <w:r w:rsidRPr="009F1260">
        <w:rPr>
          <w:rStyle w:val="s1"/>
          <w:rFonts w:ascii="Courier New" w:eastAsia="Times New Roman" w:hAnsi="Courier New" w:cs="Courier New"/>
          <w:sz w:val="24"/>
          <w:szCs w:val="24"/>
        </w:rPr>
        <w:t>﻿﻿</w:t>
      </w:r>
      <w:r w:rsidRPr="009F1260">
        <w:rPr>
          <w:rStyle w:val="s1"/>
          <w:rFonts w:eastAsia="Times New Roman"/>
          <w:sz w:val="24"/>
          <w:szCs w:val="24"/>
        </w:rPr>
        <w:t xml:space="preserve">Cet égoïsme est aussi accentué par la répétition du verbe tourner, qui met sur le même plan «les choses» et « sa robe», puis par l'ellipse du même verbe qui rapproche pour mieux les opposer «sa robe» et «tout le reste» dans une </w:t>
      </w:r>
      <w:r w:rsidRPr="009F1260">
        <w:rPr>
          <w:rStyle w:val="s1"/>
          <w:rFonts w:eastAsia="Times New Roman"/>
          <w:sz w:val="24"/>
          <w:szCs w:val="24"/>
        </w:rPr>
        <w:lastRenderedPageBreak/>
        <w:t xml:space="preserve">construction symétrique. </w:t>
      </w:r>
      <w:proofErr w:type="spellStart"/>
      <w:r w:rsidRPr="009F1260">
        <w:rPr>
          <w:rStyle w:val="s1"/>
          <w:rFonts w:eastAsia="Times New Roman"/>
          <w:sz w:val="24"/>
          <w:szCs w:val="24"/>
        </w:rPr>
        <w:t>L'antanaclase</w:t>
      </w:r>
      <w:proofErr w:type="spellEnd"/>
      <w:r w:rsidRPr="009F1260">
        <w:rPr>
          <w:rStyle w:val="s1"/>
          <w:rFonts w:eastAsia="Times New Roman"/>
          <w:sz w:val="24"/>
          <w:szCs w:val="24"/>
        </w:rPr>
        <w:t xml:space="preserve"> portant sur les deux sens du verbe tourner donne la même importance à la marche des « choses» et au mouvement de la robe de la danseuse.</w:t>
      </w:r>
    </w:p>
    <w:p w14:paraId="279C2473" w14:textId="77777777" w:rsidR="009127DB" w:rsidRPr="009F1260" w:rsidRDefault="009127DB" w:rsidP="009127DB">
      <w:pPr>
        <w:pStyle w:val="li1"/>
        <w:numPr>
          <w:ilvl w:val="0"/>
          <w:numId w:val="4"/>
        </w:numPr>
        <w:divId w:val="394356145"/>
        <w:rPr>
          <w:rFonts w:eastAsia="Times New Roman"/>
          <w:sz w:val="24"/>
          <w:szCs w:val="24"/>
        </w:rPr>
      </w:pPr>
      <w:r w:rsidRPr="009F1260">
        <w:rPr>
          <w:rStyle w:val="s1"/>
          <w:rFonts w:ascii="Courier New" w:eastAsia="Times New Roman" w:hAnsi="Courier New" w:cs="Courier New"/>
          <w:sz w:val="24"/>
          <w:szCs w:val="24"/>
        </w:rPr>
        <w:t>﻿﻿</w:t>
      </w:r>
      <w:r w:rsidRPr="009F1260">
        <w:rPr>
          <w:rStyle w:val="s1"/>
          <w:rFonts w:eastAsia="Times New Roman"/>
          <w:sz w:val="24"/>
          <w:szCs w:val="24"/>
        </w:rPr>
        <w:t>Deux anacoluthes («D'âme» / «les choses» et «tourne en» / [tourne) «</w:t>
      </w:r>
      <w:proofErr w:type="spellStart"/>
      <w:r w:rsidRPr="009F1260">
        <w:rPr>
          <w:rStyle w:val="s1"/>
          <w:rFonts w:eastAsia="Times New Roman"/>
          <w:sz w:val="24"/>
          <w:szCs w:val="24"/>
        </w:rPr>
        <w:t>qu</w:t>
      </w:r>
      <w:proofErr w:type="spellEnd"/>
      <w:r w:rsidRPr="009F1260">
        <w:rPr>
          <w:rStyle w:val="s1"/>
          <w:rFonts w:eastAsia="Times New Roman"/>
          <w:sz w:val="24"/>
          <w:szCs w:val="24"/>
        </w:rPr>
        <w:t>»)</w:t>
      </w:r>
      <w:r w:rsidRPr="009F1260">
        <w:rPr>
          <w:rFonts w:eastAsia="Times New Roman"/>
          <w:sz w:val="24"/>
          <w:szCs w:val="24"/>
        </w:rPr>
        <w:br/>
      </w:r>
      <w:r w:rsidRPr="009F1260">
        <w:rPr>
          <w:rStyle w:val="s1"/>
          <w:rFonts w:eastAsia="Times New Roman"/>
          <w:sz w:val="24"/>
          <w:szCs w:val="24"/>
        </w:rPr>
        <w:t>rendent sensible l'idée de « désordre».</w:t>
      </w:r>
    </w:p>
    <w:p w14:paraId="2C2F0727" w14:textId="77777777" w:rsidR="009127DB" w:rsidRPr="009F1260" w:rsidRDefault="009127DB" w:rsidP="009127DB">
      <w:pPr>
        <w:pStyle w:val="li1"/>
        <w:numPr>
          <w:ilvl w:val="0"/>
          <w:numId w:val="4"/>
        </w:numPr>
        <w:divId w:val="394356145"/>
        <w:rPr>
          <w:rFonts w:eastAsia="Times New Roman"/>
          <w:sz w:val="24"/>
          <w:szCs w:val="24"/>
        </w:rPr>
      </w:pPr>
      <w:r w:rsidRPr="009F1260">
        <w:rPr>
          <w:rStyle w:val="s1"/>
          <w:rFonts w:ascii="Courier New" w:eastAsia="Times New Roman" w:hAnsi="Courier New" w:cs="Courier New"/>
          <w:sz w:val="24"/>
          <w:szCs w:val="24"/>
        </w:rPr>
        <w:t>﻿﻿</w:t>
      </w:r>
      <w:r w:rsidRPr="009F1260">
        <w:rPr>
          <w:rStyle w:val="s1"/>
          <w:rFonts w:eastAsia="Times New Roman"/>
          <w:sz w:val="24"/>
          <w:szCs w:val="24"/>
        </w:rPr>
        <w:t xml:space="preserve">Ce désordre est-il produit par la forme «en tulipe» que prend sa robe, la </w:t>
      </w:r>
      <w:proofErr w:type="spellStart"/>
      <w:r w:rsidRPr="009F1260">
        <w:rPr>
          <w:rStyle w:val="s1"/>
          <w:rFonts w:eastAsia="Times New Roman"/>
          <w:sz w:val="24"/>
          <w:szCs w:val="24"/>
        </w:rPr>
        <w:t>meta-phore</w:t>
      </w:r>
      <w:proofErr w:type="spellEnd"/>
      <w:r w:rsidRPr="009F1260">
        <w:rPr>
          <w:rStyle w:val="s1"/>
          <w:rFonts w:eastAsia="Times New Roman"/>
          <w:sz w:val="24"/>
          <w:szCs w:val="24"/>
        </w:rPr>
        <w:t xml:space="preserve"> suggérant qu'elle veille à montrer ses jambes? Ou est-il mentionné pour accentuer le narcissisme de cette dame qui ne se soucie nullement de «tout le reste» du monde? Quelle que soit l'interprétation retenue, elle ne lui est pas favorable et le lecteur est d'autant plus disposé à adopter ce point de vue </w:t>
      </w:r>
      <w:proofErr w:type="spellStart"/>
      <w:r w:rsidRPr="009F1260">
        <w:rPr>
          <w:rStyle w:val="s1"/>
          <w:rFonts w:eastAsia="Times New Roman"/>
          <w:sz w:val="24"/>
          <w:szCs w:val="24"/>
        </w:rPr>
        <w:t>quil</w:t>
      </w:r>
      <w:proofErr w:type="spellEnd"/>
      <w:r w:rsidRPr="009F1260">
        <w:rPr>
          <w:rStyle w:val="s1"/>
          <w:rFonts w:eastAsia="Times New Roman"/>
          <w:sz w:val="24"/>
          <w:szCs w:val="24"/>
        </w:rPr>
        <w:t xml:space="preserve"> peut goûter à la fois la prouesse que constitue cette accumulation de figures et leur effet humoristique.</w:t>
      </w:r>
    </w:p>
    <w:p w14:paraId="0FB54DA8" w14:textId="77777777" w:rsidR="003D6B7D" w:rsidRPr="009F1260" w:rsidRDefault="003D6B7D" w:rsidP="00930561">
      <w:pPr>
        <w:rPr>
          <w:rFonts w:asciiTheme="majorBidi" w:hAnsiTheme="majorBidi" w:cstheme="majorBidi"/>
          <w:sz w:val="24"/>
          <w:szCs w:val="24"/>
        </w:rPr>
      </w:pPr>
    </w:p>
    <w:p w14:paraId="79EACF84" w14:textId="77777777" w:rsidR="009627A9" w:rsidRPr="009F1260" w:rsidRDefault="009627A9" w:rsidP="009627A9">
      <w:pPr>
        <w:jc w:val="both"/>
        <w:rPr>
          <w:sz w:val="24"/>
          <w:szCs w:val="24"/>
        </w:rPr>
      </w:pPr>
    </w:p>
    <w:p w14:paraId="533EF2A6" w14:textId="77777777" w:rsidR="00151FB7" w:rsidRPr="009F1260" w:rsidRDefault="00151FB7" w:rsidP="009627A9">
      <w:pPr>
        <w:jc w:val="both"/>
        <w:rPr>
          <w:sz w:val="24"/>
          <w:szCs w:val="24"/>
        </w:rPr>
      </w:pPr>
    </w:p>
    <w:sectPr w:rsidR="00151FB7" w:rsidRPr="009F12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61F37"/>
    <w:multiLevelType w:val="hybridMultilevel"/>
    <w:tmpl w:val="8D0A26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88F653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04783E"/>
    <w:multiLevelType w:val="hybridMultilevel"/>
    <w:tmpl w:val="71CAE2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0385AA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3286155">
    <w:abstractNumId w:val="0"/>
  </w:num>
  <w:num w:numId="2" w16cid:durableId="1346251540">
    <w:abstractNumId w:val="2"/>
  </w:num>
  <w:num w:numId="3" w16cid:durableId="1861773585">
    <w:abstractNumId w:val="3"/>
  </w:num>
  <w:num w:numId="4" w16cid:durableId="798454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1D6"/>
    <w:rsid w:val="000F06F2"/>
    <w:rsid w:val="00151FB7"/>
    <w:rsid w:val="001C3898"/>
    <w:rsid w:val="00260622"/>
    <w:rsid w:val="003D6B7D"/>
    <w:rsid w:val="00472EF1"/>
    <w:rsid w:val="004A648D"/>
    <w:rsid w:val="005201D6"/>
    <w:rsid w:val="009127DB"/>
    <w:rsid w:val="009627A9"/>
    <w:rsid w:val="009F1260"/>
    <w:rsid w:val="00CC510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4:docId w14:val="5A198827"/>
  <w15:chartTrackingRefBased/>
  <w15:docId w15:val="{74A48489-E402-3B4D-8FC0-C3BFF719D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1"/>
    <w:basedOn w:val="Normal"/>
    <w:rsid w:val="00CC5101"/>
    <w:rPr>
      <w:rFonts w:ascii="Helvetica" w:hAnsi="Helvetica" w:cs="Times New Roman"/>
      <w:kern w:val="0"/>
      <w:sz w:val="18"/>
      <w:szCs w:val="18"/>
      <w14:ligatures w14:val="none"/>
    </w:rPr>
  </w:style>
  <w:style w:type="character" w:customStyle="1" w:styleId="s1">
    <w:name w:val="s1"/>
    <w:basedOn w:val="Policepardfaut"/>
    <w:rsid w:val="00CC5101"/>
    <w:rPr>
      <w:rFonts w:ascii="Helvetica" w:hAnsi="Helvetica" w:hint="default"/>
      <w:b w:val="0"/>
      <w:bCs w:val="0"/>
      <w:i w:val="0"/>
      <w:iCs w:val="0"/>
      <w:sz w:val="18"/>
      <w:szCs w:val="18"/>
    </w:rPr>
  </w:style>
  <w:style w:type="paragraph" w:customStyle="1" w:styleId="li1">
    <w:name w:val="li1"/>
    <w:basedOn w:val="Normal"/>
    <w:rsid w:val="003D6B7D"/>
    <w:rPr>
      <w:rFonts w:ascii="Helvetica" w:hAnsi="Helvetica" w:cs="Times New Roman"/>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356145">
      <w:bodyDiv w:val="1"/>
      <w:marLeft w:val="0"/>
      <w:marRight w:val="0"/>
      <w:marTop w:val="0"/>
      <w:marBottom w:val="0"/>
      <w:divBdr>
        <w:top w:val="none" w:sz="0" w:space="0" w:color="auto"/>
        <w:left w:val="none" w:sz="0" w:space="0" w:color="auto"/>
        <w:bottom w:val="none" w:sz="0" w:space="0" w:color="auto"/>
        <w:right w:val="none" w:sz="0" w:space="0" w:color="auto"/>
      </w:divBdr>
    </w:div>
    <w:div w:id="1076319940">
      <w:bodyDiv w:val="1"/>
      <w:marLeft w:val="0"/>
      <w:marRight w:val="0"/>
      <w:marTop w:val="0"/>
      <w:marBottom w:val="0"/>
      <w:divBdr>
        <w:top w:val="none" w:sz="0" w:space="0" w:color="auto"/>
        <w:left w:val="none" w:sz="0" w:space="0" w:color="auto"/>
        <w:bottom w:val="none" w:sz="0" w:space="0" w:color="auto"/>
        <w:right w:val="none" w:sz="0" w:space="0" w:color="auto"/>
      </w:divBdr>
    </w:div>
    <w:div w:id="149074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519</Words>
  <Characters>2859</Characters>
  <Application>Microsoft Office Word</Application>
  <DocSecurity>0</DocSecurity>
  <Lines>23</Lines>
  <Paragraphs>6</Paragraphs>
  <ScaleCrop>false</ScaleCrop>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Labed Fatima Zohra</dc:creator>
  <cp:keywords/>
  <dc:description/>
  <cp:lastModifiedBy>Labed Fatima Zohra</cp:lastModifiedBy>
  <cp:revision>6</cp:revision>
  <dcterms:created xsi:type="dcterms:W3CDTF">2023-12-06T18:10:00Z</dcterms:created>
  <dcterms:modified xsi:type="dcterms:W3CDTF">2023-12-06T18:13:00Z</dcterms:modified>
</cp:coreProperties>
</file>