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AB" w:rsidRPr="002815AD" w:rsidRDefault="00F069AB" w:rsidP="002815AD">
      <w:pPr>
        <w:jc w:val="center"/>
        <w:rPr>
          <w:rFonts w:ascii="Shruti" w:hAnsi="Shruti" w:cs="Shruti"/>
          <w:b/>
          <w:sz w:val="36"/>
          <w:szCs w:val="36"/>
        </w:rPr>
      </w:pPr>
      <w:r w:rsidRPr="002815AD">
        <w:rPr>
          <w:rFonts w:ascii="Shruti" w:hAnsi="Shruti" w:cs="Shruti"/>
          <w:b/>
          <w:sz w:val="36"/>
          <w:szCs w:val="36"/>
        </w:rPr>
        <w:t>Semestre: S5</w:t>
      </w:r>
    </w:p>
    <w:p w:rsidR="00F069AB" w:rsidRPr="00801826" w:rsidRDefault="00F069AB" w:rsidP="00A60370">
      <w:pPr>
        <w:rPr>
          <w:rFonts w:ascii="Shruti" w:hAnsi="Shruti" w:cs="Shruti"/>
          <w:b/>
          <w:sz w:val="32"/>
          <w:szCs w:val="32"/>
        </w:rPr>
      </w:pPr>
      <w:r w:rsidRPr="00801826">
        <w:rPr>
          <w:rFonts w:ascii="Shruti" w:hAnsi="Shruti" w:cs="Shruti"/>
          <w:b/>
          <w:sz w:val="32"/>
          <w:szCs w:val="32"/>
        </w:rPr>
        <w:t>Unité d’enseignement: UEF 3.1.2</w:t>
      </w:r>
      <w:r w:rsidR="00212198" w:rsidRPr="00801826">
        <w:rPr>
          <w:rFonts w:ascii="Shruti" w:hAnsi="Shruti" w:cs="Shruti"/>
          <w:b/>
          <w:sz w:val="32"/>
          <w:szCs w:val="32"/>
        </w:rPr>
        <w:t xml:space="preserve"> </w:t>
      </w:r>
      <w:r w:rsidRPr="00801826">
        <w:rPr>
          <w:rFonts w:ascii="Shruti" w:hAnsi="Shruti" w:cs="Shruti"/>
          <w:b/>
          <w:sz w:val="32"/>
          <w:szCs w:val="32"/>
        </w:rPr>
        <w:t>Matière: Systèmes Asservis</w:t>
      </w:r>
    </w:p>
    <w:p w:rsidR="00F069AB" w:rsidRPr="00B27F15" w:rsidRDefault="00F069AB" w:rsidP="0097278B">
      <w:pPr>
        <w:jc w:val="center"/>
        <w:rPr>
          <w:rFonts w:ascii="Shruti" w:hAnsi="Shruti" w:cs="Shruti"/>
          <w:b/>
          <w:sz w:val="28"/>
          <w:szCs w:val="28"/>
        </w:rPr>
      </w:pPr>
      <w:r w:rsidRPr="00B27F15">
        <w:rPr>
          <w:rFonts w:ascii="Shruti" w:hAnsi="Shruti" w:cs="Shruti"/>
          <w:b/>
          <w:sz w:val="28"/>
          <w:szCs w:val="28"/>
        </w:rPr>
        <w:t>Crédits: 04</w:t>
      </w:r>
      <w:r w:rsidR="00A60370" w:rsidRPr="00B27F15">
        <w:rPr>
          <w:rFonts w:ascii="Shruti" w:hAnsi="Shruti" w:cs="Shruti"/>
          <w:b/>
          <w:sz w:val="28"/>
          <w:szCs w:val="28"/>
        </w:rPr>
        <w:t xml:space="preserve"> </w:t>
      </w:r>
      <w:r w:rsidRPr="00B27F15">
        <w:rPr>
          <w:rFonts w:ascii="Shruti" w:hAnsi="Shruti" w:cs="Shruti"/>
          <w:b/>
          <w:sz w:val="28"/>
          <w:szCs w:val="28"/>
        </w:rPr>
        <w:t xml:space="preserve">Coefficient: </w:t>
      </w:r>
      <w:r w:rsidR="00743900" w:rsidRPr="00B27F15">
        <w:rPr>
          <w:rFonts w:ascii="Shruti" w:hAnsi="Shruti" w:cs="Shruti"/>
          <w:b/>
          <w:sz w:val="28"/>
          <w:szCs w:val="28"/>
        </w:rPr>
        <w:t>02</w:t>
      </w:r>
    </w:p>
    <w:p w:rsidR="00F069AB" w:rsidRPr="0082533E" w:rsidRDefault="004E3CE4" w:rsidP="00F069AB">
      <w:pPr>
        <w:rPr>
          <w:rFonts w:asciiTheme="majorBidi" w:hAnsiTheme="majorBidi" w:cstheme="majorBidi"/>
          <w:sz w:val="28"/>
          <w:szCs w:val="28"/>
          <w:u w:val="single"/>
        </w:rPr>
      </w:pPr>
      <w:r>
        <w:rPr>
          <w:rFonts w:asciiTheme="majorBidi" w:hAnsiTheme="majorBidi" w:cstheme="majorBidi"/>
          <w:noProof/>
          <w:sz w:val="28"/>
          <w:szCs w:val="28"/>
          <w:u w:val="single"/>
        </w:rPr>
        <w:pict>
          <v:rect id="_x0000_s1027" style="position:absolute;margin-left:4.4pt;margin-top:30.25pt;width:454.95pt;height:86.7pt;z-index:251658240">
            <v:textbox>
              <w:txbxContent>
                <w:p w:rsidR="0082533E" w:rsidRDefault="0082533E">
                  <w:r w:rsidRPr="0082533E">
                    <w:rPr>
                      <w:rFonts w:asciiTheme="majorBidi" w:hAnsiTheme="majorBidi" w:cstheme="majorBidi"/>
                      <w:sz w:val="32"/>
                      <w:szCs w:val="32"/>
                    </w:rPr>
                    <w:t>Passer en revue les propriétés des structures de commande des systèmes linéaires continus, aborder les modèles des systèmes dynamiques de base, explorer les outils d'analyse temporelle et fréquentielle des systèmes de bases.</w:t>
                  </w:r>
                </w:p>
              </w:txbxContent>
            </v:textbox>
          </v:rect>
        </w:pict>
      </w:r>
      <w:r w:rsidR="00F069AB" w:rsidRPr="0082533E">
        <w:rPr>
          <w:rFonts w:asciiTheme="majorBidi" w:hAnsiTheme="majorBidi" w:cstheme="majorBidi"/>
          <w:sz w:val="28"/>
          <w:szCs w:val="28"/>
          <w:u w:val="single"/>
        </w:rPr>
        <w:t>Objectifs de l’enseignement :</w:t>
      </w:r>
    </w:p>
    <w:p w:rsidR="00F069AB" w:rsidRDefault="00F069AB" w:rsidP="00F069AB">
      <w:pPr>
        <w:rPr>
          <w:rFonts w:asciiTheme="majorBidi" w:hAnsiTheme="majorBidi" w:cstheme="majorBidi"/>
          <w:sz w:val="32"/>
          <w:szCs w:val="32"/>
        </w:rPr>
      </w:pPr>
    </w:p>
    <w:p w:rsidR="0082533E" w:rsidRDefault="0082533E" w:rsidP="00F069AB">
      <w:pPr>
        <w:rPr>
          <w:rFonts w:asciiTheme="majorBidi" w:hAnsiTheme="majorBidi" w:cstheme="majorBidi"/>
          <w:sz w:val="32"/>
          <w:szCs w:val="32"/>
        </w:rPr>
      </w:pPr>
    </w:p>
    <w:p w:rsidR="0082533E" w:rsidRPr="0082533E" w:rsidRDefault="0082533E" w:rsidP="00F069AB">
      <w:pPr>
        <w:rPr>
          <w:rFonts w:asciiTheme="majorBidi" w:hAnsiTheme="majorBidi" w:cstheme="majorBidi"/>
          <w:sz w:val="32"/>
          <w:szCs w:val="32"/>
        </w:rPr>
      </w:pPr>
    </w:p>
    <w:p w:rsidR="0082533E" w:rsidRDefault="0082533E" w:rsidP="0082533E">
      <w:pPr>
        <w:jc w:val="both"/>
        <w:rPr>
          <w:rFonts w:ascii="Shruti" w:hAnsi="Shruti" w:cs="Shruti"/>
          <w:sz w:val="24"/>
          <w:szCs w:val="24"/>
        </w:rPr>
      </w:pPr>
    </w:p>
    <w:p w:rsidR="0082533E" w:rsidRPr="0082533E" w:rsidRDefault="00F069AB" w:rsidP="0082533E">
      <w:pPr>
        <w:jc w:val="both"/>
        <w:rPr>
          <w:rFonts w:asciiTheme="majorBidi" w:hAnsiTheme="majorBidi" w:cstheme="majorBidi"/>
          <w:sz w:val="28"/>
          <w:szCs w:val="28"/>
          <w:u w:val="single"/>
        </w:rPr>
      </w:pPr>
      <w:r w:rsidRPr="0082533E">
        <w:rPr>
          <w:rFonts w:asciiTheme="majorBidi" w:hAnsiTheme="majorBidi" w:cstheme="majorBidi"/>
          <w:sz w:val="28"/>
          <w:szCs w:val="28"/>
          <w:u w:val="single"/>
        </w:rPr>
        <w:t xml:space="preserve">Connaissances préalables recommandées : </w:t>
      </w:r>
    </w:p>
    <w:p w:rsidR="00F069AB" w:rsidRPr="00C56DC9" w:rsidRDefault="00F069AB" w:rsidP="00F50CA3">
      <w:pPr>
        <w:jc w:val="both"/>
        <w:rPr>
          <w:rFonts w:asciiTheme="majorBidi" w:hAnsiTheme="majorBidi" w:cstheme="majorBidi"/>
          <w:sz w:val="24"/>
          <w:szCs w:val="24"/>
          <w:u w:val="single"/>
        </w:rPr>
      </w:pPr>
      <w:r w:rsidRPr="00C56DC9">
        <w:rPr>
          <w:rFonts w:asciiTheme="majorBidi" w:hAnsiTheme="majorBidi" w:cstheme="majorBidi"/>
          <w:sz w:val="24"/>
          <w:szCs w:val="24"/>
          <w:u w:val="single"/>
        </w:rPr>
        <w:t>Mathématiques de base</w:t>
      </w:r>
      <w:r w:rsidR="00D55F79" w:rsidRPr="00C56DC9">
        <w:rPr>
          <w:rFonts w:asciiTheme="majorBidi" w:hAnsiTheme="majorBidi" w:cstheme="majorBidi"/>
          <w:sz w:val="24"/>
          <w:szCs w:val="24"/>
          <w:u w:val="single"/>
        </w:rPr>
        <w:t xml:space="preserve">, </w:t>
      </w:r>
      <w:r w:rsidRPr="00C56DC9">
        <w:rPr>
          <w:rFonts w:asciiTheme="majorBidi" w:hAnsiTheme="majorBidi" w:cstheme="majorBidi"/>
          <w:sz w:val="24"/>
          <w:szCs w:val="24"/>
          <w:u w:val="single"/>
        </w:rPr>
        <w:t>Algèbre, Calcul intégral et différentiel, Analyse, complexes,</w:t>
      </w:r>
      <w:r w:rsidR="00D24A8E" w:rsidRPr="00C56DC9">
        <w:rPr>
          <w:rFonts w:asciiTheme="majorBidi" w:hAnsiTheme="majorBidi" w:cstheme="majorBidi"/>
          <w:sz w:val="24"/>
          <w:szCs w:val="24"/>
          <w:u w:val="single"/>
        </w:rPr>
        <w:t xml:space="preserve"> </w:t>
      </w:r>
      <w:r w:rsidRPr="00C56DC9">
        <w:rPr>
          <w:rFonts w:asciiTheme="majorBidi" w:hAnsiTheme="majorBidi" w:cstheme="majorBidi"/>
          <w:sz w:val="24"/>
          <w:szCs w:val="24"/>
          <w:u w:val="single"/>
        </w:rPr>
        <w:t>Notions fondamentales de traitement du signal, d'électronique de base (circuits linéaires).</w:t>
      </w:r>
      <w:r w:rsidRPr="00C56DC9">
        <w:rPr>
          <w:rFonts w:asciiTheme="majorBidi" w:hAnsiTheme="majorBidi" w:cstheme="majorBidi"/>
          <w:u w:val="single"/>
        </w:rPr>
        <w:t xml:space="preserve"> </w:t>
      </w:r>
    </w:p>
    <w:p w:rsidR="00F069AB" w:rsidRPr="0082533E" w:rsidRDefault="00F069AB" w:rsidP="00EF6E50">
      <w:pPr>
        <w:jc w:val="both"/>
        <w:rPr>
          <w:rFonts w:asciiTheme="majorBidi" w:hAnsiTheme="majorBidi" w:cstheme="majorBidi"/>
          <w:b/>
          <w:bCs/>
          <w:sz w:val="36"/>
          <w:szCs w:val="36"/>
          <w:u w:val="single"/>
        </w:rPr>
      </w:pPr>
      <w:r w:rsidRPr="0082533E">
        <w:rPr>
          <w:rFonts w:asciiTheme="majorBidi" w:hAnsiTheme="majorBidi" w:cstheme="majorBidi"/>
          <w:b/>
          <w:bCs/>
          <w:sz w:val="36"/>
          <w:szCs w:val="36"/>
          <w:u w:val="single"/>
        </w:rPr>
        <w:t xml:space="preserve">Contenu de la matière : </w:t>
      </w:r>
    </w:p>
    <w:tbl>
      <w:tblPr>
        <w:tblStyle w:val="Grilledutableau"/>
        <w:tblW w:w="9606" w:type="dxa"/>
        <w:tblLook w:val="04A0"/>
      </w:tblPr>
      <w:tblGrid>
        <w:gridCol w:w="1809"/>
        <w:gridCol w:w="7797"/>
      </w:tblGrid>
      <w:tr w:rsidR="0082533E" w:rsidTr="0082533E">
        <w:tc>
          <w:tcPr>
            <w:tcW w:w="1809" w:type="dxa"/>
          </w:tcPr>
          <w:p w:rsidR="004D3FAA" w:rsidRDefault="0082533E" w:rsidP="0082533E">
            <w:pPr>
              <w:jc w:val="both"/>
              <w:rPr>
                <w:rFonts w:ascii="Shruti" w:hAnsi="Shruti" w:cs="Shruti"/>
                <w:sz w:val="24"/>
                <w:szCs w:val="24"/>
              </w:rPr>
            </w:pPr>
            <w:r w:rsidRPr="00AB7703">
              <w:rPr>
                <w:rFonts w:asciiTheme="majorBidi" w:hAnsiTheme="majorBidi" w:cstheme="majorBidi"/>
                <w:sz w:val="32"/>
                <w:szCs w:val="32"/>
                <w:u w:val="single"/>
              </w:rPr>
              <w:t>Chapitre</w:t>
            </w:r>
            <w:r>
              <w:rPr>
                <w:rFonts w:asciiTheme="majorBidi" w:hAnsiTheme="majorBidi" w:cstheme="majorBidi"/>
                <w:sz w:val="32"/>
                <w:szCs w:val="32"/>
                <w:u w:val="single"/>
              </w:rPr>
              <w:t>1</w:t>
            </w:r>
          </w:p>
          <w:p w:rsidR="0082533E" w:rsidRPr="004D3FAA" w:rsidRDefault="004D3FAA" w:rsidP="004D3FAA">
            <w:pPr>
              <w:jc w:val="both"/>
              <w:rPr>
                <w:rFonts w:ascii="Shruti" w:hAnsi="Shruti" w:cs="Shruti"/>
                <w:sz w:val="28"/>
                <w:szCs w:val="28"/>
              </w:rPr>
            </w:pPr>
            <w:r w:rsidRPr="004D3FAA">
              <w:rPr>
                <w:rFonts w:asciiTheme="majorBidi" w:hAnsiTheme="majorBidi" w:cstheme="majorBidi"/>
                <w:sz w:val="28"/>
                <w:szCs w:val="28"/>
              </w:rPr>
              <w:t>Transformée de Laplace et modélisation des systèmes</w:t>
            </w:r>
          </w:p>
        </w:tc>
        <w:tc>
          <w:tcPr>
            <w:tcW w:w="7797" w:type="dxa"/>
          </w:tcPr>
          <w:p w:rsidR="0082533E" w:rsidRPr="00C56DC9" w:rsidRDefault="004D3FAA" w:rsidP="004D3FAA">
            <w:pPr>
              <w:jc w:val="both"/>
              <w:rPr>
                <w:rFonts w:asciiTheme="majorBidi" w:hAnsiTheme="majorBidi" w:cstheme="majorBidi"/>
                <w:sz w:val="24"/>
                <w:szCs w:val="24"/>
              </w:rPr>
            </w:pPr>
            <w:r w:rsidRPr="00C56DC9">
              <w:rPr>
                <w:rFonts w:asciiTheme="majorBidi" w:hAnsiTheme="majorBidi" w:cstheme="majorBidi"/>
                <w:sz w:val="24"/>
                <w:szCs w:val="24"/>
              </w:rPr>
              <w:t xml:space="preserve">Modélisation des systèmes : Représentation des systèmes par leurs équations différentielles, Transformée de Laplace, De l'équation différentielle à la fonction de transfert, Blocs fonctionnels et sous systèmes, Règles de simplification, Représentation des systèmes dynamiques par les graphes de fluence, Règle de </w:t>
            </w:r>
            <w:proofErr w:type="spellStart"/>
            <w:r w:rsidRPr="00C56DC9">
              <w:rPr>
                <w:rFonts w:asciiTheme="majorBidi" w:hAnsiTheme="majorBidi" w:cstheme="majorBidi"/>
                <w:sz w:val="24"/>
                <w:szCs w:val="24"/>
              </w:rPr>
              <w:t>Mason</w:t>
            </w:r>
            <w:proofErr w:type="spellEnd"/>
            <w:r w:rsidRPr="00C56DC9">
              <w:rPr>
                <w:rFonts w:asciiTheme="majorBidi" w:hAnsiTheme="majorBidi" w:cstheme="majorBidi"/>
                <w:sz w:val="24"/>
                <w:szCs w:val="24"/>
              </w:rPr>
              <w:t>, Calcul des fonctions de transfert des systèmes linéaires.</w:t>
            </w:r>
          </w:p>
        </w:tc>
      </w:tr>
      <w:tr w:rsidR="0082533E" w:rsidTr="0082533E">
        <w:tc>
          <w:tcPr>
            <w:tcW w:w="1809" w:type="dxa"/>
          </w:tcPr>
          <w:p w:rsidR="0082533E" w:rsidRDefault="0082533E" w:rsidP="00C56DC9">
            <w:pPr>
              <w:jc w:val="both"/>
              <w:rPr>
                <w:rFonts w:ascii="Shruti" w:hAnsi="Shruti" w:cs="Shruti"/>
                <w:sz w:val="24"/>
                <w:szCs w:val="24"/>
              </w:rPr>
            </w:pPr>
            <w:r w:rsidRPr="00AB7703">
              <w:rPr>
                <w:rFonts w:asciiTheme="majorBidi" w:hAnsiTheme="majorBidi" w:cstheme="majorBidi"/>
                <w:sz w:val="32"/>
                <w:szCs w:val="32"/>
                <w:u w:val="single"/>
              </w:rPr>
              <w:t>Chapitre</w:t>
            </w:r>
            <w:r>
              <w:rPr>
                <w:rFonts w:asciiTheme="majorBidi" w:hAnsiTheme="majorBidi" w:cstheme="majorBidi"/>
                <w:sz w:val="32"/>
                <w:szCs w:val="32"/>
                <w:u w:val="single"/>
              </w:rPr>
              <w:t>2</w:t>
            </w:r>
            <w:r w:rsidR="00C56DC9">
              <w:rPr>
                <w:rFonts w:asciiTheme="majorBidi" w:hAnsiTheme="majorBidi" w:cstheme="majorBidi"/>
                <w:sz w:val="32"/>
                <w:szCs w:val="32"/>
                <w:u w:val="single"/>
              </w:rPr>
              <w:t xml:space="preserve"> </w:t>
            </w:r>
            <w:r w:rsidR="00C56DC9" w:rsidRPr="00C56DC9">
              <w:rPr>
                <w:rFonts w:asciiTheme="majorBidi" w:hAnsiTheme="majorBidi" w:cstheme="majorBidi"/>
                <w:sz w:val="28"/>
                <w:szCs w:val="28"/>
              </w:rPr>
              <w:t>Réponses temporelles des systèmes linéaires</w:t>
            </w:r>
          </w:p>
        </w:tc>
        <w:tc>
          <w:tcPr>
            <w:tcW w:w="7797" w:type="dxa"/>
          </w:tcPr>
          <w:p w:rsidR="0082533E" w:rsidRPr="0082533E" w:rsidRDefault="00C56DC9" w:rsidP="00EF6E50">
            <w:pPr>
              <w:jc w:val="both"/>
              <w:rPr>
                <w:rFonts w:ascii="Shruti" w:hAnsi="Shruti" w:cs="Shruti"/>
              </w:rPr>
            </w:pPr>
            <w:r w:rsidRPr="00C56DC9">
              <w:rPr>
                <w:rFonts w:asciiTheme="majorBidi" w:hAnsiTheme="majorBidi" w:cstheme="majorBidi"/>
                <w:sz w:val="24"/>
                <w:szCs w:val="24"/>
              </w:rPr>
              <w:t>Définition de la réponse d'un système, Régime transitoire, Régime permanent, Notions de stabilité,</w:t>
            </w:r>
            <w:r>
              <w:rPr>
                <w:rFonts w:asciiTheme="majorBidi" w:hAnsiTheme="majorBidi" w:cstheme="majorBidi"/>
                <w:sz w:val="24"/>
                <w:szCs w:val="24"/>
              </w:rPr>
              <w:t xml:space="preserve"> </w:t>
            </w:r>
            <w:r w:rsidRPr="00C56DC9">
              <w:rPr>
                <w:rFonts w:asciiTheme="majorBidi" w:hAnsiTheme="majorBidi" w:cstheme="majorBidi"/>
                <w:sz w:val="24"/>
                <w:szCs w:val="24"/>
              </w:rPr>
              <w:t xml:space="preserve">rapidité et précision statique, Réponse </w:t>
            </w:r>
            <w:proofErr w:type="spellStart"/>
            <w:r w:rsidRPr="00C56DC9">
              <w:rPr>
                <w:rFonts w:asciiTheme="majorBidi" w:hAnsiTheme="majorBidi" w:cstheme="majorBidi"/>
                <w:sz w:val="24"/>
                <w:szCs w:val="24"/>
              </w:rPr>
              <w:t>impulsionnelle</w:t>
            </w:r>
            <w:proofErr w:type="spellEnd"/>
            <w:r w:rsidRPr="00C56DC9">
              <w:rPr>
                <w:rFonts w:asciiTheme="majorBidi" w:hAnsiTheme="majorBidi" w:cstheme="majorBidi"/>
                <w:sz w:val="24"/>
                <w:szCs w:val="24"/>
              </w:rPr>
              <w:t xml:space="preserve"> (1</w:t>
            </w:r>
            <w:r w:rsidRPr="00C56DC9">
              <w:rPr>
                <w:rFonts w:asciiTheme="majorBidi" w:hAnsiTheme="majorBidi" w:cstheme="majorBidi"/>
                <w:sz w:val="24"/>
                <w:szCs w:val="24"/>
                <w:vertAlign w:val="superscript"/>
              </w:rPr>
              <w:t>er</w:t>
            </w:r>
            <w:r>
              <w:rPr>
                <w:rFonts w:asciiTheme="majorBidi" w:hAnsiTheme="majorBidi" w:cstheme="majorBidi"/>
                <w:sz w:val="24"/>
                <w:szCs w:val="24"/>
              </w:rPr>
              <w:t xml:space="preserve"> </w:t>
            </w:r>
            <w:r w:rsidRPr="00C56DC9">
              <w:rPr>
                <w:rFonts w:asciiTheme="majorBidi" w:hAnsiTheme="majorBidi" w:cstheme="majorBidi"/>
                <w:sz w:val="24"/>
                <w:szCs w:val="24"/>
              </w:rPr>
              <w:t>et 2ème ordre), Caractéristiques temporelles,</w:t>
            </w:r>
            <w:r>
              <w:rPr>
                <w:rFonts w:asciiTheme="majorBidi" w:hAnsiTheme="majorBidi" w:cstheme="majorBidi"/>
                <w:sz w:val="24"/>
                <w:szCs w:val="24"/>
              </w:rPr>
              <w:t xml:space="preserve"> </w:t>
            </w:r>
            <w:r w:rsidRPr="00C56DC9">
              <w:rPr>
                <w:rFonts w:asciiTheme="majorBidi" w:hAnsiTheme="majorBidi" w:cstheme="majorBidi"/>
                <w:sz w:val="24"/>
                <w:szCs w:val="24"/>
              </w:rPr>
              <w:t>Réponse indicielle (1er et 2ème ordre), Identification des</w:t>
            </w:r>
            <w:r>
              <w:rPr>
                <w:rFonts w:asciiTheme="majorBidi" w:hAnsiTheme="majorBidi" w:cstheme="majorBidi"/>
                <w:sz w:val="24"/>
                <w:szCs w:val="24"/>
              </w:rPr>
              <w:t xml:space="preserve"> systèmes du premier </w:t>
            </w:r>
            <w:r w:rsidRPr="00C56DC9">
              <w:rPr>
                <w:rFonts w:asciiTheme="majorBidi" w:hAnsiTheme="majorBidi" w:cstheme="majorBidi"/>
                <w:sz w:val="24"/>
                <w:szCs w:val="24"/>
              </w:rPr>
              <w:t>et du second ordre à</w:t>
            </w:r>
            <w:r>
              <w:rPr>
                <w:rFonts w:asciiTheme="majorBidi" w:hAnsiTheme="majorBidi" w:cstheme="majorBidi"/>
                <w:sz w:val="24"/>
                <w:szCs w:val="24"/>
              </w:rPr>
              <w:t xml:space="preserve"> </w:t>
            </w:r>
            <w:r w:rsidRPr="00C56DC9">
              <w:rPr>
                <w:rFonts w:asciiTheme="majorBidi" w:hAnsiTheme="majorBidi" w:cstheme="majorBidi"/>
                <w:sz w:val="24"/>
                <w:szCs w:val="24"/>
              </w:rPr>
              <w:t>partir de la réponse temporelle, Systèmes d'ordre supérieur, Influence des pôles et des zéros sur la</w:t>
            </w:r>
            <w:r>
              <w:rPr>
                <w:rFonts w:asciiTheme="majorBidi" w:hAnsiTheme="majorBidi" w:cstheme="majorBidi"/>
                <w:sz w:val="24"/>
                <w:szCs w:val="24"/>
              </w:rPr>
              <w:t xml:space="preserve"> </w:t>
            </w:r>
            <w:r w:rsidRPr="00C56DC9">
              <w:rPr>
                <w:rFonts w:asciiTheme="majorBidi" w:hAnsiTheme="majorBidi" w:cstheme="majorBidi"/>
                <w:sz w:val="24"/>
                <w:szCs w:val="24"/>
              </w:rPr>
              <w:t>réponse d'un système.</w:t>
            </w:r>
          </w:p>
        </w:tc>
      </w:tr>
      <w:tr w:rsidR="0082533E" w:rsidTr="0082533E">
        <w:tc>
          <w:tcPr>
            <w:tcW w:w="1809" w:type="dxa"/>
          </w:tcPr>
          <w:p w:rsidR="00C56DC9" w:rsidRDefault="0082533E" w:rsidP="00EF6E50">
            <w:pPr>
              <w:jc w:val="both"/>
              <w:rPr>
                <w:rFonts w:ascii="Shruti" w:hAnsi="Shruti" w:cs="Shruti"/>
                <w:sz w:val="24"/>
                <w:szCs w:val="24"/>
              </w:rPr>
            </w:pPr>
            <w:r w:rsidRPr="00AB7703">
              <w:rPr>
                <w:rFonts w:asciiTheme="majorBidi" w:hAnsiTheme="majorBidi" w:cstheme="majorBidi"/>
                <w:sz w:val="32"/>
                <w:szCs w:val="32"/>
                <w:u w:val="single"/>
              </w:rPr>
              <w:t>Chapitre3</w:t>
            </w:r>
          </w:p>
          <w:p w:rsidR="0082533E" w:rsidRPr="00C56DC9" w:rsidRDefault="00C56DC9" w:rsidP="00C56DC9">
            <w:pPr>
              <w:rPr>
                <w:rFonts w:asciiTheme="majorBidi" w:hAnsiTheme="majorBidi" w:cstheme="majorBidi"/>
                <w:sz w:val="28"/>
                <w:szCs w:val="28"/>
              </w:rPr>
            </w:pPr>
            <w:r w:rsidRPr="00C56DC9">
              <w:rPr>
                <w:rFonts w:asciiTheme="majorBidi" w:hAnsiTheme="majorBidi" w:cstheme="majorBidi"/>
                <w:sz w:val="28"/>
                <w:szCs w:val="28"/>
              </w:rPr>
              <w:t>Introduction aux systèmes asservis</w:t>
            </w:r>
          </w:p>
        </w:tc>
        <w:tc>
          <w:tcPr>
            <w:tcW w:w="7797" w:type="dxa"/>
          </w:tcPr>
          <w:p w:rsidR="0082533E" w:rsidRDefault="00C56DC9" w:rsidP="00C56DC9">
            <w:pPr>
              <w:jc w:val="both"/>
              <w:rPr>
                <w:rFonts w:ascii="Shruti" w:hAnsi="Shruti" w:cs="Shruti"/>
                <w:sz w:val="24"/>
                <w:szCs w:val="24"/>
              </w:rPr>
            </w:pPr>
            <w:r w:rsidRPr="00C56DC9">
              <w:rPr>
                <w:rFonts w:asciiTheme="majorBidi" w:hAnsiTheme="majorBidi" w:cstheme="majorBidi"/>
                <w:sz w:val="24"/>
                <w:szCs w:val="24"/>
              </w:rPr>
              <w:t>Introduction aux systèmes asservis : Historique des systèmes de régulation automatique, Terminologie et définition, Concept de systèmes, Comportement dynamique, Comportement statique, Systèmes statiques, Systèmes dynamiques, Systèmes linéaires, Exemples introductifs, Systèmes en boucle ouverte, Systèmes en boucle fermée, Principaux éléments d'une chaîne d'asservissement, Raisonnement d'un asservissement, Performances des systèmes asservis.</w:t>
            </w:r>
          </w:p>
        </w:tc>
      </w:tr>
      <w:tr w:rsidR="0082533E" w:rsidTr="0082533E">
        <w:tc>
          <w:tcPr>
            <w:tcW w:w="1809" w:type="dxa"/>
          </w:tcPr>
          <w:p w:rsidR="0082533E" w:rsidRDefault="0082533E" w:rsidP="0082533E">
            <w:pPr>
              <w:jc w:val="both"/>
              <w:rPr>
                <w:rFonts w:ascii="Shruti" w:hAnsi="Shruti" w:cs="Shruti"/>
                <w:sz w:val="24"/>
                <w:szCs w:val="24"/>
              </w:rPr>
            </w:pPr>
            <w:r w:rsidRPr="00AB7703">
              <w:rPr>
                <w:rFonts w:asciiTheme="majorBidi" w:hAnsiTheme="majorBidi" w:cstheme="majorBidi"/>
                <w:sz w:val="32"/>
                <w:szCs w:val="32"/>
                <w:u w:val="single"/>
              </w:rPr>
              <w:t>Chapitre</w:t>
            </w:r>
            <w:r>
              <w:rPr>
                <w:rFonts w:asciiTheme="majorBidi" w:hAnsiTheme="majorBidi" w:cstheme="majorBidi"/>
                <w:sz w:val="32"/>
                <w:szCs w:val="32"/>
                <w:u w:val="single"/>
              </w:rPr>
              <w:t>4</w:t>
            </w:r>
            <w:r w:rsidR="00C56DC9">
              <w:rPr>
                <w:rFonts w:asciiTheme="majorBidi" w:hAnsiTheme="majorBidi" w:cstheme="majorBidi"/>
                <w:sz w:val="32"/>
                <w:szCs w:val="32"/>
                <w:u w:val="single"/>
              </w:rPr>
              <w:t xml:space="preserve"> </w:t>
            </w:r>
            <w:r w:rsidR="00C56DC9" w:rsidRPr="00C56DC9">
              <w:rPr>
                <w:rFonts w:asciiTheme="majorBidi" w:hAnsiTheme="majorBidi" w:cstheme="majorBidi"/>
                <w:color w:val="000000"/>
                <w:sz w:val="24"/>
                <w:szCs w:val="24"/>
              </w:rPr>
              <w:t>Réponses fréquentielles des systèmes linéaires</w:t>
            </w:r>
          </w:p>
        </w:tc>
        <w:tc>
          <w:tcPr>
            <w:tcW w:w="7797" w:type="dxa"/>
          </w:tcPr>
          <w:p w:rsidR="0082533E" w:rsidRPr="00C56DC9" w:rsidRDefault="0082533E" w:rsidP="0082533E">
            <w:pPr>
              <w:jc w:val="both"/>
              <w:rPr>
                <w:rFonts w:asciiTheme="majorBidi" w:hAnsiTheme="majorBidi" w:cstheme="majorBidi"/>
                <w:sz w:val="24"/>
                <w:szCs w:val="24"/>
              </w:rPr>
            </w:pPr>
            <w:r w:rsidRPr="00C56DC9">
              <w:rPr>
                <w:rFonts w:asciiTheme="majorBidi" w:hAnsiTheme="majorBidi" w:cstheme="majorBidi"/>
                <w:sz w:val="24"/>
                <w:szCs w:val="24"/>
              </w:rPr>
              <w:t xml:space="preserve">Réponses fréquentielles des systèmes linéaires : Définition, Diagramme de </w:t>
            </w:r>
            <w:proofErr w:type="spellStart"/>
            <w:r w:rsidRPr="00C56DC9">
              <w:rPr>
                <w:rFonts w:asciiTheme="majorBidi" w:hAnsiTheme="majorBidi" w:cstheme="majorBidi"/>
                <w:sz w:val="24"/>
                <w:szCs w:val="24"/>
              </w:rPr>
              <w:t>Bode</w:t>
            </w:r>
            <w:proofErr w:type="spellEnd"/>
            <w:r w:rsidRPr="00C56DC9">
              <w:rPr>
                <w:rFonts w:asciiTheme="majorBidi" w:hAnsiTheme="majorBidi" w:cstheme="majorBidi"/>
                <w:sz w:val="24"/>
                <w:szCs w:val="24"/>
              </w:rPr>
              <w:t xml:space="preserve"> et de </w:t>
            </w:r>
            <w:proofErr w:type="spellStart"/>
            <w:r w:rsidRPr="00C56DC9">
              <w:rPr>
                <w:rFonts w:asciiTheme="majorBidi" w:hAnsiTheme="majorBidi" w:cstheme="majorBidi"/>
                <w:sz w:val="24"/>
                <w:szCs w:val="24"/>
              </w:rPr>
              <w:t>Nyquist</w:t>
            </w:r>
            <w:proofErr w:type="spellEnd"/>
            <w:r w:rsidRPr="00C56DC9">
              <w:rPr>
                <w:rFonts w:asciiTheme="majorBidi" w:hAnsiTheme="majorBidi" w:cstheme="majorBidi"/>
                <w:sz w:val="24"/>
                <w:szCs w:val="24"/>
              </w:rPr>
              <w:t xml:space="preserve">, Caractéristiques fréquentielles des systèmes dynamiques de base (1er et 2ème ordre), Marges de phase et de gain. </w:t>
            </w:r>
          </w:p>
          <w:p w:rsidR="0082533E" w:rsidRDefault="0082533E" w:rsidP="00EF6E50">
            <w:pPr>
              <w:jc w:val="both"/>
              <w:rPr>
                <w:rFonts w:ascii="Shruti" w:hAnsi="Shruti" w:cs="Shruti"/>
                <w:sz w:val="24"/>
                <w:szCs w:val="24"/>
              </w:rPr>
            </w:pPr>
          </w:p>
        </w:tc>
      </w:tr>
      <w:tr w:rsidR="0082533E" w:rsidTr="0082533E">
        <w:tc>
          <w:tcPr>
            <w:tcW w:w="1809" w:type="dxa"/>
          </w:tcPr>
          <w:p w:rsidR="00C56DC9" w:rsidRDefault="0082533E" w:rsidP="0082533E">
            <w:pPr>
              <w:jc w:val="both"/>
              <w:rPr>
                <w:rFonts w:asciiTheme="majorBidi" w:hAnsiTheme="majorBidi" w:cstheme="majorBidi"/>
                <w:sz w:val="32"/>
                <w:szCs w:val="32"/>
                <w:u w:val="single"/>
              </w:rPr>
            </w:pPr>
            <w:r w:rsidRPr="00AB7703">
              <w:rPr>
                <w:rFonts w:asciiTheme="majorBidi" w:hAnsiTheme="majorBidi" w:cstheme="majorBidi"/>
                <w:sz w:val="32"/>
                <w:szCs w:val="32"/>
                <w:u w:val="single"/>
              </w:rPr>
              <w:lastRenderedPageBreak/>
              <w:t>Chapitre</w:t>
            </w:r>
            <w:r>
              <w:rPr>
                <w:rFonts w:asciiTheme="majorBidi" w:hAnsiTheme="majorBidi" w:cstheme="majorBidi"/>
                <w:sz w:val="32"/>
                <w:szCs w:val="32"/>
                <w:u w:val="single"/>
              </w:rPr>
              <w:t>5</w:t>
            </w:r>
          </w:p>
          <w:p w:rsidR="00C56DC9" w:rsidRDefault="00C56DC9" w:rsidP="0082533E">
            <w:pPr>
              <w:jc w:val="both"/>
              <w:rPr>
                <w:rFonts w:ascii="Shruti" w:hAnsi="Shruti" w:cs="Shruti"/>
                <w:sz w:val="24"/>
                <w:szCs w:val="24"/>
              </w:rPr>
            </w:pPr>
          </w:p>
          <w:p w:rsidR="0082533E" w:rsidRPr="00C56DC9" w:rsidRDefault="00C56DC9" w:rsidP="00C56DC9">
            <w:pPr>
              <w:rPr>
                <w:rFonts w:asciiTheme="majorBidi" w:hAnsiTheme="majorBidi" w:cstheme="majorBidi"/>
                <w:sz w:val="28"/>
                <w:szCs w:val="28"/>
              </w:rPr>
            </w:pPr>
            <w:r w:rsidRPr="00C56DC9">
              <w:rPr>
                <w:rFonts w:asciiTheme="majorBidi" w:hAnsiTheme="majorBidi" w:cstheme="majorBidi"/>
                <w:sz w:val="28"/>
                <w:szCs w:val="28"/>
              </w:rPr>
              <w:t>Stabilité et précision des systèmes asservis</w:t>
            </w:r>
          </w:p>
        </w:tc>
        <w:tc>
          <w:tcPr>
            <w:tcW w:w="7797" w:type="dxa"/>
          </w:tcPr>
          <w:p w:rsidR="0082533E" w:rsidRPr="0082533E" w:rsidRDefault="0082533E" w:rsidP="0082533E">
            <w:pPr>
              <w:jc w:val="both"/>
              <w:rPr>
                <w:rFonts w:ascii="Shruti" w:hAnsi="Shruti" w:cs="Shruti"/>
              </w:rPr>
            </w:pPr>
            <w:r w:rsidRPr="0082533E">
              <w:rPr>
                <w:rFonts w:ascii="Shruti" w:hAnsi="Shruti" w:cs="Shruti"/>
              </w:rPr>
              <w:t xml:space="preserve">Stabilité et précision des systèmes asservis : Définition, Conditions de stabilité, Critère algébrique de </w:t>
            </w:r>
            <w:proofErr w:type="spellStart"/>
            <w:r w:rsidRPr="0082533E">
              <w:rPr>
                <w:rFonts w:ascii="Shruti" w:hAnsi="Shruti" w:cs="Shruti"/>
              </w:rPr>
              <w:t>Routh</w:t>
            </w:r>
            <w:proofErr w:type="spellEnd"/>
            <w:r w:rsidRPr="0082533E">
              <w:rPr>
                <w:rFonts w:ascii="Shruti" w:hAnsi="Shruti" w:cs="Shruti"/>
              </w:rPr>
              <w:t>-</w:t>
            </w:r>
            <w:proofErr w:type="spellStart"/>
            <w:r w:rsidRPr="0082533E">
              <w:rPr>
                <w:rFonts w:ascii="Shruti" w:hAnsi="Shruti" w:cs="Shruti"/>
              </w:rPr>
              <w:t>Herwitz</w:t>
            </w:r>
            <w:proofErr w:type="spellEnd"/>
            <w:r w:rsidRPr="0082533E">
              <w:rPr>
                <w:rFonts w:ascii="Shruti" w:hAnsi="Shruti" w:cs="Shruti"/>
              </w:rPr>
              <w:t xml:space="preserve">, Critères du revers dans les plans de </w:t>
            </w:r>
            <w:proofErr w:type="spellStart"/>
            <w:r w:rsidRPr="0082533E">
              <w:rPr>
                <w:rFonts w:ascii="Shruti" w:hAnsi="Shruti" w:cs="Shruti"/>
              </w:rPr>
              <w:t>Nyquist</w:t>
            </w:r>
            <w:proofErr w:type="spellEnd"/>
            <w:r w:rsidRPr="0082533E">
              <w:rPr>
                <w:rFonts w:ascii="Shruti" w:hAnsi="Shruti" w:cs="Shruti"/>
              </w:rPr>
              <w:t xml:space="preserve"> et </w:t>
            </w:r>
            <w:proofErr w:type="spellStart"/>
            <w:r w:rsidRPr="0082533E">
              <w:rPr>
                <w:rFonts w:ascii="Shruti" w:hAnsi="Shruti" w:cs="Shruti"/>
              </w:rPr>
              <w:t>Bode</w:t>
            </w:r>
            <w:proofErr w:type="spellEnd"/>
            <w:r w:rsidRPr="0082533E">
              <w:rPr>
                <w:rFonts w:ascii="Shruti" w:hAnsi="Shruti" w:cs="Shruti"/>
              </w:rPr>
              <w:t xml:space="preserve">, Marges de stabilité, Précision des systèmes asservis, Précision statique, Calcul de l'écart statique, Précision dynamique, Caractérisation du régime transitoire. </w:t>
            </w:r>
          </w:p>
          <w:p w:rsidR="0082533E" w:rsidRDefault="0082533E" w:rsidP="00EF6E50">
            <w:pPr>
              <w:jc w:val="both"/>
              <w:rPr>
                <w:rFonts w:ascii="Shruti" w:hAnsi="Shruti" w:cs="Shruti"/>
                <w:sz w:val="24"/>
                <w:szCs w:val="24"/>
              </w:rPr>
            </w:pPr>
          </w:p>
        </w:tc>
      </w:tr>
    </w:tbl>
    <w:p w:rsidR="0082533E" w:rsidRDefault="0082533E" w:rsidP="00EF6E50">
      <w:pPr>
        <w:jc w:val="both"/>
        <w:rPr>
          <w:rFonts w:ascii="Shruti" w:hAnsi="Shruti" w:cs="Shruti"/>
          <w:sz w:val="24"/>
          <w:szCs w:val="24"/>
        </w:rPr>
      </w:pPr>
    </w:p>
    <w:p w:rsidR="00F069AB" w:rsidRPr="00631B58" w:rsidRDefault="00F069AB" w:rsidP="00EF6E50">
      <w:pPr>
        <w:jc w:val="both"/>
        <w:rPr>
          <w:rFonts w:ascii="Shruti" w:hAnsi="Shruti" w:cs="Shruti"/>
          <w:sz w:val="24"/>
          <w:szCs w:val="24"/>
        </w:rPr>
      </w:pPr>
      <w:r w:rsidRPr="00631B58">
        <w:rPr>
          <w:rFonts w:ascii="Shruti" w:hAnsi="Shruti" w:cs="Shruti"/>
          <w:sz w:val="24"/>
          <w:szCs w:val="24"/>
        </w:rPr>
        <w:t xml:space="preserve">Mode d’évaluation : Contrôle continu : 40% ; Examen : 60%. </w:t>
      </w:r>
    </w:p>
    <w:p w:rsidR="008E6E50" w:rsidRDefault="00F069AB" w:rsidP="001010F6">
      <w:pPr>
        <w:jc w:val="both"/>
        <w:rPr>
          <w:rFonts w:ascii="Shruti" w:hAnsi="Shruti" w:cs="Shruti"/>
          <w:sz w:val="32"/>
          <w:szCs w:val="32"/>
          <w:u w:val="single"/>
        </w:rPr>
      </w:pPr>
      <w:r w:rsidRPr="000E2025">
        <w:rPr>
          <w:rFonts w:ascii="Shruti" w:hAnsi="Shruti" w:cs="Shruti"/>
          <w:sz w:val="32"/>
          <w:szCs w:val="32"/>
          <w:u w:val="single"/>
        </w:rPr>
        <w:t xml:space="preserve">Références bibliographiques : </w:t>
      </w:r>
    </w:p>
    <w:p w:rsidR="00FA6D96" w:rsidRPr="0082533E" w:rsidRDefault="00F069AB" w:rsidP="008E6E50">
      <w:pPr>
        <w:pStyle w:val="Paragraphedeliste"/>
        <w:numPr>
          <w:ilvl w:val="0"/>
          <w:numId w:val="1"/>
        </w:numPr>
        <w:jc w:val="both"/>
        <w:rPr>
          <w:rFonts w:ascii="Shruti" w:hAnsi="Shruti" w:cs="Shruti"/>
          <w:u w:val="single"/>
        </w:rPr>
      </w:pPr>
      <w:r w:rsidRPr="0082533E">
        <w:rPr>
          <w:rFonts w:ascii="Shruti" w:hAnsi="Shruti" w:cs="Shruti"/>
        </w:rPr>
        <w:t xml:space="preserve">E. K. </w:t>
      </w:r>
      <w:proofErr w:type="spellStart"/>
      <w:r w:rsidRPr="0082533E">
        <w:rPr>
          <w:rFonts w:ascii="Shruti" w:hAnsi="Shruti" w:cs="Shruti"/>
        </w:rPr>
        <w:t>Boukas</w:t>
      </w:r>
      <w:proofErr w:type="spellEnd"/>
      <w:r w:rsidRPr="0082533E">
        <w:rPr>
          <w:rFonts w:ascii="Shruti" w:hAnsi="Shruti" w:cs="Shruti"/>
        </w:rPr>
        <w:t>, Systèmes asservis, Editions de l'école polytechnique de Montréal,</w:t>
      </w:r>
      <w:r w:rsidR="0082533E" w:rsidRPr="0082533E">
        <w:rPr>
          <w:rFonts w:ascii="Shruti" w:hAnsi="Shruti" w:cs="Shruti"/>
        </w:rPr>
        <w:t xml:space="preserve"> </w:t>
      </w:r>
      <w:r w:rsidRPr="0082533E">
        <w:rPr>
          <w:rFonts w:ascii="Shruti" w:hAnsi="Shruti" w:cs="Shruti"/>
        </w:rPr>
        <w:t>1995.</w:t>
      </w:r>
    </w:p>
    <w:p w:rsidR="00D70A15" w:rsidRPr="0082533E" w:rsidRDefault="00D70A15" w:rsidP="00D70A15">
      <w:pPr>
        <w:pStyle w:val="Paragraphedeliste"/>
        <w:numPr>
          <w:ilvl w:val="0"/>
          <w:numId w:val="1"/>
        </w:numPr>
        <w:jc w:val="both"/>
        <w:rPr>
          <w:rFonts w:ascii="Shruti" w:hAnsi="Shruti" w:cs="Shruti"/>
        </w:rPr>
      </w:pPr>
      <w:r w:rsidRPr="00D70A15">
        <w:rPr>
          <w:rFonts w:ascii="Shruti" w:hAnsi="Shruti" w:cs="Shruti"/>
          <w:sz w:val="24"/>
          <w:szCs w:val="24"/>
        </w:rPr>
        <w:t xml:space="preserve"> </w:t>
      </w:r>
      <w:r w:rsidRPr="0082533E">
        <w:rPr>
          <w:rFonts w:ascii="Shruti" w:hAnsi="Shruti" w:cs="Shruti"/>
        </w:rPr>
        <w:t xml:space="preserve">P. Clerc. Automatique continue, échantillonnée : IUT Génie Electrique-Informatique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Industrielle, BTS Electronique- Mécanique-Informatique, Editions Masson (198p), 1997.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Ph. de </w:t>
      </w:r>
      <w:proofErr w:type="spellStart"/>
      <w:r w:rsidRPr="0082533E">
        <w:rPr>
          <w:rFonts w:ascii="Shruti" w:hAnsi="Shruti" w:cs="Shruti"/>
        </w:rPr>
        <w:t>Larminat</w:t>
      </w:r>
      <w:proofErr w:type="spellEnd"/>
      <w:r w:rsidRPr="0082533E">
        <w:rPr>
          <w:rFonts w:ascii="Shruti" w:hAnsi="Shruti" w:cs="Shruti"/>
        </w:rPr>
        <w:t xml:space="preserve">, Automatique, Editions </w:t>
      </w:r>
      <w:proofErr w:type="spellStart"/>
      <w:r w:rsidRPr="0082533E">
        <w:rPr>
          <w:rFonts w:ascii="Shruti" w:hAnsi="Shruti" w:cs="Shruti"/>
        </w:rPr>
        <w:t>Hermes</w:t>
      </w:r>
      <w:proofErr w:type="spellEnd"/>
      <w:r w:rsidRPr="0082533E">
        <w:rPr>
          <w:rFonts w:ascii="Shruti" w:hAnsi="Shruti" w:cs="Shruti"/>
        </w:rPr>
        <w:t xml:space="preserve"> 2000.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P. </w:t>
      </w:r>
      <w:proofErr w:type="spellStart"/>
      <w:r w:rsidRPr="0082533E">
        <w:rPr>
          <w:rFonts w:ascii="Shruti" w:hAnsi="Shruti" w:cs="Shruti"/>
        </w:rPr>
        <w:t>Codron</w:t>
      </w:r>
      <w:proofErr w:type="spellEnd"/>
      <w:r w:rsidRPr="0082533E">
        <w:rPr>
          <w:rFonts w:ascii="Shruti" w:hAnsi="Shruti" w:cs="Shruti"/>
        </w:rPr>
        <w:t xml:space="preserve"> et S. </w:t>
      </w:r>
      <w:proofErr w:type="spellStart"/>
      <w:r w:rsidRPr="0082533E">
        <w:rPr>
          <w:rFonts w:ascii="Shruti" w:hAnsi="Shruti" w:cs="Shruti"/>
        </w:rPr>
        <w:t>Leballois</w:t>
      </w:r>
      <w:proofErr w:type="spellEnd"/>
      <w:r w:rsidRPr="0082533E">
        <w:rPr>
          <w:rFonts w:ascii="Shruti" w:hAnsi="Shruti" w:cs="Shruti"/>
        </w:rPr>
        <w:t xml:space="preserve">, Automatique : systèmes linéaires continus, Editons </w:t>
      </w:r>
      <w:proofErr w:type="spellStart"/>
      <w:r w:rsidRPr="0082533E">
        <w:rPr>
          <w:rFonts w:ascii="Shruti" w:hAnsi="Shruti" w:cs="Shruti"/>
        </w:rPr>
        <w:t>Dunod</w:t>
      </w:r>
      <w:proofErr w:type="spellEnd"/>
      <w:r w:rsidRPr="0082533E">
        <w:rPr>
          <w:rFonts w:ascii="Shruti" w:hAnsi="Shruti" w:cs="Shruti"/>
        </w:rPr>
        <w:t xml:space="preserve"> 1998.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Y. </w:t>
      </w:r>
      <w:proofErr w:type="spellStart"/>
      <w:r w:rsidRPr="0082533E">
        <w:rPr>
          <w:rFonts w:ascii="Shruti" w:hAnsi="Shruti" w:cs="Shruti"/>
        </w:rPr>
        <w:t>Granjon</w:t>
      </w:r>
      <w:proofErr w:type="spellEnd"/>
      <w:r w:rsidRPr="0082533E">
        <w:rPr>
          <w:rFonts w:ascii="Shruti" w:hAnsi="Shruti" w:cs="Shruti"/>
        </w:rPr>
        <w:t xml:space="preserve">, Automatique : Systèmes linéaires, non linéaires, à temps continu, à temps discret,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représentation d'état, Editions </w:t>
      </w:r>
      <w:proofErr w:type="spellStart"/>
      <w:r w:rsidRPr="0082533E">
        <w:rPr>
          <w:rFonts w:ascii="Shruti" w:hAnsi="Shruti" w:cs="Shruti"/>
        </w:rPr>
        <w:t>Dunod</w:t>
      </w:r>
      <w:proofErr w:type="spellEnd"/>
      <w:r w:rsidRPr="0082533E">
        <w:rPr>
          <w:rFonts w:ascii="Shruti" w:hAnsi="Shruti" w:cs="Shruti"/>
        </w:rPr>
        <w:t xml:space="preserve"> 2001. </w:t>
      </w:r>
    </w:p>
    <w:p w:rsidR="00D70A15" w:rsidRPr="0082533E" w:rsidRDefault="00D70A15" w:rsidP="008F1F71">
      <w:pPr>
        <w:pStyle w:val="Paragraphedeliste"/>
        <w:numPr>
          <w:ilvl w:val="0"/>
          <w:numId w:val="1"/>
        </w:numPr>
        <w:jc w:val="both"/>
        <w:rPr>
          <w:rFonts w:ascii="Shruti" w:hAnsi="Shruti" w:cs="Shruti"/>
          <w:lang w:val="en-US"/>
        </w:rPr>
      </w:pPr>
      <w:r w:rsidRPr="0082533E">
        <w:rPr>
          <w:rFonts w:ascii="Shruti" w:hAnsi="Shruti" w:cs="Shruti"/>
          <w:lang w:val="en-US"/>
        </w:rPr>
        <w:t xml:space="preserve">K. Ogata, Modern control engineering, Fourth edition, Prentice Hall International Editions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B. </w:t>
      </w:r>
      <w:proofErr w:type="spellStart"/>
      <w:r w:rsidRPr="0082533E">
        <w:rPr>
          <w:rFonts w:ascii="Shruti" w:hAnsi="Shruti" w:cs="Shruti"/>
        </w:rPr>
        <w:t>Pradin</w:t>
      </w:r>
      <w:proofErr w:type="spellEnd"/>
      <w:r w:rsidRPr="0082533E">
        <w:rPr>
          <w:rFonts w:ascii="Shruti" w:hAnsi="Shruti" w:cs="Shruti"/>
        </w:rPr>
        <w:t xml:space="preserve">, Cours d'Automatique. INSA de Toulouse, 3ème année spécialité GII. </w:t>
      </w:r>
    </w:p>
    <w:p w:rsidR="00D70A15" w:rsidRPr="0082533E" w:rsidRDefault="00D70A15" w:rsidP="00D70A15">
      <w:pPr>
        <w:pStyle w:val="Paragraphedeliste"/>
        <w:numPr>
          <w:ilvl w:val="0"/>
          <w:numId w:val="1"/>
        </w:numPr>
        <w:jc w:val="both"/>
        <w:rPr>
          <w:rFonts w:ascii="Shruti" w:hAnsi="Shruti" w:cs="Shruti"/>
        </w:rPr>
      </w:pPr>
      <w:r w:rsidRPr="0082533E">
        <w:rPr>
          <w:rFonts w:ascii="Shruti" w:hAnsi="Shruti" w:cs="Shruti"/>
        </w:rPr>
        <w:t xml:space="preserve"> M. Rivoire et J.-L. Ferrier, Cours d'Automatique, tome 2 : asservissement, régulation, </w:t>
      </w:r>
    </w:p>
    <w:p w:rsidR="00D70A15" w:rsidRPr="00D70A15" w:rsidRDefault="00D70A15" w:rsidP="00D70A15">
      <w:pPr>
        <w:pStyle w:val="Paragraphedeliste"/>
        <w:numPr>
          <w:ilvl w:val="0"/>
          <w:numId w:val="1"/>
        </w:numPr>
        <w:jc w:val="both"/>
        <w:rPr>
          <w:rFonts w:ascii="Shruti" w:hAnsi="Shruti" w:cs="Shruti"/>
          <w:sz w:val="24"/>
          <w:szCs w:val="24"/>
        </w:rPr>
      </w:pPr>
      <w:r w:rsidRPr="0082533E">
        <w:rPr>
          <w:rFonts w:ascii="Shruti" w:hAnsi="Shruti" w:cs="Shruti"/>
        </w:rPr>
        <w:t>commande analogique, Editions Eyrolles 1996.</w:t>
      </w:r>
      <w:r w:rsidRPr="00D70A15">
        <w:rPr>
          <w:rFonts w:ascii="Shruti" w:hAnsi="Shruti" w:cs="Shruti"/>
          <w:sz w:val="24"/>
          <w:szCs w:val="24"/>
        </w:rPr>
        <w:t xml:space="preserve"> </w:t>
      </w:r>
    </w:p>
    <w:sectPr w:rsidR="00D70A15" w:rsidRPr="00D70A15" w:rsidSect="00143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F01"/>
    <w:multiLevelType w:val="hybridMultilevel"/>
    <w:tmpl w:val="9332936A"/>
    <w:lvl w:ilvl="0" w:tplc="F5625A46">
      <w:start w:val="1"/>
      <w:numFmt w:val="decimal"/>
      <w:lvlText w:val="%1."/>
      <w:lvlJc w:val="left"/>
      <w:pPr>
        <w:ind w:left="360" w:hanging="360"/>
      </w:pPr>
      <w:rPr>
        <w:rFonts w:ascii="Shruti" w:eastAsiaTheme="minorEastAsia" w:hAnsi="Shruti" w:cs="Shrut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useFELayout/>
  </w:compat>
  <w:rsids>
    <w:rsidRoot w:val="00F069AB"/>
    <w:rsid w:val="0003635B"/>
    <w:rsid w:val="000977B1"/>
    <w:rsid w:val="000E2025"/>
    <w:rsid w:val="001010F6"/>
    <w:rsid w:val="00102C2D"/>
    <w:rsid w:val="0014305C"/>
    <w:rsid w:val="001D258E"/>
    <w:rsid w:val="001D28B6"/>
    <w:rsid w:val="00212198"/>
    <w:rsid w:val="00234E17"/>
    <w:rsid w:val="002815AD"/>
    <w:rsid w:val="002C4579"/>
    <w:rsid w:val="003738DE"/>
    <w:rsid w:val="00396A22"/>
    <w:rsid w:val="003B055F"/>
    <w:rsid w:val="003B186C"/>
    <w:rsid w:val="003E5B8A"/>
    <w:rsid w:val="00414264"/>
    <w:rsid w:val="0048051A"/>
    <w:rsid w:val="004D3FAA"/>
    <w:rsid w:val="004E3CE4"/>
    <w:rsid w:val="0054683A"/>
    <w:rsid w:val="005906D4"/>
    <w:rsid w:val="006078D7"/>
    <w:rsid w:val="00614FF3"/>
    <w:rsid w:val="00621EC6"/>
    <w:rsid w:val="00631B58"/>
    <w:rsid w:val="0064186E"/>
    <w:rsid w:val="006E7B15"/>
    <w:rsid w:val="00743900"/>
    <w:rsid w:val="007537AB"/>
    <w:rsid w:val="00801826"/>
    <w:rsid w:val="0082533E"/>
    <w:rsid w:val="00835FE9"/>
    <w:rsid w:val="008E6E50"/>
    <w:rsid w:val="008F1F71"/>
    <w:rsid w:val="008F28BF"/>
    <w:rsid w:val="00912B4A"/>
    <w:rsid w:val="0097278B"/>
    <w:rsid w:val="009864CC"/>
    <w:rsid w:val="009D34B9"/>
    <w:rsid w:val="009E08B2"/>
    <w:rsid w:val="00A60370"/>
    <w:rsid w:val="00B27F15"/>
    <w:rsid w:val="00B800A7"/>
    <w:rsid w:val="00BB266B"/>
    <w:rsid w:val="00BC4FDA"/>
    <w:rsid w:val="00C136E9"/>
    <w:rsid w:val="00C56DC9"/>
    <w:rsid w:val="00CC20A7"/>
    <w:rsid w:val="00CE3A18"/>
    <w:rsid w:val="00D03EC1"/>
    <w:rsid w:val="00D24A8E"/>
    <w:rsid w:val="00D55F79"/>
    <w:rsid w:val="00D70A15"/>
    <w:rsid w:val="00D754C5"/>
    <w:rsid w:val="00DB4D57"/>
    <w:rsid w:val="00DD12D5"/>
    <w:rsid w:val="00DF711B"/>
    <w:rsid w:val="00DF7494"/>
    <w:rsid w:val="00E07B04"/>
    <w:rsid w:val="00E86177"/>
    <w:rsid w:val="00EB1B9A"/>
    <w:rsid w:val="00EF6E50"/>
    <w:rsid w:val="00F069AB"/>
    <w:rsid w:val="00F207C4"/>
    <w:rsid w:val="00F50CA3"/>
    <w:rsid w:val="00F7150E"/>
    <w:rsid w:val="00FA6D96"/>
    <w:rsid w:val="00FA7F4C"/>
    <w:rsid w:val="00FB49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05C"/>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35FE9"/>
    <w:rPr>
      <w:sz w:val="16"/>
      <w:szCs w:val="16"/>
    </w:rPr>
  </w:style>
  <w:style w:type="paragraph" w:styleId="Commentaire">
    <w:name w:val="annotation text"/>
    <w:basedOn w:val="Normal"/>
    <w:link w:val="CommentaireCar"/>
    <w:uiPriority w:val="99"/>
    <w:semiHidden/>
    <w:unhideWhenUsed/>
    <w:rsid w:val="00835FE9"/>
    <w:pPr>
      <w:spacing w:line="240" w:lineRule="auto"/>
    </w:pPr>
    <w:rPr>
      <w:sz w:val="20"/>
      <w:szCs w:val="20"/>
    </w:rPr>
  </w:style>
  <w:style w:type="character" w:customStyle="1" w:styleId="CommentaireCar">
    <w:name w:val="Commentaire Car"/>
    <w:basedOn w:val="Policepardfaut"/>
    <w:link w:val="Commentaire"/>
    <w:uiPriority w:val="99"/>
    <w:semiHidden/>
    <w:rsid w:val="00835FE9"/>
    <w:rPr>
      <w:sz w:val="20"/>
      <w:szCs w:val="20"/>
    </w:rPr>
  </w:style>
  <w:style w:type="paragraph" w:styleId="Objetducommentaire">
    <w:name w:val="annotation subject"/>
    <w:basedOn w:val="Commentaire"/>
    <w:next w:val="Commentaire"/>
    <w:link w:val="ObjetducommentaireCar"/>
    <w:uiPriority w:val="99"/>
    <w:semiHidden/>
    <w:unhideWhenUsed/>
    <w:rsid w:val="00835FE9"/>
    <w:rPr>
      <w:b/>
      <w:bCs/>
    </w:rPr>
  </w:style>
  <w:style w:type="character" w:customStyle="1" w:styleId="ObjetducommentaireCar">
    <w:name w:val="Objet du commentaire Car"/>
    <w:basedOn w:val="CommentaireCar"/>
    <w:link w:val="Objetducommentaire"/>
    <w:uiPriority w:val="99"/>
    <w:semiHidden/>
    <w:rsid w:val="00835FE9"/>
    <w:rPr>
      <w:b/>
      <w:bCs/>
      <w:sz w:val="20"/>
      <w:szCs w:val="20"/>
    </w:rPr>
  </w:style>
  <w:style w:type="paragraph" w:styleId="Textedebulles">
    <w:name w:val="Balloon Text"/>
    <w:basedOn w:val="Normal"/>
    <w:link w:val="TextedebullesCar"/>
    <w:uiPriority w:val="99"/>
    <w:semiHidden/>
    <w:unhideWhenUsed/>
    <w:rsid w:val="00835FE9"/>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835FE9"/>
    <w:rPr>
      <w:rFonts w:ascii="Arial" w:hAnsi="Arial" w:cs="Arial"/>
      <w:sz w:val="18"/>
      <w:szCs w:val="18"/>
    </w:rPr>
  </w:style>
  <w:style w:type="paragraph" w:styleId="Paragraphedeliste">
    <w:name w:val="List Paragraph"/>
    <w:basedOn w:val="Normal"/>
    <w:uiPriority w:val="34"/>
    <w:qFormat/>
    <w:rsid w:val="0003635B"/>
    <w:pPr>
      <w:ind w:left="720"/>
      <w:contextualSpacing/>
    </w:pPr>
  </w:style>
  <w:style w:type="table" w:styleId="Grilledutableau">
    <w:name w:val="Table Grid"/>
    <w:basedOn w:val="TableauNormal"/>
    <w:uiPriority w:val="39"/>
    <w:rsid w:val="00825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C56DC9"/>
    <w:rPr>
      <w:rFonts w:ascii="Cambria" w:hAnsi="Cambria"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522</Words>
  <Characters>2874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hp</cp:lastModifiedBy>
  <cp:revision>67</cp:revision>
  <dcterms:created xsi:type="dcterms:W3CDTF">2018-09-24T16:38:00Z</dcterms:created>
  <dcterms:modified xsi:type="dcterms:W3CDTF">2021-01-15T20:18:00Z</dcterms:modified>
</cp:coreProperties>
</file>