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797" w:rsidRPr="00BC596A" w:rsidRDefault="002B3EB3" w:rsidP="001A1797">
      <w:pPr>
        <w:jc w:val="center"/>
        <w:rPr>
          <w:rFonts w:asciiTheme="majorBidi" w:hAnsiTheme="majorBidi" w:cstheme="majorBidi"/>
          <w:b/>
          <w:bCs/>
          <w:sz w:val="24"/>
          <w:szCs w:val="24"/>
        </w:rPr>
      </w:pPr>
      <w:r>
        <w:rPr>
          <w:rFonts w:asciiTheme="majorBidi" w:hAnsiTheme="majorBidi" w:cstheme="majorBidi"/>
          <w:b/>
          <w:bCs/>
          <w:sz w:val="24"/>
          <w:szCs w:val="24"/>
        </w:rPr>
        <w:t>Chapitre 6 : A</w:t>
      </w:r>
      <w:r w:rsidR="001A1797" w:rsidRPr="00BC596A">
        <w:rPr>
          <w:rFonts w:asciiTheme="majorBidi" w:hAnsiTheme="majorBidi" w:cstheme="majorBidi"/>
          <w:b/>
          <w:bCs/>
          <w:sz w:val="24"/>
          <w:szCs w:val="24"/>
        </w:rPr>
        <w:t xml:space="preserve">nnotation des génomes </w:t>
      </w:r>
    </w:p>
    <w:p w:rsidR="001A1797" w:rsidRPr="00E8597C" w:rsidRDefault="00BC596A" w:rsidP="001A1797">
      <w:pPr>
        <w:ind w:left="-142"/>
        <w:rPr>
          <w:rFonts w:asciiTheme="majorBidi" w:hAnsiTheme="majorBidi" w:cstheme="majorBidi"/>
          <w:b/>
          <w:bCs/>
          <w:sz w:val="24"/>
          <w:szCs w:val="24"/>
        </w:rPr>
      </w:pPr>
      <w:r>
        <w:rPr>
          <w:rFonts w:asciiTheme="majorBidi" w:hAnsiTheme="majorBidi" w:cstheme="majorBidi"/>
          <w:b/>
          <w:bCs/>
          <w:sz w:val="24"/>
          <w:szCs w:val="24"/>
        </w:rPr>
        <w:t>Introduction </w:t>
      </w:r>
    </w:p>
    <w:p w:rsidR="001A1797" w:rsidRPr="00E8597C" w:rsidRDefault="001A1797" w:rsidP="00E1066E">
      <w:pPr>
        <w:spacing w:line="360" w:lineRule="auto"/>
        <w:ind w:left="-142" w:right="-426" w:firstLine="284"/>
        <w:jc w:val="both"/>
        <w:rPr>
          <w:rFonts w:asciiTheme="majorBidi" w:hAnsiTheme="majorBidi" w:cstheme="majorBidi"/>
          <w:sz w:val="24"/>
          <w:szCs w:val="24"/>
        </w:rPr>
      </w:pPr>
      <w:r w:rsidRPr="00E8597C">
        <w:rPr>
          <w:rFonts w:asciiTheme="majorBidi" w:hAnsiTheme="majorBidi" w:cstheme="majorBidi"/>
          <w:sz w:val="24"/>
          <w:szCs w:val="24"/>
        </w:rPr>
        <w:t xml:space="preserve">    Une succession  brute</w:t>
      </w:r>
      <w:r w:rsidR="00E1066E">
        <w:rPr>
          <w:rFonts w:asciiTheme="majorBidi" w:hAnsiTheme="majorBidi" w:cstheme="majorBidi"/>
          <w:sz w:val="24"/>
          <w:szCs w:val="24"/>
        </w:rPr>
        <w:t xml:space="preserve"> de nucléotides n’à aucun sens ; l</w:t>
      </w:r>
      <w:r w:rsidRPr="00E1066E">
        <w:rPr>
          <w:rFonts w:asciiTheme="majorBidi" w:hAnsiTheme="majorBidi" w:cstheme="majorBidi"/>
          <w:bCs/>
          <w:sz w:val="24"/>
          <w:szCs w:val="24"/>
        </w:rPr>
        <w:t>’annotation</w:t>
      </w:r>
      <w:r w:rsidRPr="00E8597C">
        <w:rPr>
          <w:rFonts w:asciiTheme="majorBidi" w:hAnsiTheme="majorBidi" w:cstheme="majorBidi"/>
          <w:b/>
          <w:bCs/>
          <w:sz w:val="24"/>
          <w:szCs w:val="24"/>
        </w:rPr>
        <w:t> </w:t>
      </w:r>
      <w:r w:rsidRPr="00E8597C">
        <w:rPr>
          <w:rFonts w:asciiTheme="majorBidi" w:hAnsiTheme="majorBidi" w:cstheme="majorBidi"/>
          <w:sz w:val="24"/>
          <w:szCs w:val="24"/>
        </w:rPr>
        <w:t>est le travail d’analyse qui permet d’expliquer ou de proposer des hypothèses pour les propriétés biologique d’un génome. Pour cela, il faut rechercher les objets génétiques présents dans le génome puis essayer de leur attribuer des fonctions. Ainsi, l’annotation est  l’antichambre de l’expérimentation</w:t>
      </w:r>
      <w:r w:rsidR="00E1066E">
        <w:rPr>
          <w:rFonts w:asciiTheme="majorBidi" w:hAnsiTheme="majorBidi" w:cstheme="majorBidi"/>
          <w:sz w:val="24"/>
          <w:szCs w:val="24"/>
        </w:rPr>
        <w:t> ;</w:t>
      </w:r>
      <w:r w:rsidRPr="00E8597C">
        <w:rPr>
          <w:rFonts w:asciiTheme="majorBidi" w:hAnsiTheme="majorBidi" w:cstheme="majorBidi"/>
          <w:sz w:val="24"/>
          <w:szCs w:val="24"/>
        </w:rPr>
        <w:t xml:space="preserve"> elle conduit à élaborer des protocoles expérimentaux qui valident </w:t>
      </w:r>
      <w:r w:rsidR="00E1066E">
        <w:rPr>
          <w:rFonts w:asciiTheme="majorBidi" w:hAnsiTheme="majorBidi" w:cstheme="majorBidi"/>
          <w:sz w:val="24"/>
          <w:szCs w:val="24"/>
        </w:rPr>
        <w:t>o</w:t>
      </w:r>
      <w:r w:rsidRPr="00E8597C">
        <w:rPr>
          <w:rFonts w:asciiTheme="majorBidi" w:hAnsiTheme="majorBidi" w:cstheme="majorBidi"/>
          <w:sz w:val="24"/>
          <w:szCs w:val="24"/>
        </w:rPr>
        <w:t>u invalident la fonction supposée de l’objet biologique</w:t>
      </w:r>
      <w:r w:rsidR="00E1066E">
        <w:rPr>
          <w:rFonts w:asciiTheme="majorBidi" w:hAnsiTheme="majorBidi" w:cstheme="majorBidi"/>
          <w:sz w:val="24"/>
          <w:szCs w:val="24"/>
        </w:rPr>
        <w:t>.</w:t>
      </w:r>
      <w:r w:rsidRPr="00E8597C">
        <w:rPr>
          <w:rFonts w:asciiTheme="majorBidi" w:hAnsiTheme="majorBidi" w:cstheme="majorBidi"/>
          <w:sz w:val="24"/>
          <w:szCs w:val="24"/>
        </w:rPr>
        <w:t xml:space="preserve"> </w:t>
      </w:r>
      <w:r w:rsidR="00E1066E">
        <w:rPr>
          <w:rFonts w:asciiTheme="majorBidi" w:hAnsiTheme="majorBidi" w:cstheme="majorBidi"/>
          <w:sz w:val="24"/>
          <w:szCs w:val="24"/>
        </w:rPr>
        <w:t>C</w:t>
      </w:r>
      <w:r w:rsidRPr="00E8597C">
        <w:rPr>
          <w:rFonts w:asciiTheme="majorBidi" w:hAnsiTheme="majorBidi" w:cstheme="majorBidi"/>
          <w:sz w:val="24"/>
          <w:szCs w:val="24"/>
        </w:rPr>
        <w:t>lassiquement on distingue trois étapes principales dans l</w:t>
      </w:r>
      <w:r w:rsidR="00E1066E">
        <w:rPr>
          <w:rFonts w:asciiTheme="majorBidi" w:hAnsiTheme="majorBidi" w:cstheme="majorBidi"/>
          <w:sz w:val="24"/>
          <w:szCs w:val="24"/>
        </w:rPr>
        <w:t>e</w:t>
      </w:r>
      <w:r w:rsidRPr="00E8597C">
        <w:rPr>
          <w:rFonts w:asciiTheme="majorBidi" w:hAnsiTheme="majorBidi" w:cstheme="majorBidi"/>
          <w:sz w:val="24"/>
          <w:szCs w:val="24"/>
        </w:rPr>
        <w:t xml:space="preserve"> processus d’annotation d’un génome</w:t>
      </w:r>
      <w:r w:rsidR="00E1066E">
        <w:rPr>
          <w:rFonts w:asciiTheme="majorBidi" w:hAnsiTheme="majorBidi" w:cstheme="majorBidi"/>
          <w:sz w:val="24"/>
          <w:szCs w:val="24"/>
        </w:rPr>
        <w:t> :</w:t>
      </w:r>
      <w:r w:rsidRPr="00E8597C">
        <w:rPr>
          <w:rFonts w:asciiTheme="majorBidi" w:hAnsiTheme="majorBidi" w:cstheme="majorBidi"/>
          <w:sz w:val="24"/>
          <w:szCs w:val="24"/>
        </w:rPr>
        <w:t xml:space="preserve"> </w:t>
      </w:r>
    </w:p>
    <w:p w:rsidR="001A1797" w:rsidRPr="00E8597C" w:rsidRDefault="001A1797" w:rsidP="001A1797">
      <w:pPr>
        <w:pStyle w:val="Paragraphedeliste"/>
        <w:numPr>
          <w:ilvl w:val="0"/>
          <w:numId w:val="7"/>
        </w:numPr>
        <w:spacing w:after="0" w:line="360" w:lineRule="auto"/>
        <w:ind w:right="-426"/>
        <w:jc w:val="both"/>
        <w:rPr>
          <w:rFonts w:asciiTheme="majorBidi" w:hAnsiTheme="majorBidi" w:cstheme="majorBidi"/>
          <w:sz w:val="24"/>
          <w:szCs w:val="24"/>
        </w:rPr>
      </w:pPr>
      <w:r w:rsidRPr="00E8597C">
        <w:rPr>
          <w:rFonts w:asciiTheme="majorBidi" w:hAnsiTheme="majorBidi" w:cstheme="majorBidi"/>
          <w:b/>
          <w:bCs/>
          <w:sz w:val="24"/>
          <w:szCs w:val="24"/>
        </w:rPr>
        <w:t xml:space="preserve">L’annotation  syntaxique : </w:t>
      </w:r>
      <w:r w:rsidRPr="00E8597C">
        <w:rPr>
          <w:rFonts w:asciiTheme="majorBidi" w:hAnsiTheme="majorBidi" w:cstheme="majorBidi"/>
          <w:sz w:val="24"/>
          <w:szCs w:val="24"/>
        </w:rPr>
        <w:t xml:space="preserve">c’est l’étape qui permet d’identifier les objets génétiques présentant une pertinence biologique </w:t>
      </w:r>
      <w:r w:rsidRPr="00E8597C">
        <w:rPr>
          <w:rFonts w:asciiTheme="majorBidi" w:hAnsiTheme="majorBidi" w:cstheme="majorBidi"/>
          <w:b/>
          <w:bCs/>
          <w:sz w:val="24"/>
          <w:szCs w:val="24"/>
        </w:rPr>
        <w:t>(</w:t>
      </w:r>
      <w:r w:rsidRPr="00E8597C">
        <w:rPr>
          <w:rFonts w:asciiTheme="majorBidi" w:hAnsiTheme="majorBidi" w:cstheme="majorBidi"/>
          <w:sz w:val="24"/>
          <w:szCs w:val="24"/>
        </w:rPr>
        <w:t>séquences codantes, ARN, séquence répétées</w:t>
      </w:r>
      <w:r w:rsidRPr="00E8597C">
        <w:rPr>
          <w:rFonts w:asciiTheme="majorBidi" w:hAnsiTheme="majorBidi" w:cstheme="majorBidi"/>
          <w:b/>
          <w:bCs/>
          <w:sz w:val="24"/>
          <w:szCs w:val="24"/>
        </w:rPr>
        <w:t>…</w:t>
      </w:r>
      <w:r w:rsidRPr="00E8597C">
        <w:rPr>
          <w:rFonts w:asciiTheme="majorBidi" w:hAnsiTheme="majorBidi" w:cstheme="majorBidi"/>
          <w:sz w:val="24"/>
          <w:szCs w:val="24"/>
        </w:rPr>
        <w:t xml:space="preserve"> etc</w:t>
      </w:r>
      <w:r w:rsidRPr="00E8597C">
        <w:rPr>
          <w:rFonts w:asciiTheme="majorBidi" w:hAnsiTheme="majorBidi" w:cstheme="majorBidi"/>
          <w:b/>
          <w:bCs/>
          <w:sz w:val="24"/>
          <w:szCs w:val="24"/>
        </w:rPr>
        <w:t>.).</w:t>
      </w:r>
    </w:p>
    <w:p w:rsidR="001A1797" w:rsidRPr="00E8597C" w:rsidRDefault="001A1797" w:rsidP="001A1797">
      <w:pPr>
        <w:pStyle w:val="Paragraphedeliste"/>
        <w:numPr>
          <w:ilvl w:val="0"/>
          <w:numId w:val="7"/>
        </w:numPr>
        <w:spacing w:after="0" w:line="360" w:lineRule="auto"/>
        <w:ind w:right="-426"/>
        <w:jc w:val="both"/>
        <w:rPr>
          <w:rFonts w:asciiTheme="majorBidi" w:hAnsiTheme="majorBidi" w:cstheme="majorBidi"/>
          <w:sz w:val="24"/>
          <w:szCs w:val="24"/>
        </w:rPr>
      </w:pPr>
      <w:r w:rsidRPr="00E8597C">
        <w:rPr>
          <w:rFonts w:asciiTheme="majorBidi" w:hAnsiTheme="majorBidi" w:cstheme="majorBidi"/>
          <w:b/>
          <w:bCs/>
          <w:sz w:val="24"/>
          <w:szCs w:val="24"/>
        </w:rPr>
        <w:t xml:space="preserve">L’annotation fonctionnelle : </w:t>
      </w:r>
      <w:r w:rsidRPr="00E8597C">
        <w:rPr>
          <w:rFonts w:asciiTheme="majorBidi" w:hAnsiTheme="majorBidi" w:cstheme="majorBidi"/>
          <w:sz w:val="24"/>
          <w:szCs w:val="24"/>
        </w:rPr>
        <w:t xml:space="preserve">c’est l’étape qui permet de prédire les fonctions potentielles des objets génétiques préalablement identifie (similitudes de séquence, motifs, structure…etc.) et de collecter d’éventuelles </w:t>
      </w:r>
      <w:r w:rsidR="00E1066E">
        <w:rPr>
          <w:rFonts w:asciiTheme="majorBidi" w:hAnsiTheme="majorBidi" w:cstheme="majorBidi"/>
          <w:sz w:val="24"/>
          <w:szCs w:val="24"/>
        </w:rPr>
        <w:t>in</w:t>
      </w:r>
      <w:r w:rsidRPr="00E8597C">
        <w:rPr>
          <w:rFonts w:asciiTheme="majorBidi" w:hAnsiTheme="majorBidi" w:cstheme="majorBidi"/>
          <w:sz w:val="24"/>
          <w:szCs w:val="24"/>
        </w:rPr>
        <w:t>formation</w:t>
      </w:r>
      <w:r w:rsidR="00E1066E">
        <w:rPr>
          <w:rFonts w:asciiTheme="majorBidi" w:hAnsiTheme="majorBidi" w:cstheme="majorBidi"/>
          <w:sz w:val="24"/>
          <w:szCs w:val="24"/>
        </w:rPr>
        <w:t>s</w:t>
      </w:r>
      <w:r w:rsidRPr="00E8597C">
        <w:rPr>
          <w:rFonts w:asciiTheme="majorBidi" w:hAnsiTheme="majorBidi" w:cstheme="majorBidi"/>
          <w:sz w:val="24"/>
          <w:szCs w:val="24"/>
        </w:rPr>
        <w:t xml:space="preserve"> expérimentales.    </w:t>
      </w:r>
    </w:p>
    <w:p w:rsidR="001A1797" w:rsidRPr="00E8597C" w:rsidRDefault="001A1797" w:rsidP="001A1797">
      <w:pPr>
        <w:pStyle w:val="Paragraphedeliste"/>
        <w:numPr>
          <w:ilvl w:val="0"/>
          <w:numId w:val="7"/>
        </w:numPr>
        <w:spacing w:after="0" w:line="360" w:lineRule="auto"/>
        <w:ind w:right="-426"/>
        <w:jc w:val="both"/>
        <w:rPr>
          <w:rFonts w:asciiTheme="majorBidi" w:hAnsiTheme="majorBidi" w:cstheme="majorBidi"/>
          <w:sz w:val="24"/>
          <w:szCs w:val="24"/>
        </w:rPr>
      </w:pPr>
      <w:r w:rsidRPr="00E8597C">
        <w:rPr>
          <w:rFonts w:asciiTheme="majorBidi" w:hAnsiTheme="majorBidi" w:cstheme="majorBidi"/>
          <w:b/>
          <w:bCs/>
          <w:sz w:val="24"/>
          <w:szCs w:val="24"/>
        </w:rPr>
        <w:t xml:space="preserve">L’annotation  relationnelle : </w:t>
      </w:r>
      <w:r w:rsidRPr="00E8597C">
        <w:rPr>
          <w:rFonts w:asciiTheme="majorBidi" w:hAnsiTheme="majorBidi" w:cstheme="majorBidi"/>
          <w:sz w:val="24"/>
          <w:szCs w:val="24"/>
        </w:rPr>
        <w:t xml:space="preserve">c’est l’étape qui permet de déterminer l’interaction que les objets biologies préalablement identifie sont </w:t>
      </w:r>
      <w:r w:rsidR="00E1066E" w:rsidRPr="00E8597C">
        <w:rPr>
          <w:rFonts w:asciiTheme="majorBidi" w:hAnsiTheme="majorBidi" w:cstheme="majorBidi"/>
          <w:sz w:val="24"/>
          <w:szCs w:val="24"/>
        </w:rPr>
        <w:t>sus</w:t>
      </w:r>
      <w:r w:rsidR="00E1066E">
        <w:rPr>
          <w:rFonts w:asciiTheme="majorBidi" w:hAnsiTheme="majorBidi" w:cstheme="majorBidi"/>
          <w:sz w:val="24"/>
          <w:szCs w:val="24"/>
        </w:rPr>
        <w:t>c</w:t>
      </w:r>
      <w:r w:rsidR="00E1066E" w:rsidRPr="00E8597C">
        <w:rPr>
          <w:rFonts w:asciiTheme="majorBidi" w:hAnsiTheme="majorBidi" w:cstheme="majorBidi"/>
          <w:sz w:val="24"/>
          <w:szCs w:val="24"/>
        </w:rPr>
        <w:t>eptibles</w:t>
      </w:r>
      <w:r w:rsidRPr="00E8597C">
        <w:rPr>
          <w:rFonts w:asciiTheme="majorBidi" w:hAnsiTheme="majorBidi" w:cstheme="majorBidi"/>
          <w:sz w:val="24"/>
          <w:szCs w:val="24"/>
        </w:rPr>
        <w:t xml:space="preserve"> d’entreteni</w:t>
      </w:r>
      <w:r w:rsidR="00E1066E">
        <w:rPr>
          <w:rFonts w:asciiTheme="majorBidi" w:hAnsiTheme="majorBidi" w:cstheme="majorBidi"/>
          <w:sz w:val="24"/>
          <w:szCs w:val="24"/>
        </w:rPr>
        <w:t>r</w:t>
      </w:r>
      <w:r w:rsidRPr="00E8597C">
        <w:rPr>
          <w:rFonts w:asciiTheme="majorBidi" w:hAnsiTheme="majorBidi" w:cstheme="majorBidi"/>
          <w:sz w:val="24"/>
          <w:szCs w:val="24"/>
        </w:rPr>
        <w:t xml:space="preserve"> (familles de gènes, réseaux de régulation).</w:t>
      </w:r>
    </w:p>
    <w:p w:rsidR="001A1797" w:rsidRPr="00E8597C" w:rsidRDefault="001A1797" w:rsidP="001A1797">
      <w:pPr>
        <w:spacing w:after="0" w:line="360" w:lineRule="auto"/>
        <w:ind w:left="-142" w:right="-426"/>
        <w:jc w:val="both"/>
        <w:rPr>
          <w:rFonts w:asciiTheme="majorBidi" w:hAnsiTheme="majorBidi" w:cstheme="majorBidi"/>
          <w:sz w:val="24"/>
          <w:szCs w:val="24"/>
        </w:rPr>
      </w:pPr>
      <w:r w:rsidRPr="00E8597C">
        <w:rPr>
          <w:rFonts w:asciiTheme="majorBidi" w:hAnsiTheme="majorBidi" w:cstheme="majorBidi"/>
          <w:sz w:val="24"/>
          <w:szCs w:val="24"/>
        </w:rPr>
        <w:t xml:space="preserve">        L’ensemble de ces information</w:t>
      </w:r>
      <w:r w:rsidR="00E1066E">
        <w:rPr>
          <w:rFonts w:asciiTheme="majorBidi" w:hAnsiTheme="majorBidi" w:cstheme="majorBidi"/>
          <w:sz w:val="24"/>
          <w:szCs w:val="24"/>
        </w:rPr>
        <w:t>s</w:t>
      </w:r>
      <w:r w:rsidRPr="00E8597C">
        <w:rPr>
          <w:rFonts w:asciiTheme="majorBidi" w:hAnsiTheme="majorBidi" w:cstheme="majorBidi"/>
          <w:sz w:val="24"/>
          <w:szCs w:val="24"/>
        </w:rPr>
        <w:t xml:space="preserve"> seront ensuit stockées dans des bases de données consultables par l’expérimentateur.  </w:t>
      </w:r>
    </w:p>
    <w:p w:rsidR="001A1797" w:rsidRPr="00E8597C" w:rsidRDefault="001A1797" w:rsidP="001A1797">
      <w:pPr>
        <w:spacing w:after="0" w:line="360" w:lineRule="auto"/>
        <w:ind w:right="-426"/>
        <w:jc w:val="both"/>
        <w:rPr>
          <w:rFonts w:asciiTheme="majorBidi" w:hAnsiTheme="majorBidi" w:cstheme="majorBidi"/>
          <w:b/>
          <w:bCs/>
          <w:sz w:val="24"/>
          <w:szCs w:val="24"/>
        </w:rPr>
      </w:pPr>
      <w:r w:rsidRPr="00E8597C">
        <w:rPr>
          <w:rFonts w:asciiTheme="majorBidi" w:hAnsiTheme="majorBidi" w:cstheme="majorBidi"/>
          <w:b/>
          <w:bCs/>
          <w:sz w:val="28"/>
          <w:szCs w:val="28"/>
        </w:rPr>
        <w:t>1</w:t>
      </w:r>
      <w:r w:rsidRPr="00E8597C">
        <w:rPr>
          <w:rFonts w:asciiTheme="majorBidi" w:hAnsiTheme="majorBidi" w:cstheme="majorBidi"/>
          <w:b/>
          <w:bCs/>
          <w:sz w:val="24"/>
          <w:szCs w:val="24"/>
        </w:rPr>
        <w:t xml:space="preserve">. Annotation  syntaxique : La </w:t>
      </w:r>
      <w:r>
        <w:rPr>
          <w:rFonts w:asciiTheme="majorBidi" w:hAnsiTheme="majorBidi" w:cstheme="majorBidi"/>
          <w:b/>
          <w:bCs/>
          <w:sz w:val="24"/>
          <w:szCs w:val="24"/>
        </w:rPr>
        <w:t>recherch</w:t>
      </w:r>
      <w:r w:rsidRPr="00E8597C">
        <w:rPr>
          <w:rFonts w:asciiTheme="majorBidi" w:hAnsiTheme="majorBidi" w:cstheme="majorBidi"/>
          <w:b/>
          <w:bCs/>
          <w:sz w:val="24"/>
          <w:szCs w:val="24"/>
        </w:rPr>
        <w:t>e d’objet</w:t>
      </w:r>
      <w:r w:rsidR="00B266D3">
        <w:rPr>
          <w:rFonts w:asciiTheme="majorBidi" w:hAnsiTheme="majorBidi" w:cstheme="majorBidi"/>
          <w:b/>
          <w:bCs/>
          <w:sz w:val="24"/>
          <w:szCs w:val="24"/>
        </w:rPr>
        <w:t>s</w:t>
      </w:r>
      <w:r w:rsidRPr="00E8597C">
        <w:rPr>
          <w:rFonts w:asciiTheme="majorBidi" w:hAnsiTheme="majorBidi" w:cstheme="majorBidi"/>
          <w:b/>
          <w:bCs/>
          <w:sz w:val="24"/>
          <w:szCs w:val="24"/>
        </w:rPr>
        <w:t xml:space="preserve"> génétiques :</w:t>
      </w:r>
    </w:p>
    <w:p w:rsidR="001A1797" w:rsidRPr="00E8597C" w:rsidRDefault="001A1797" w:rsidP="001A1797">
      <w:pPr>
        <w:spacing w:after="0" w:line="360" w:lineRule="auto"/>
        <w:ind w:right="-426"/>
        <w:jc w:val="both"/>
        <w:rPr>
          <w:rFonts w:asciiTheme="majorBidi" w:hAnsiTheme="majorBidi" w:cstheme="majorBidi"/>
          <w:sz w:val="24"/>
          <w:szCs w:val="24"/>
        </w:rPr>
      </w:pPr>
      <w:r w:rsidRPr="00E8597C">
        <w:rPr>
          <w:rFonts w:asciiTheme="majorBidi" w:hAnsiTheme="majorBidi" w:cstheme="majorBidi"/>
          <w:b/>
          <w:bCs/>
          <w:sz w:val="24"/>
          <w:szCs w:val="24"/>
        </w:rPr>
        <w:t xml:space="preserve">Principe : </w:t>
      </w:r>
      <w:r w:rsidRPr="00E8597C">
        <w:rPr>
          <w:rFonts w:asciiTheme="majorBidi" w:hAnsiTheme="majorBidi" w:cstheme="majorBidi"/>
          <w:sz w:val="24"/>
          <w:szCs w:val="24"/>
        </w:rPr>
        <w:t>La recherche d’objet génétiques  passe par la recherche de gènes au sens large c'est-à-dire </w:t>
      </w:r>
      <w:r w:rsidRPr="00E8597C">
        <w:rPr>
          <w:rFonts w:asciiTheme="majorBidi" w:hAnsiTheme="majorBidi" w:cstheme="majorBidi"/>
          <w:b/>
          <w:bCs/>
          <w:sz w:val="24"/>
          <w:szCs w:val="24"/>
        </w:rPr>
        <w:t>:</w:t>
      </w:r>
      <w:r w:rsidRPr="00E8597C">
        <w:rPr>
          <w:rFonts w:asciiTheme="majorBidi" w:hAnsiTheme="majorBidi" w:cstheme="majorBidi"/>
          <w:sz w:val="24"/>
          <w:szCs w:val="24"/>
        </w:rPr>
        <w:t xml:space="preserve"> toute séquence qui transcrite ou traduite, peut avoir un rôle dans les fonctionnements biologique</w:t>
      </w:r>
      <w:r w:rsidR="00E1066E">
        <w:rPr>
          <w:rFonts w:asciiTheme="majorBidi" w:hAnsiTheme="majorBidi" w:cstheme="majorBidi"/>
          <w:sz w:val="24"/>
          <w:szCs w:val="24"/>
        </w:rPr>
        <w:t>s</w:t>
      </w:r>
      <w:r w:rsidRPr="00E8597C">
        <w:rPr>
          <w:rFonts w:asciiTheme="majorBidi" w:hAnsiTheme="majorBidi" w:cstheme="majorBidi"/>
          <w:sz w:val="24"/>
          <w:szCs w:val="24"/>
        </w:rPr>
        <w:t xml:space="preserve"> de la cellule cela  recouvre</w:t>
      </w:r>
      <w:r w:rsidRPr="00E8597C">
        <w:rPr>
          <w:rFonts w:asciiTheme="majorBidi" w:hAnsiTheme="majorBidi" w:cstheme="majorBidi"/>
          <w:b/>
          <w:bCs/>
          <w:sz w:val="24"/>
          <w:szCs w:val="24"/>
        </w:rPr>
        <w:t xml:space="preserve"> : </w:t>
      </w:r>
      <w:r w:rsidRPr="00E8597C">
        <w:rPr>
          <w:rFonts w:asciiTheme="majorBidi" w:hAnsiTheme="majorBidi" w:cstheme="majorBidi"/>
          <w:sz w:val="24"/>
          <w:szCs w:val="24"/>
        </w:rPr>
        <w:t>les séquences codantes (CDS : coding séquence), les ARN</w:t>
      </w:r>
      <w:r w:rsidR="00E1066E">
        <w:rPr>
          <w:rFonts w:asciiTheme="majorBidi" w:hAnsiTheme="majorBidi" w:cstheme="majorBidi"/>
          <w:sz w:val="24"/>
          <w:szCs w:val="24"/>
        </w:rPr>
        <w:t xml:space="preserve">m et les </w:t>
      </w:r>
      <w:r w:rsidR="00E1066E" w:rsidRPr="00E8597C">
        <w:rPr>
          <w:rFonts w:asciiTheme="majorBidi" w:hAnsiTheme="majorBidi" w:cstheme="majorBidi"/>
          <w:sz w:val="24"/>
          <w:szCs w:val="24"/>
        </w:rPr>
        <w:t>ARN</w:t>
      </w:r>
      <w:r w:rsidR="00E1066E">
        <w:rPr>
          <w:rFonts w:asciiTheme="majorBidi" w:hAnsiTheme="majorBidi" w:cstheme="majorBidi"/>
          <w:sz w:val="24"/>
          <w:szCs w:val="24"/>
        </w:rPr>
        <w:t xml:space="preserve"> no</w:t>
      </w:r>
      <w:r w:rsidRPr="00E8597C">
        <w:rPr>
          <w:rFonts w:asciiTheme="majorBidi" w:hAnsiTheme="majorBidi" w:cstheme="majorBidi"/>
          <w:sz w:val="24"/>
          <w:szCs w:val="24"/>
        </w:rPr>
        <w:t>n traduits (ARNt</w:t>
      </w:r>
      <w:r>
        <w:rPr>
          <w:rFonts w:asciiTheme="majorBidi" w:hAnsiTheme="majorBidi" w:cstheme="majorBidi"/>
          <w:sz w:val="24"/>
          <w:szCs w:val="24"/>
        </w:rPr>
        <w:t xml:space="preserve"> </w:t>
      </w:r>
      <w:r w:rsidRPr="00E8597C">
        <w:rPr>
          <w:rFonts w:asciiTheme="majorBidi" w:hAnsiTheme="majorBidi" w:cstheme="majorBidi"/>
          <w:sz w:val="24"/>
          <w:szCs w:val="24"/>
        </w:rPr>
        <w:t>, ARNr,  RNAsn).</w:t>
      </w:r>
    </w:p>
    <w:p w:rsidR="001A1797" w:rsidRPr="00E1066E" w:rsidRDefault="001A1797" w:rsidP="00E1066E">
      <w:pPr>
        <w:pStyle w:val="Paragraphedeliste"/>
        <w:numPr>
          <w:ilvl w:val="0"/>
          <w:numId w:val="9"/>
        </w:numPr>
        <w:spacing w:after="0" w:line="360" w:lineRule="auto"/>
        <w:ind w:right="-426"/>
        <w:jc w:val="both"/>
        <w:rPr>
          <w:rFonts w:asciiTheme="majorBidi" w:hAnsiTheme="majorBidi" w:cstheme="majorBidi"/>
          <w:b/>
          <w:bCs/>
          <w:sz w:val="24"/>
          <w:szCs w:val="24"/>
        </w:rPr>
      </w:pPr>
      <w:r w:rsidRPr="00E1066E">
        <w:rPr>
          <w:rFonts w:asciiTheme="majorBidi" w:hAnsiTheme="majorBidi" w:cstheme="majorBidi"/>
          <w:b/>
          <w:bCs/>
          <w:sz w:val="24"/>
          <w:szCs w:val="24"/>
        </w:rPr>
        <w:t xml:space="preserve">La recherche de signaux de séquence codante chez les procaryotes : </w:t>
      </w:r>
    </w:p>
    <w:p w:rsidR="001A1797" w:rsidRPr="001F25B9" w:rsidRDefault="001A1797" w:rsidP="001A1797">
      <w:pPr>
        <w:pStyle w:val="Paragraphedeliste"/>
        <w:numPr>
          <w:ilvl w:val="0"/>
          <w:numId w:val="8"/>
        </w:numPr>
        <w:tabs>
          <w:tab w:val="left" w:pos="426"/>
        </w:tabs>
        <w:spacing w:after="0" w:line="360" w:lineRule="auto"/>
        <w:ind w:left="0" w:right="-426" w:firstLine="0"/>
        <w:jc w:val="both"/>
        <w:rPr>
          <w:rFonts w:asciiTheme="majorBidi" w:hAnsiTheme="majorBidi" w:cstheme="majorBidi"/>
          <w:sz w:val="24"/>
          <w:szCs w:val="24"/>
        </w:rPr>
      </w:pPr>
      <w:r w:rsidRPr="001F25B9">
        <w:rPr>
          <w:rFonts w:asciiTheme="majorBidi" w:hAnsiTheme="majorBidi" w:cstheme="majorBidi"/>
          <w:sz w:val="24"/>
          <w:szCs w:val="24"/>
        </w:rPr>
        <w:t>L’annotation syntaxique des génomes procaryotes est relativement plus aisée que celle des génomes eucaryotes pour les raisons suivant</w:t>
      </w:r>
      <w:r w:rsidR="00E1066E">
        <w:rPr>
          <w:rFonts w:asciiTheme="majorBidi" w:hAnsiTheme="majorBidi" w:cstheme="majorBidi"/>
          <w:sz w:val="24"/>
          <w:szCs w:val="24"/>
        </w:rPr>
        <w:t>e</w:t>
      </w:r>
      <w:r w:rsidRPr="001F25B9">
        <w:rPr>
          <w:rFonts w:asciiTheme="majorBidi" w:hAnsiTheme="majorBidi" w:cstheme="majorBidi"/>
          <w:sz w:val="24"/>
          <w:szCs w:val="24"/>
        </w:rPr>
        <w:t>s</w:t>
      </w:r>
      <w:r w:rsidRPr="001F25B9">
        <w:rPr>
          <w:rFonts w:asciiTheme="majorBidi" w:hAnsiTheme="majorBidi" w:cstheme="majorBidi"/>
          <w:b/>
          <w:bCs/>
          <w:sz w:val="24"/>
          <w:szCs w:val="24"/>
        </w:rPr>
        <w:t> :</w:t>
      </w:r>
    </w:p>
    <w:p w:rsidR="001A1797" w:rsidRDefault="001A1797" w:rsidP="00B266D3">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Les génomes procaryotes sont plus petits que les génomes eucaryotes et ont surtout une densité de codage bien plus importante de l’ordre de 80 </w:t>
      </w:r>
      <w:r w:rsidRPr="00643264">
        <w:rPr>
          <w:rFonts w:asciiTheme="majorBidi" w:hAnsiTheme="majorBidi" w:cstheme="majorBidi"/>
          <w:b/>
          <w:bCs/>
          <w:sz w:val="24"/>
          <w:szCs w:val="24"/>
        </w:rPr>
        <w:t>-</w:t>
      </w:r>
      <w:r>
        <w:rPr>
          <w:rFonts w:asciiTheme="majorBidi" w:hAnsiTheme="majorBidi" w:cstheme="majorBidi"/>
          <w:sz w:val="24"/>
          <w:szCs w:val="24"/>
        </w:rPr>
        <w:t xml:space="preserve"> 90 % à quelle que pourcentage chez l’être humaine</w:t>
      </w:r>
    </w:p>
    <w:p w:rsidR="00A1753E" w:rsidRPr="00942629" w:rsidRDefault="0015679E" w:rsidP="00267798">
      <w:pPr>
        <w:pStyle w:val="Paragraphedeliste"/>
        <w:numPr>
          <w:ilvl w:val="0"/>
          <w:numId w:val="1"/>
        </w:num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les gènes procaryotes sont fréquemment organ</w:t>
      </w:r>
      <w:r w:rsidR="00E1066E">
        <w:rPr>
          <w:rFonts w:asciiTheme="majorBidi" w:hAnsiTheme="majorBidi" w:cstheme="majorBidi"/>
          <w:sz w:val="24"/>
          <w:szCs w:val="24"/>
        </w:rPr>
        <w:t>i</w:t>
      </w:r>
      <w:r w:rsidRPr="00942629">
        <w:rPr>
          <w:rFonts w:asciiTheme="majorBidi" w:hAnsiTheme="majorBidi" w:cstheme="majorBidi"/>
          <w:sz w:val="24"/>
          <w:szCs w:val="24"/>
        </w:rPr>
        <w:t>s</w:t>
      </w:r>
      <w:r w:rsidR="00E1066E">
        <w:rPr>
          <w:rFonts w:asciiTheme="majorBidi" w:hAnsiTheme="majorBidi" w:cstheme="majorBidi"/>
          <w:sz w:val="24"/>
          <w:szCs w:val="24"/>
        </w:rPr>
        <w:t>és</w:t>
      </w:r>
      <w:r w:rsidRPr="00942629">
        <w:rPr>
          <w:rFonts w:asciiTheme="majorBidi" w:hAnsiTheme="majorBidi" w:cstheme="majorBidi"/>
          <w:sz w:val="24"/>
          <w:szCs w:val="24"/>
        </w:rPr>
        <w:t xml:space="preserve"> en </w:t>
      </w:r>
      <w:r w:rsidR="00267798" w:rsidRPr="00942629">
        <w:rPr>
          <w:rFonts w:asciiTheme="majorBidi" w:hAnsiTheme="majorBidi" w:cstheme="majorBidi"/>
          <w:sz w:val="24"/>
          <w:szCs w:val="24"/>
        </w:rPr>
        <w:t>opéron, c’est</w:t>
      </w:r>
      <w:r w:rsidRPr="00942629">
        <w:rPr>
          <w:rFonts w:asciiTheme="majorBidi" w:hAnsiTheme="majorBidi" w:cstheme="majorBidi"/>
          <w:sz w:val="24"/>
          <w:szCs w:val="24"/>
        </w:rPr>
        <w:t>-à-dire qu’une seule unité de tra</w:t>
      </w:r>
      <w:r w:rsidR="00267798" w:rsidRPr="00942629">
        <w:rPr>
          <w:rFonts w:asciiTheme="majorBidi" w:hAnsiTheme="majorBidi" w:cstheme="majorBidi"/>
          <w:sz w:val="24"/>
          <w:szCs w:val="24"/>
        </w:rPr>
        <w:t>nscription peut contenir plusieurs</w:t>
      </w:r>
      <w:r w:rsidRPr="00942629">
        <w:rPr>
          <w:rFonts w:asciiTheme="majorBidi" w:hAnsiTheme="majorBidi" w:cstheme="majorBidi"/>
          <w:sz w:val="24"/>
          <w:szCs w:val="24"/>
        </w:rPr>
        <w:t xml:space="preserve"> séquences codantes.</w:t>
      </w:r>
    </w:p>
    <w:p w:rsidR="0015679E" w:rsidRPr="00942629" w:rsidRDefault="0015679E" w:rsidP="00267798">
      <w:pPr>
        <w:pStyle w:val="Paragraphedeliste"/>
        <w:numPr>
          <w:ilvl w:val="0"/>
          <w:numId w:val="1"/>
        </w:num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lastRenderedPageBreak/>
        <w:t>les gènes procaryotes ne sont pas morcelés (fragmentés) contrairement à ceux des eucaryotes.</w:t>
      </w:r>
    </w:p>
    <w:p w:rsidR="0015679E" w:rsidRPr="00942629" w:rsidRDefault="008506EC" w:rsidP="00267798">
      <w:pPr>
        <w:spacing w:after="0" w:line="360" w:lineRule="auto"/>
        <w:jc w:val="both"/>
        <w:rPr>
          <w:rFonts w:asciiTheme="majorBidi" w:hAnsiTheme="majorBidi" w:cstheme="majorBidi"/>
          <w:b/>
          <w:bCs/>
          <w:sz w:val="24"/>
          <w:szCs w:val="24"/>
        </w:rPr>
      </w:pPr>
      <w:r w:rsidRPr="00942629">
        <w:rPr>
          <w:rFonts w:asciiTheme="majorBidi" w:hAnsiTheme="majorBidi" w:cstheme="majorBidi"/>
          <w:b/>
          <w:bCs/>
          <w:sz w:val="24"/>
          <w:szCs w:val="24"/>
        </w:rPr>
        <w:t xml:space="preserve">   </w:t>
      </w:r>
      <w:r w:rsidR="0015679E" w:rsidRPr="00942629">
        <w:rPr>
          <w:rFonts w:asciiTheme="majorBidi" w:hAnsiTheme="majorBidi" w:cstheme="majorBidi"/>
          <w:b/>
          <w:bCs/>
          <w:sz w:val="24"/>
          <w:szCs w:val="24"/>
        </w:rPr>
        <w:t>A_1 : ORF et CDS chez les procaryotes :</w:t>
      </w:r>
    </w:p>
    <w:p w:rsidR="0015679E" w:rsidRPr="00942629" w:rsidRDefault="008506EC" w:rsidP="00267798">
      <w:p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 xml:space="preserve">       </w:t>
      </w:r>
      <w:r w:rsidR="0015679E" w:rsidRPr="00942629">
        <w:rPr>
          <w:rFonts w:asciiTheme="majorBidi" w:hAnsiTheme="majorBidi" w:cstheme="majorBidi"/>
          <w:sz w:val="24"/>
          <w:szCs w:val="24"/>
        </w:rPr>
        <w:t xml:space="preserve">La phase ouverte de lecture (ORF) est la région de l’ADN qui séparé deux </w:t>
      </w:r>
      <w:r w:rsidR="00267798" w:rsidRPr="00942629">
        <w:rPr>
          <w:rFonts w:asciiTheme="majorBidi" w:hAnsiTheme="majorBidi" w:cstheme="majorBidi"/>
          <w:sz w:val="24"/>
          <w:szCs w:val="24"/>
        </w:rPr>
        <w:t>codants</w:t>
      </w:r>
      <w:r w:rsidR="0015679E" w:rsidRPr="00942629">
        <w:rPr>
          <w:rFonts w:asciiTheme="majorBidi" w:hAnsiTheme="majorBidi" w:cstheme="majorBidi"/>
          <w:sz w:val="24"/>
          <w:szCs w:val="24"/>
        </w:rPr>
        <w:t xml:space="preserve"> de terminaison de traduction. Dans celle-ci, une séquence codante (CDS) débute toujours par un codon d’initiation de la traduction et se termine toujours par un codon de terminaison de la traduction c'est-à-dire :</w:t>
      </w:r>
      <w:r w:rsidR="00E1066E">
        <w:rPr>
          <w:rFonts w:asciiTheme="majorBidi" w:hAnsiTheme="majorBidi" w:cstheme="majorBidi"/>
          <w:sz w:val="24"/>
          <w:szCs w:val="24"/>
        </w:rPr>
        <w:t xml:space="preserve"> </w:t>
      </w:r>
      <w:r w:rsidR="0015679E" w:rsidRPr="00942629">
        <w:rPr>
          <w:rFonts w:asciiTheme="majorBidi" w:hAnsiTheme="majorBidi" w:cstheme="majorBidi"/>
          <w:sz w:val="24"/>
          <w:szCs w:val="24"/>
        </w:rPr>
        <w:t>la séquence codante est parfois appelé ORF.</w:t>
      </w:r>
    </w:p>
    <w:p w:rsidR="00F939EE" w:rsidRPr="00942629" w:rsidRDefault="00F939EE" w:rsidP="00267798">
      <w:pPr>
        <w:spacing w:after="0" w:line="360" w:lineRule="auto"/>
        <w:jc w:val="both"/>
        <w:rPr>
          <w:rFonts w:asciiTheme="majorBidi" w:hAnsiTheme="majorBidi" w:cstheme="majorBidi"/>
          <w:b/>
          <w:bCs/>
          <w:sz w:val="24"/>
          <w:szCs w:val="24"/>
        </w:rPr>
      </w:pPr>
      <w:r w:rsidRPr="00942629">
        <w:rPr>
          <w:rFonts w:asciiTheme="majorBidi" w:hAnsiTheme="majorBidi" w:cstheme="majorBidi"/>
          <w:b/>
          <w:bCs/>
          <w:sz w:val="24"/>
          <w:szCs w:val="24"/>
        </w:rPr>
        <w:t>A_2 :</w:t>
      </w:r>
      <w:r w:rsidR="00267798" w:rsidRPr="00942629">
        <w:rPr>
          <w:rFonts w:asciiTheme="majorBidi" w:hAnsiTheme="majorBidi" w:cstheme="majorBidi"/>
          <w:b/>
          <w:bCs/>
          <w:sz w:val="24"/>
          <w:szCs w:val="24"/>
        </w:rPr>
        <w:t xml:space="preserve"> </w:t>
      </w:r>
      <w:r w:rsidRPr="00942629">
        <w:rPr>
          <w:rFonts w:asciiTheme="majorBidi" w:hAnsiTheme="majorBidi" w:cstheme="majorBidi"/>
          <w:b/>
          <w:bCs/>
          <w:sz w:val="24"/>
          <w:szCs w:val="24"/>
        </w:rPr>
        <w:t>la séquence de Shine-Dalgarno ou site de liaison au ribosome :</w:t>
      </w:r>
    </w:p>
    <w:p w:rsidR="00F939EE" w:rsidRPr="00942629" w:rsidRDefault="008506EC" w:rsidP="00267798">
      <w:p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 xml:space="preserve">          </w:t>
      </w:r>
      <w:r w:rsidR="00F939EE" w:rsidRPr="00942629">
        <w:rPr>
          <w:rFonts w:asciiTheme="majorBidi" w:hAnsiTheme="majorBidi" w:cstheme="majorBidi"/>
          <w:sz w:val="24"/>
          <w:szCs w:val="24"/>
        </w:rPr>
        <w:t>(</w:t>
      </w:r>
      <w:r w:rsidR="00267798" w:rsidRPr="00942629">
        <w:rPr>
          <w:rFonts w:asciiTheme="majorBidi" w:hAnsiTheme="majorBidi" w:cstheme="majorBidi"/>
          <w:sz w:val="24"/>
          <w:szCs w:val="24"/>
        </w:rPr>
        <w:t>Ribosome</w:t>
      </w:r>
      <w:r w:rsidR="00F939EE" w:rsidRPr="00942629">
        <w:rPr>
          <w:rFonts w:asciiTheme="majorBidi" w:hAnsiTheme="majorBidi" w:cstheme="majorBidi"/>
          <w:sz w:val="24"/>
          <w:szCs w:val="24"/>
        </w:rPr>
        <w:t xml:space="preserve"> </w:t>
      </w:r>
      <w:r w:rsidR="004D20FA">
        <w:rPr>
          <w:rFonts w:asciiTheme="majorBidi" w:hAnsiTheme="majorBidi" w:cstheme="majorBidi"/>
          <w:sz w:val="24"/>
          <w:szCs w:val="24"/>
        </w:rPr>
        <w:t>B</w:t>
      </w:r>
      <w:r w:rsidR="00267798" w:rsidRPr="00942629">
        <w:rPr>
          <w:rFonts w:asciiTheme="majorBidi" w:hAnsiTheme="majorBidi" w:cstheme="majorBidi"/>
          <w:sz w:val="24"/>
          <w:szCs w:val="24"/>
        </w:rPr>
        <w:t>anding</w:t>
      </w:r>
      <w:r w:rsidR="00F939EE" w:rsidRPr="00942629">
        <w:rPr>
          <w:rFonts w:asciiTheme="majorBidi" w:hAnsiTheme="majorBidi" w:cstheme="majorBidi"/>
          <w:sz w:val="24"/>
          <w:szCs w:val="24"/>
        </w:rPr>
        <w:t xml:space="preserve"> </w:t>
      </w:r>
      <w:r w:rsidR="004D20FA">
        <w:rPr>
          <w:rFonts w:asciiTheme="majorBidi" w:hAnsiTheme="majorBidi" w:cstheme="majorBidi"/>
          <w:sz w:val="24"/>
          <w:szCs w:val="24"/>
        </w:rPr>
        <w:t>S</w:t>
      </w:r>
      <w:r w:rsidR="00F939EE" w:rsidRPr="00942629">
        <w:rPr>
          <w:rFonts w:asciiTheme="majorBidi" w:hAnsiTheme="majorBidi" w:cstheme="majorBidi"/>
          <w:sz w:val="24"/>
          <w:szCs w:val="24"/>
        </w:rPr>
        <w:t>ite</w:t>
      </w:r>
      <w:r w:rsidR="004D20FA">
        <w:rPr>
          <w:rFonts w:asciiTheme="majorBidi" w:hAnsiTheme="majorBidi" w:cstheme="majorBidi"/>
          <w:sz w:val="24"/>
          <w:szCs w:val="24"/>
        </w:rPr>
        <w:t xml:space="preserve"> ou</w:t>
      </w:r>
      <w:r w:rsidR="00F939EE" w:rsidRPr="00942629">
        <w:rPr>
          <w:rFonts w:asciiTheme="majorBidi" w:hAnsiTheme="majorBidi" w:cstheme="majorBidi"/>
          <w:sz w:val="24"/>
          <w:szCs w:val="24"/>
        </w:rPr>
        <w:t xml:space="preserve"> RBS) se situe entre 3 à 10 nucléotides en amont du codon </w:t>
      </w:r>
      <w:r w:rsidR="00267798" w:rsidRPr="00942629">
        <w:rPr>
          <w:rFonts w:asciiTheme="majorBidi" w:hAnsiTheme="majorBidi" w:cstheme="majorBidi"/>
          <w:sz w:val="24"/>
          <w:szCs w:val="24"/>
        </w:rPr>
        <w:t>Start</w:t>
      </w:r>
      <w:r w:rsidR="00F939EE" w:rsidRPr="00942629">
        <w:rPr>
          <w:rFonts w:asciiTheme="majorBidi" w:hAnsiTheme="majorBidi" w:cstheme="majorBidi"/>
          <w:sz w:val="24"/>
          <w:szCs w:val="24"/>
        </w:rPr>
        <w:t xml:space="preserve">, c’est une région riche en purine qui permet au ribosome de se fixer spécifiquement sur les AUG correspondant à un véritable codon </w:t>
      </w:r>
      <w:r w:rsidR="00267798" w:rsidRPr="00942629">
        <w:rPr>
          <w:rFonts w:asciiTheme="majorBidi" w:hAnsiTheme="majorBidi" w:cstheme="majorBidi"/>
          <w:sz w:val="24"/>
          <w:szCs w:val="24"/>
        </w:rPr>
        <w:t>Start</w:t>
      </w:r>
      <w:r w:rsidR="00F939EE" w:rsidRPr="00942629">
        <w:rPr>
          <w:rFonts w:asciiTheme="majorBidi" w:hAnsiTheme="majorBidi" w:cstheme="majorBidi"/>
          <w:sz w:val="24"/>
          <w:szCs w:val="24"/>
        </w:rPr>
        <w:t>.</w:t>
      </w:r>
    </w:p>
    <w:p w:rsidR="00F939EE" w:rsidRPr="00942629" w:rsidRDefault="00F939EE" w:rsidP="00267798">
      <w:pPr>
        <w:spacing w:after="0" w:line="360" w:lineRule="auto"/>
        <w:jc w:val="both"/>
        <w:rPr>
          <w:rFonts w:asciiTheme="majorBidi" w:hAnsiTheme="majorBidi" w:cstheme="majorBidi"/>
          <w:b/>
          <w:bCs/>
          <w:sz w:val="24"/>
          <w:szCs w:val="24"/>
        </w:rPr>
      </w:pPr>
      <w:r w:rsidRPr="00942629">
        <w:rPr>
          <w:rFonts w:asciiTheme="majorBidi" w:hAnsiTheme="majorBidi" w:cstheme="majorBidi"/>
          <w:b/>
          <w:bCs/>
          <w:sz w:val="24"/>
          <w:szCs w:val="24"/>
        </w:rPr>
        <w:t xml:space="preserve">A_3 : le promoteur : </w:t>
      </w:r>
    </w:p>
    <w:p w:rsidR="00F939EE" w:rsidRPr="00942629" w:rsidRDefault="008506EC" w:rsidP="00267798">
      <w:p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 xml:space="preserve">          </w:t>
      </w:r>
      <w:r w:rsidR="00F939EE" w:rsidRPr="00942629">
        <w:rPr>
          <w:rFonts w:asciiTheme="majorBidi" w:hAnsiTheme="majorBidi" w:cstheme="majorBidi"/>
          <w:sz w:val="24"/>
          <w:szCs w:val="24"/>
        </w:rPr>
        <w:t>Région reconnue spécifiquement par le complexe ARN polymérase et l</w:t>
      </w:r>
      <w:r w:rsidR="004D20FA">
        <w:rPr>
          <w:rFonts w:asciiTheme="majorBidi" w:hAnsiTheme="majorBidi" w:cstheme="majorBidi"/>
          <w:sz w:val="24"/>
          <w:szCs w:val="24"/>
        </w:rPr>
        <w:t>e</w:t>
      </w:r>
      <w:r w:rsidR="00F939EE" w:rsidRPr="00942629">
        <w:rPr>
          <w:rFonts w:asciiTheme="majorBidi" w:hAnsiTheme="majorBidi" w:cstheme="majorBidi"/>
          <w:sz w:val="24"/>
          <w:szCs w:val="24"/>
        </w:rPr>
        <w:t xml:space="preserve"> facteur sigma (</w:t>
      </w:r>
      <w:r w:rsidR="00267798" w:rsidRPr="00942629">
        <w:rPr>
          <w:rFonts w:asciiTheme="majorBidi" w:hAnsiTheme="majorBidi" w:cstheme="majorBidi"/>
          <w:sz w:val="24"/>
          <w:szCs w:val="24"/>
        </w:rPr>
        <w:t>Part</w:t>
      </w:r>
      <w:r w:rsidR="004D20FA">
        <w:rPr>
          <w:rFonts w:asciiTheme="majorBidi" w:hAnsiTheme="majorBidi" w:cstheme="majorBidi"/>
          <w:sz w:val="24"/>
          <w:szCs w:val="24"/>
        </w:rPr>
        <w:t>ie</w:t>
      </w:r>
      <w:r w:rsidR="00F939EE" w:rsidRPr="00942629">
        <w:rPr>
          <w:rFonts w:asciiTheme="majorBidi" w:hAnsiTheme="majorBidi" w:cstheme="majorBidi"/>
          <w:sz w:val="24"/>
          <w:szCs w:val="24"/>
        </w:rPr>
        <w:t xml:space="preserve"> qui assure la spécificité de l’initiation de la transcription) le promoteur est constitué de deux éléments :</w:t>
      </w:r>
    </w:p>
    <w:p w:rsidR="00C8701C" w:rsidRDefault="00F939EE" w:rsidP="008506EC">
      <w:pPr>
        <w:pStyle w:val="Paragraphedeliste"/>
        <w:numPr>
          <w:ilvl w:val="0"/>
          <w:numId w:val="2"/>
        </w:num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la séquence conservée localisée environ 10 nucléotides avant le site d’initiation de la transcription</w:t>
      </w:r>
      <w:r w:rsidR="00C8701C" w:rsidRPr="00942629">
        <w:rPr>
          <w:rFonts w:asciiTheme="majorBidi" w:hAnsiTheme="majorBidi" w:cstheme="majorBidi"/>
          <w:sz w:val="24"/>
          <w:szCs w:val="24"/>
        </w:rPr>
        <w:t> :</w:t>
      </w:r>
      <w:r w:rsidR="008506EC" w:rsidRPr="00942629">
        <w:rPr>
          <w:rFonts w:asciiTheme="majorBidi" w:hAnsiTheme="majorBidi" w:cstheme="majorBidi"/>
          <w:sz w:val="24"/>
          <w:szCs w:val="24"/>
        </w:rPr>
        <w:t xml:space="preserve"> </w:t>
      </w:r>
      <w:r w:rsidR="00C8701C" w:rsidRPr="00942629">
        <w:rPr>
          <w:rFonts w:asciiTheme="majorBidi" w:hAnsiTheme="majorBidi" w:cstheme="majorBidi"/>
          <w:sz w:val="24"/>
          <w:szCs w:val="24"/>
        </w:rPr>
        <w:t>la boite TATA</w:t>
      </w:r>
    </w:p>
    <w:p w:rsidR="00C8701C" w:rsidRPr="00942629" w:rsidRDefault="004D20FA" w:rsidP="004D20FA">
      <w:pPr>
        <w:pStyle w:val="Paragraphedeliste"/>
        <w:numPr>
          <w:ilvl w:val="0"/>
          <w:numId w:val="2"/>
        </w:numPr>
        <w:spacing w:after="0" w:line="360" w:lineRule="auto"/>
        <w:jc w:val="both"/>
        <w:rPr>
          <w:rFonts w:asciiTheme="majorBidi" w:hAnsiTheme="majorBidi" w:cstheme="majorBidi"/>
          <w:b/>
          <w:bCs/>
          <w:sz w:val="24"/>
          <w:szCs w:val="24"/>
        </w:rPr>
      </w:pPr>
      <w:r w:rsidRPr="004D20FA">
        <w:rPr>
          <w:rFonts w:asciiTheme="majorBidi" w:hAnsiTheme="majorBidi" w:cstheme="majorBidi"/>
          <w:bCs/>
          <w:sz w:val="24"/>
          <w:szCs w:val="24"/>
        </w:rPr>
        <w:t>La boite -35 </w:t>
      </w:r>
    </w:p>
    <w:p w:rsidR="00C8701C" w:rsidRPr="00942629" w:rsidRDefault="008506EC" w:rsidP="00267798">
      <w:p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 xml:space="preserve">         </w:t>
      </w:r>
      <w:r w:rsidR="00C8701C" w:rsidRPr="00942629">
        <w:rPr>
          <w:rFonts w:asciiTheme="majorBidi" w:hAnsiTheme="majorBidi" w:cstheme="majorBidi"/>
          <w:sz w:val="24"/>
          <w:szCs w:val="24"/>
        </w:rPr>
        <w:t>Dans un opéron le promoteur ne se localise qu’en amont de la premier CDS puisque l’opéron est une unité de transcription.</w:t>
      </w:r>
    </w:p>
    <w:p w:rsidR="00C8701C" w:rsidRPr="00942629" w:rsidRDefault="00C8701C" w:rsidP="00267798">
      <w:pPr>
        <w:spacing w:after="0" w:line="360" w:lineRule="auto"/>
        <w:jc w:val="both"/>
        <w:rPr>
          <w:rFonts w:asciiTheme="majorBidi" w:hAnsiTheme="majorBidi" w:cstheme="majorBidi"/>
          <w:b/>
          <w:bCs/>
          <w:sz w:val="24"/>
          <w:szCs w:val="24"/>
        </w:rPr>
      </w:pPr>
      <w:r w:rsidRPr="00942629">
        <w:rPr>
          <w:rFonts w:asciiTheme="majorBidi" w:hAnsiTheme="majorBidi" w:cstheme="majorBidi"/>
          <w:b/>
          <w:bCs/>
          <w:sz w:val="24"/>
          <w:szCs w:val="24"/>
        </w:rPr>
        <w:t>A_4 : le terminateur de transcription :</w:t>
      </w:r>
    </w:p>
    <w:p w:rsidR="00C8701C" w:rsidRPr="00942629" w:rsidRDefault="00C8701C" w:rsidP="00267798">
      <w:p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Séquence palindromique riche en GC suivies de séquences riche en A. c’est une séquence grâce à laquelle le complexe de transcription va se désassembler et ainsi terminer la transcription.</w:t>
      </w:r>
    </w:p>
    <w:p w:rsidR="00C8701C" w:rsidRPr="00942629" w:rsidRDefault="008506EC" w:rsidP="00267798">
      <w:pPr>
        <w:spacing w:after="0" w:line="360" w:lineRule="auto"/>
        <w:jc w:val="both"/>
        <w:rPr>
          <w:rFonts w:asciiTheme="majorBidi" w:hAnsiTheme="majorBidi" w:cstheme="majorBidi"/>
          <w:b/>
          <w:bCs/>
          <w:sz w:val="24"/>
          <w:szCs w:val="24"/>
        </w:rPr>
      </w:pPr>
      <w:r w:rsidRPr="00942629">
        <w:rPr>
          <w:rFonts w:asciiTheme="majorBidi" w:hAnsiTheme="majorBidi" w:cstheme="majorBidi"/>
          <w:b/>
          <w:bCs/>
          <w:sz w:val="24"/>
          <w:szCs w:val="24"/>
        </w:rPr>
        <w:t>B</w:t>
      </w:r>
      <w:r w:rsidR="00C8701C" w:rsidRPr="00942629">
        <w:rPr>
          <w:rFonts w:asciiTheme="majorBidi" w:hAnsiTheme="majorBidi" w:cstheme="majorBidi"/>
          <w:b/>
          <w:bCs/>
          <w:sz w:val="24"/>
          <w:szCs w:val="24"/>
        </w:rPr>
        <w:t>- recherche de signaux de séquences codantes chez les eucaryotes :</w:t>
      </w:r>
    </w:p>
    <w:p w:rsidR="00C8701C" w:rsidRPr="00942629" w:rsidRDefault="00267798" w:rsidP="00267798">
      <w:p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Chez</w:t>
      </w:r>
      <w:r w:rsidR="00C8701C" w:rsidRPr="00942629">
        <w:rPr>
          <w:rFonts w:asciiTheme="majorBidi" w:hAnsiTheme="majorBidi" w:cstheme="majorBidi"/>
          <w:sz w:val="24"/>
          <w:szCs w:val="24"/>
        </w:rPr>
        <w:t xml:space="preserve"> les </w:t>
      </w:r>
      <w:r w:rsidRPr="00942629">
        <w:rPr>
          <w:rFonts w:asciiTheme="majorBidi" w:hAnsiTheme="majorBidi" w:cstheme="majorBidi"/>
          <w:sz w:val="24"/>
          <w:szCs w:val="24"/>
        </w:rPr>
        <w:t>eucaryotes,</w:t>
      </w:r>
      <w:r w:rsidR="00C8701C" w:rsidRPr="00942629">
        <w:rPr>
          <w:rFonts w:asciiTheme="majorBidi" w:hAnsiTheme="majorBidi" w:cstheme="majorBidi"/>
          <w:sz w:val="24"/>
          <w:szCs w:val="24"/>
        </w:rPr>
        <w:t xml:space="preserve"> l’annotation syntaxique est nettement plus compliquée pour les raisons suivantes :</w:t>
      </w:r>
    </w:p>
    <w:p w:rsidR="00C8701C" w:rsidRPr="00942629" w:rsidRDefault="00C8701C" w:rsidP="008506EC">
      <w:pPr>
        <w:pStyle w:val="Paragraphedeliste"/>
        <w:numPr>
          <w:ilvl w:val="0"/>
          <w:numId w:val="3"/>
        </w:num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les génomes ont une faible densité de codage (régions répétées sans séquences codante)</w:t>
      </w:r>
    </w:p>
    <w:p w:rsidR="004E360D" w:rsidRPr="00942629" w:rsidRDefault="00C8701C" w:rsidP="008506EC">
      <w:pPr>
        <w:pStyle w:val="Paragraphedeliste"/>
        <w:numPr>
          <w:ilvl w:val="0"/>
          <w:numId w:val="3"/>
        </w:num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les gènes eucaryotes subissent des modifications post-</w:t>
      </w:r>
      <w:r w:rsidR="003B37E7">
        <w:rPr>
          <w:rFonts w:asciiTheme="majorBidi" w:hAnsiTheme="majorBidi" w:cstheme="majorBidi"/>
          <w:sz w:val="24"/>
          <w:szCs w:val="24"/>
        </w:rPr>
        <w:t>transrationnel</w:t>
      </w:r>
      <w:r w:rsidR="003B37E7" w:rsidRPr="00942629">
        <w:rPr>
          <w:rFonts w:asciiTheme="majorBidi" w:hAnsiTheme="majorBidi" w:cstheme="majorBidi"/>
          <w:sz w:val="24"/>
          <w:szCs w:val="24"/>
        </w:rPr>
        <w:t>les</w:t>
      </w:r>
      <w:r w:rsidRPr="00942629">
        <w:rPr>
          <w:rFonts w:asciiTheme="majorBidi" w:hAnsiTheme="majorBidi" w:cstheme="majorBidi"/>
          <w:sz w:val="24"/>
          <w:szCs w:val="24"/>
        </w:rPr>
        <w:t xml:space="preserve">.  </w:t>
      </w:r>
    </w:p>
    <w:p w:rsidR="00267798" w:rsidRDefault="004E360D" w:rsidP="00C03322">
      <w:pPr>
        <w:pStyle w:val="Paragraphedeliste"/>
        <w:numPr>
          <w:ilvl w:val="0"/>
          <w:numId w:val="3"/>
        </w:num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les gènes eucaryotes sont morcelés.</w:t>
      </w:r>
    </w:p>
    <w:p w:rsidR="003B37E7" w:rsidRDefault="003B37E7" w:rsidP="003B37E7">
      <w:pPr>
        <w:spacing w:after="0" w:line="360" w:lineRule="auto"/>
        <w:jc w:val="both"/>
        <w:rPr>
          <w:rFonts w:asciiTheme="majorBidi" w:hAnsiTheme="majorBidi" w:cstheme="majorBidi"/>
          <w:sz w:val="24"/>
          <w:szCs w:val="24"/>
        </w:rPr>
      </w:pPr>
    </w:p>
    <w:p w:rsidR="003B37E7" w:rsidRPr="003B37E7" w:rsidRDefault="003B37E7" w:rsidP="003B37E7">
      <w:pPr>
        <w:spacing w:after="0" w:line="360" w:lineRule="auto"/>
        <w:jc w:val="both"/>
        <w:rPr>
          <w:rFonts w:asciiTheme="majorBidi" w:hAnsiTheme="majorBidi" w:cstheme="majorBidi"/>
          <w:sz w:val="24"/>
          <w:szCs w:val="24"/>
        </w:rPr>
      </w:pPr>
    </w:p>
    <w:p w:rsidR="00C03322" w:rsidRPr="00942629" w:rsidRDefault="00C03322" w:rsidP="00C03322">
      <w:pPr>
        <w:pStyle w:val="Paragraphedeliste"/>
        <w:spacing w:after="0" w:line="360" w:lineRule="auto"/>
        <w:jc w:val="both"/>
        <w:rPr>
          <w:rFonts w:asciiTheme="majorBidi" w:hAnsiTheme="majorBidi" w:cstheme="majorBidi"/>
          <w:sz w:val="24"/>
          <w:szCs w:val="24"/>
        </w:rPr>
      </w:pPr>
    </w:p>
    <w:p w:rsidR="004E360D" w:rsidRPr="00942629" w:rsidRDefault="004E360D" w:rsidP="00267798">
      <w:pPr>
        <w:spacing w:after="0" w:line="360" w:lineRule="auto"/>
        <w:jc w:val="both"/>
        <w:rPr>
          <w:rFonts w:asciiTheme="majorBidi" w:hAnsiTheme="majorBidi" w:cstheme="majorBidi"/>
          <w:b/>
          <w:bCs/>
          <w:sz w:val="24"/>
          <w:szCs w:val="24"/>
        </w:rPr>
      </w:pPr>
      <w:r w:rsidRPr="00942629">
        <w:rPr>
          <w:rFonts w:asciiTheme="majorBidi" w:hAnsiTheme="majorBidi" w:cstheme="majorBidi"/>
          <w:b/>
          <w:bCs/>
          <w:sz w:val="24"/>
          <w:szCs w:val="24"/>
        </w:rPr>
        <w:lastRenderedPageBreak/>
        <w:t xml:space="preserve">     B</w:t>
      </w:r>
      <w:r w:rsidR="00BC596A">
        <w:rPr>
          <w:rFonts w:asciiTheme="majorBidi" w:hAnsiTheme="majorBidi" w:cstheme="majorBidi"/>
          <w:b/>
          <w:bCs/>
          <w:sz w:val="24"/>
          <w:szCs w:val="24"/>
        </w:rPr>
        <w:t>.</w:t>
      </w:r>
      <w:r w:rsidRPr="00942629">
        <w:rPr>
          <w:rFonts w:asciiTheme="majorBidi" w:hAnsiTheme="majorBidi" w:cstheme="majorBidi"/>
          <w:b/>
          <w:bCs/>
          <w:sz w:val="24"/>
          <w:szCs w:val="24"/>
        </w:rPr>
        <w:t>1</w:t>
      </w:r>
      <w:r w:rsidR="00BC596A">
        <w:rPr>
          <w:rFonts w:asciiTheme="majorBidi" w:hAnsiTheme="majorBidi" w:cstheme="majorBidi"/>
          <w:b/>
          <w:bCs/>
          <w:sz w:val="24"/>
          <w:szCs w:val="24"/>
        </w:rPr>
        <w:t xml:space="preserve">. </w:t>
      </w:r>
      <w:r w:rsidRPr="00942629">
        <w:rPr>
          <w:rFonts w:asciiTheme="majorBidi" w:hAnsiTheme="majorBidi" w:cstheme="majorBidi"/>
          <w:b/>
          <w:bCs/>
          <w:sz w:val="24"/>
          <w:szCs w:val="24"/>
        </w:rPr>
        <w:t>promoteur et signaux 5’ :</w:t>
      </w:r>
    </w:p>
    <w:p w:rsidR="004E360D" w:rsidRPr="00942629" w:rsidRDefault="00F3202F" w:rsidP="00267798">
      <w:p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 xml:space="preserve">          </w:t>
      </w:r>
      <w:r w:rsidR="004E360D" w:rsidRPr="00942629">
        <w:rPr>
          <w:rFonts w:asciiTheme="majorBidi" w:hAnsiTheme="majorBidi" w:cstheme="majorBidi"/>
          <w:sz w:val="24"/>
          <w:szCs w:val="24"/>
        </w:rPr>
        <w:t xml:space="preserve">Les séquences promotrices reconnues par l’ADN polymérases : chaque types d’ADN polymérase reconnue un type spécifique de gènes </w:t>
      </w:r>
    </w:p>
    <w:p w:rsidR="004E360D" w:rsidRPr="00942629" w:rsidRDefault="004E360D" w:rsidP="00F3202F">
      <w:pPr>
        <w:pStyle w:val="Paragraphedeliste"/>
        <w:numPr>
          <w:ilvl w:val="0"/>
          <w:numId w:val="4"/>
        </w:num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les sites de liaison aux facteurs de transcription.</w:t>
      </w:r>
    </w:p>
    <w:p w:rsidR="00942629" w:rsidRPr="00942629" w:rsidRDefault="00942629" w:rsidP="00942629">
      <w:pPr>
        <w:spacing w:after="0" w:line="360" w:lineRule="auto"/>
        <w:jc w:val="both"/>
        <w:rPr>
          <w:rFonts w:asciiTheme="majorBidi" w:hAnsiTheme="majorBidi" w:cstheme="majorBidi"/>
          <w:sz w:val="24"/>
          <w:szCs w:val="24"/>
        </w:rPr>
      </w:pPr>
      <w:r w:rsidRPr="00942629">
        <w:rPr>
          <w:sz w:val="24"/>
          <w:szCs w:val="24"/>
        </w:rPr>
        <w:t xml:space="preserve">  </w:t>
      </w:r>
      <w:r w:rsidRPr="00942629">
        <w:rPr>
          <w:rFonts w:asciiTheme="majorBidi" w:hAnsiTheme="majorBidi" w:cstheme="majorBidi"/>
          <w:sz w:val="24"/>
          <w:szCs w:val="24"/>
        </w:rPr>
        <w:t>L’initiation (INR) : une séquence faiblement conservée qui se trouve prés de site de début de transcription  entre les positions -3 +5.</w:t>
      </w:r>
    </w:p>
    <w:p w:rsidR="00942629" w:rsidRPr="00942629" w:rsidRDefault="00942629" w:rsidP="00942629">
      <w:p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 xml:space="preserve">        Pour les signaux de traduction, on recherche en particulier le site de liaison au ribosome ou séquence de KOZAK localisé en amant du codant Start.</w:t>
      </w:r>
    </w:p>
    <w:p w:rsidR="00942629" w:rsidRPr="00942629" w:rsidRDefault="00942629" w:rsidP="00942629">
      <w:pPr>
        <w:spacing w:after="0" w:line="360" w:lineRule="auto"/>
        <w:jc w:val="both"/>
        <w:rPr>
          <w:rFonts w:asciiTheme="majorBidi" w:hAnsiTheme="majorBidi" w:cstheme="majorBidi"/>
          <w:b/>
          <w:bCs/>
          <w:sz w:val="24"/>
          <w:szCs w:val="24"/>
        </w:rPr>
      </w:pPr>
      <w:r w:rsidRPr="00942629">
        <w:rPr>
          <w:rFonts w:asciiTheme="majorBidi" w:hAnsiTheme="majorBidi" w:cstheme="majorBidi"/>
          <w:b/>
          <w:bCs/>
          <w:sz w:val="24"/>
          <w:szCs w:val="24"/>
        </w:rPr>
        <w:t xml:space="preserve">   B.2.  jonctions exons</w:t>
      </w:r>
      <w:r w:rsidR="003B37E7">
        <w:rPr>
          <w:rFonts w:asciiTheme="majorBidi" w:hAnsiTheme="majorBidi" w:cstheme="majorBidi"/>
          <w:b/>
          <w:bCs/>
          <w:sz w:val="24"/>
          <w:szCs w:val="24"/>
        </w:rPr>
        <w:t>-</w:t>
      </w:r>
      <w:r w:rsidRPr="00942629">
        <w:rPr>
          <w:rFonts w:asciiTheme="majorBidi" w:hAnsiTheme="majorBidi" w:cstheme="majorBidi"/>
          <w:b/>
          <w:bCs/>
          <w:sz w:val="24"/>
          <w:szCs w:val="24"/>
        </w:rPr>
        <w:t xml:space="preserve"> introns :</w:t>
      </w:r>
    </w:p>
    <w:p w:rsidR="00942629" w:rsidRPr="00942629" w:rsidRDefault="00942629" w:rsidP="00942629">
      <w:p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 xml:space="preserve">        Les introns possèdent quatre signa</w:t>
      </w:r>
      <w:r w:rsidR="003B37E7">
        <w:rPr>
          <w:rFonts w:asciiTheme="majorBidi" w:hAnsiTheme="majorBidi" w:cstheme="majorBidi"/>
          <w:sz w:val="24"/>
          <w:szCs w:val="24"/>
        </w:rPr>
        <w:t>t</w:t>
      </w:r>
      <w:r w:rsidRPr="00942629">
        <w:rPr>
          <w:rFonts w:asciiTheme="majorBidi" w:hAnsiTheme="majorBidi" w:cstheme="majorBidi"/>
          <w:sz w:val="24"/>
          <w:szCs w:val="24"/>
        </w:rPr>
        <w:t xml:space="preserve">eurs </w:t>
      </w:r>
      <w:r w:rsidR="003B37E7" w:rsidRPr="00942629">
        <w:rPr>
          <w:rFonts w:asciiTheme="majorBidi" w:hAnsiTheme="majorBidi" w:cstheme="majorBidi"/>
          <w:sz w:val="24"/>
          <w:szCs w:val="24"/>
        </w:rPr>
        <w:t>importants</w:t>
      </w:r>
      <w:r w:rsidRPr="00942629">
        <w:rPr>
          <w:rFonts w:asciiTheme="majorBidi" w:hAnsiTheme="majorBidi" w:cstheme="majorBidi"/>
          <w:sz w:val="24"/>
          <w:szCs w:val="24"/>
        </w:rPr>
        <w:t xml:space="preserve"> dont les deux premiers indiquent les jonctions exons-introns :</w:t>
      </w:r>
    </w:p>
    <w:p w:rsidR="00942629" w:rsidRPr="00942629" w:rsidRDefault="00942629" w:rsidP="00942629">
      <w:pPr>
        <w:pStyle w:val="Paragraphedeliste"/>
        <w:numPr>
          <w:ilvl w:val="0"/>
          <w:numId w:val="5"/>
        </w:num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le site donne</w:t>
      </w:r>
      <w:r w:rsidR="003B37E7">
        <w:rPr>
          <w:rFonts w:asciiTheme="majorBidi" w:hAnsiTheme="majorBidi" w:cstheme="majorBidi"/>
          <w:sz w:val="24"/>
          <w:szCs w:val="24"/>
        </w:rPr>
        <w:t>ur</w:t>
      </w:r>
      <w:r w:rsidRPr="00942629">
        <w:rPr>
          <w:rFonts w:asciiTheme="majorBidi" w:hAnsiTheme="majorBidi" w:cstheme="majorBidi"/>
          <w:sz w:val="24"/>
          <w:szCs w:val="24"/>
        </w:rPr>
        <w:t xml:space="preserve"> d’épissage GT à l’extrémité 5’ de l’intron </w:t>
      </w:r>
    </w:p>
    <w:p w:rsidR="00942629" w:rsidRPr="00942629" w:rsidRDefault="00942629" w:rsidP="00942629">
      <w:pPr>
        <w:pStyle w:val="Paragraphedeliste"/>
        <w:numPr>
          <w:ilvl w:val="0"/>
          <w:numId w:val="5"/>
        </w:num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le site accepteur d’épissage AG a l’extrémité 3’ de l’intron</w:t>
      </w:r>
    </w:p>
    <w:p w:rsidR="00942629" w:rsidRPr="00942629" w:rsidRDefault="00942629" w:rsidP="00942629">
      <w:pPr>
        <w:pStyle w:val="Paragraphedeliste"/>
        <w:numPr>
          <w:ilvl w:val="0"/>
          <w:numId w:val="5"/>
        </w:num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le pont de branchement (A)</w:t>
      </w:r>
    </w:p>
    <w:p w:rsidR="00942629" w:rsidRPr="00942629" w:rsidRDefault="00942629" w:rsidP="00942629">
      <w:pPr>
        <w:pStyle w:val="Paragraphedeliste"/>
        <w:numPr>
          <w:ilvl w:val="0"/>
          <w:numId w:val="5"/>
        </w:num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la région riche en pyrimidine entre le po</w:t>
      </w:r>
      <w:r w:rsidR="003B37E7">
        <w:rPr>
          <w:rFonts w:asciiTheme="majorBidi" w:hAnsiTheme="majorBidi" w:cstheme="majorBidi"/>
          <w:sz w:val="24"/>
          <w:szCs w:val="24"/>
        </w:rPr>
        <w:t>i</w:t>
      </w:r>
      <w:r w:rsidRPr="00942629">
        <w:rPr>
          <w:rFonts w:asciiTheme="majorBidi" w:hAnsiTheme="majorBidi" w:cstheme="majorBidi"/>
          <w:sz w:val="24"/>
          <w:szCs w:val="24"/>
        </w:rPr>
        <w:t xml:space="preserve">nt de branchement et le site récepteur </w:t>
      </w:r>
    </w:p>
    <w:p w:rsidR="00942629" w:rsidRPr="00942629" w:rsidRDefault="00942629" w:rsidP="00942629">
      <w:pPr>
        <w:spacing w:after="0" w:line="360" w:lineRule="auto"/>
        <w:jc w:val="both"/>
        <w:rPr>
          <w:rFonts w:asciiTheme="majorBidi" w:hAnsiTheme="majorBidi" w:cstheme="majorBidi"/>
          <w:b/>
          <w:bCs/>
          <w:sz w:val="24"/>
          <w:szCs w:val="24"/>
        </w:rPr>
      </w:pPr>
      <w:r w:rsidRPr="00942629">
        <w:rPr>
          <w:rFonts w:asciiTheme="majorBidi" w:hAnsiTheme="majorBidi" w:cstheme="majorBidi"/>
          <w:b/>
          <w:bCs/>
          <w:sz w:val="24"/>
          <w:szCs w:val="24"/>
        </w:rPr>
        <w:t xml:space="preserve">    B.3. les signaux 3’ :</w:t>
      </w:r>
    </w:p>
    <w:p w:rsidR="00942629" w:rsidRPr="00942629" w:rsidRDefault="00942629" w:rsidP="00942629">
      <w:p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 xml:space="preserve">L’exon terminal contient un ensemble de signaux de terminaison de la transcription </w:t>
      </w:r>
    </w:p>
    <w:p w:rsidR="00942629" w:rsidRPr="00942629" w:rsidRDefault="00942629" w:rsidP="00942629">
      <w:pPr>
        <w:pStyle w:val="Paragraphedeliste"/>
        <w:numPr>
          <w:ilvl w:val="0"/>
          <w:numId w:val="6"/>
        </w:num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le signal de poly a</w:t>
      </w:r>
      <w:r w:rsidR="003B37E7">
        <w:rPr>
          <w:rFonts w:asciiTheme="majorBidi" w:hAnsiTheme="majorBidi" w:cstheme="majorBidi"/>
          <w:sz w:val="24"/>
          <w:szCs w:val="24"/>
        </w:rPr>
        <w:t>d</w:t>
      </w:r>
      <w:r w:rsidRPr="00942629">
        <w:rPr>
          <w:rFonts w:asciiTheme="majorBidi" w:hAnsiTheme="majorBidi" w:cstheme="majorBidi"/>
          <w:sz w:val="24"/>
          <w:szCs w:val="24"/>
        </w:rPr>
        <w:t>é</w:t>
      </w:r>
      <w:r w:rsidR="003B37E7">
        <w:rPr>
          <w:rFonts w:asciiTheme="majorBidi" w:hAnsiTheme="majorBidi" w:cstheme="majorBidi"/>
          <w:sz w:val="24"/>
          <w:szCs w:val="24"/>
        </w:rPr>
        <w:t>n</w:t>
      </w:r>
      <w:r w:rsidRPr="00942629">
        <w:rPr>
          <w:rFonts w:asciiTheme="majorBidi" w:hAnsiTheme="majorBidi" w:cstheme="majorBidi"/>
          <w:sz w:val="24"/>
          <w:szCs w:val="24"/>
        </w:rPr>
        <w:t>ylation :5’_AAUAAA3’ ou 5’AUUAAA3’</w:t>
      </w:r>
    </w:p>
    <w:p w:rsidR="00942629" w:rsidRPr="00942629" w:rsidRDefault="00942629" w:rsidP="00942629">
      <w:pPr>
        <w:pStyle w:val="Paragraphedeliste"/>
        <w:numPr>
          <w:ilvl w:val="0"/>
          <w:numId w:val="6"/>
        </w:num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 xml:space="preserve">le signal de </w:t>
      </w:r>
      <w:r w:rsidR="003B37E7">
        <w:rPr>
          <w:rFonts w:asciiTheme="majorBidi" w:hAnsiTheme="majorBidi" w:cstheme="majorBidi"/>
          <w:sz w:val="24"/>
          <w:szCs w:val="24"/>
        </w:rPr>
        <w:t xml:space="preserve">     </w:t>
      </w:r>
      <w:r w:rsidRPr="00942629">
        <w:rPr>
          <w:rFonts w:asciiTheme="majorBidi" w:hAnsiTheme="majorBidi" w:cstheme="majorBidi"/>
          <w:sz w:val="24"/>
          <w:szCs w:val="24"/>
        </w:rPr>
        <w:t xml:space="preserve"> (un </w:t>
      </w:r>
      <w:r w:rsidR="003B37E7" w:rsidRPr="00942629">
        <w:rPr>
          <w:rFonts w:asciiTheme="majorBidi" w:hAnsiTheme="majorBidi" w:cstheme="majorBidi"/>
          <w:sz w:val="24"/>
          <w:szCs w:val="24"/>
        </w:rPr>
        <w:t xml:space="preserve">di </w:t>
      </w:r>
      <w:r w:rsidR="003B37E7">
        <w:rPr>
          <w:rFonts w:asciiTheme="majorBidi" w:hAnsiTheme="majorBidi" w:cstheme="majorBidi"/>
          <w:sz w:val="24"/>
          <w:szCs w:val="24"/>
        </w:rPr>
        <w:t>n</w:t>
      </w:r>
      <w:r w:rsidR="003B37E7" w:rsidRPr="00942629">
        <w:rPr>
          <w:rFonts w:asciiTheme="majorBidi" w:hAnsiTheme="majorBidi" w:cstheme="majorBidi"/>
          <w:sz w:val="24"/>
          <w:szCs w:val="24"/>
        </w:rPr>
        <w:t>uc</w:t>
      </w:r>
      <w:r w:rsidR="003B37E7">
        <w:rPr>
          <w:rFonts w:asciiTheme="majorBidi" w:hAnsiTheme="majorBidi" w:cstheme="majorBidi"/>
          <w:sz w:val="24"/>
          <w:szCs w:val="24"/>
        </w:rPr>
        <w:t>l</w:t>
      </w:r>
      <w:r w:rsidR="003B37E7" w:rsidRPr="00942629">
        <w:rPr>
          <w:rFonts w:asciiTheme="majorBidi" w:hAnsiTheme="majorBidi" w:cstheme="majorBidi"/>
          <w:sz w:val="24"/>
          <w:szCs w:val="24"/>
        </w:rPr>
        <w:t>éotide</w:t>
      </w:r>
      <w:r w:rsidRPr="00942629">
        <w:rPr>
          <w:rFonts w:asciiTheme="majorBidi" w:hAnsiTheme="majorBidi" w:cstheme="majorBidi"/>
          <w:sz w:val="24"/>
          <w:szCs w:val="24"/>
        </w:rPr>
        <w:t xml:space="preserve"> C A, localisé 10</w:t>
      </w:r>
      <w:r w:rsidR="003B37E7">
        <w:rPr>
          <w:rFonts w:asciiTheme="majorBidi" w:hAnsiTheme="majorBidi" w:cstheme="majorBidi"/>
          <w:sz w:val="24"/>
          <w:szCs w:val="24"/>
        </w:rPr>
        <w:t xml:space="preserve"> </w:t>
      </w:r>
      <w:r w:rsidRPr="00942629">
        <w:rPr>
          <w:rFonts w:asciiTheme="majorBidi" w:hAnsiTheme="majorBidi" w:cstheme="majorBidi"/>
          <w:sz w:val="24"/>
          <w:szCs w:val="24"/>
        </w:rPr>
        <w:t>à</w:t>
      </w:r>
      <w:r w:rsidR="003B37E7">
        <w:rPr>
          <w:rFonts w:asciiTheme="majorBidi" w:hAnsiTheme="majorBidi" w:cstheme="majorBidi"/>
          <w:sz w:val="24"/>
          <w:szCs w:val="24"/>
        </w:rPr>
        <w:t xml:space="preserve"> </w:t>
      </w:r>
      <w:r w:rsidRPr="00942629">
        <w:rPr>
          <w:rFonts w:asciiTheme="majorBidi" w:hAnsiTheme="majorBidi" w:cstheme="majorBidi"/>
          <w:sz w:val="24"/>
          <w:szCs w:val="24"/>
        </w:rPr>
        <w:t>30 base en a</w:t>
      </w:r>
      <w:r w:rsidR="003B37E7">
        <w:rPr>
          <w:rFonts w:asciiTheme="majorBidi" w:hAnsiTheme="majorBidi" w:cstheme="majorBidi"/>
          <w:sz w:val="24"/>
          <w:szCs w:val="24"/>
        </w:rPr>
        <w:t>v</w:t>
      </w:r>
      <w:r w:rsidRPr="00942629">
        <w:rPr>
          <w:rFonts w:asciiTheme="majorBidi" w:hAnsiTheme="majorBidi" w:cstheme="majorBidi"/>
          <w:sz w:val="24"/>
          <w:szCs w:val="24"/>
        </w:rPr>
        <w:t xml:space="preserve">al du signal de poly </w:t>
      </w:r>
      <w:r w:rsidR="003B37E7">
        <w:rPr>
          <w:rFonts w:asciiTheme="majorBidi" w:hAnsiTheme="majorBidi" w:cstheme="majorBidi"/>
          <w:sz w:val="24"/>
          <w:szCs w:val="24"/>
        </w:rPr>
        <w:t>a</w:t>
      </w:r>
      <w:r w:rsidRPr="00942629">
        <w:rPr>
          <w:rFonts w:asciiTheme="majorBidi" w:hAnsiTheme="majorBidi" w:cstheme="majorBidi"/>
          <w:sz w:val="24"/>
          <w:szCs w:val="24"/>
        </w:rPr>
        <w:t>dénylation.</w:t>
      </w:r>
    </w:p>
    <w:p w:rsidR="00942629" w:rsidRPr="00942629" w:rsidRDefault="00942629" w:rsidP="00942629">
      <w:pPr>
        <w:pStyle w:val="Paragraphedeliste"/>
        <w:numPr>
          <w:ilvl w:val="0"/>
          <w:numId w:val="6"/>
        </w:num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 xml:space="preserve">une région riche en G U </w:t>
      </w:r>
    </w:p>
    <w:p w:rsidR="00942629" w:rsidRPr="00942629" w:rsidRDefault="00942629" w:rsidP="00942629">
      <w:pPr>
        <w:spacing w:after="0" w:line="360" w:lineRule="auto"/>
        <w:jc w:val="both"/>
        <w:rPr>
          <w:rFonts w:asciiTheme="majorBidi" w:hAnsiTheme="majorBidi" w:cstheme="majorBidi"/>
          <w:b/>
          <w:bCs/>
          <w:sz w:val="24"/>
          <w:szCs w:val="24"/>
        </w:rPr>
      </w:pPr>
      <w:r w:rsidRPr="00942629">
        <w:rPr>
          <w:rFonts w:asciiTheme="majorBidi" w:hAnsiTheme="majorBidi" w:cstheme="majorBidi"/>
          <w:sz w:val="24"/>
          <w:szCs w:val="24"/>
        </w:rPr>
        <w:t xml:space="preserve">     </w:t>
      </w:r>
      <w:r w:rsidRPr="00942629">
        <w:rPr>
          <w:rFonts w:asciiTheme="majorBidi" w:hAnsiTheme="majorBidi" w:cstheme="majorBidi"/>
          <w:b/>
          <w:bCs/>
          <w:sz w:val="24"/>
          <w:szCs w:val="24"/>
        </w:rPr>
        <w:t>Des méthodes informatiques pour l’annotation syntaxique :</w:t>
      </w:r>
    </w:p>
    <w:p w:rsidR="00942629" w:rsidRPr="00942629" w:rsidRDefault="00942629" w:rsidP="00942629">
      <w:p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 xml:space="preserve">        Les meilleures méthodes sont celles qui combinent la détection de signaux de gènes et l’analyse du contenu des gènes. Elles utilisent des algorithmes qui</w:t>
      </w:r>
      <w:r w:rsidR="003B37E7">
        <w:rPr>
          <w:rFonts w:asciiTheme="majorBidi" w:hAnsiTheme="majorBidi" w:cstheme="majorBidi"/>
          <w:sz w:val="24"/>
          <w:szCs w:val="24"/>
        </w:rPr>
        <w:t> ;</w:t>
      </w:r>
      <w:r w:rsidRPr="00942629">
        <w:rPr>
          <w:rFonts w:asciiTheme="majorBidi" w:hAnsiTheme="majorBidi" w:cstheme="majorBidi"/>
          <w:sz w:val="24"/>
          <w:szCs w:val="24"/>
        </w:rPr>
        <w:t xml:space="preserve"> après une phase d’apprentissage sur un ensemble de données permettent de différencier les régions génétique des régions </w:t>
      </w:r>
      <w:r w:rsidR="003B37E7" w:rsidRPr="00942629">
        <w:rPr>
          <w:rFonts w:asciiTheme="majorBidi" w:hAnsiTheme="majorBidi" w:cstheme="majorBidi"/>
          <w:sz w:val="24"/>
          <w:szCs w:val="24"/>
        </w:rPr>
        <w:t>inter génique</w:t>
      </w:r>
      <w:r w:rsidRPr="00942629">
        <w:rPr>
          <w:rFonts w:asciiTheme="majorBidi" w:hAnsiTheme="majorBidi" w:cstheme="majorBidi"/>
          <w:sz w:val="24"/>
          <w:szCs w:val="24"/>
        </w:rPr>
        <w:t>.</w:t>
      </w:r>
      <w:r w:rsidR="003B37E7">
        <w:rPr>
          <w:rFonts w:asciiTheme="majorBidi" w:hAnsiTheme="majorBidi" w:cstheme="majorBidi"/>
          <w:sz w:val="24"/>
          <w:szCs w:val="24"/>
        </w:rPr>
        <w:t xml:space="preserve"> C</w:t>
      </w:r>
      <w:r w:rsidRPr="00942629">
        <w:rPr>
          <w:rFonts w:asciiTheme="majorBidi" w:hAnsiTheme="majorBidi" w:cstheme="majorBidi"/>
          <w:sz w:val="24"/>
          <w:szCs w:val="24"/>
        </w:rPr>
        <w:t>es méthodes permettent de prédire des caractéristique</w:t>
      </w:r>
      <w:r w:rsidR="003B37E7">
        <w:rPr>
          <w:rFonts w:asciiTheme="majorBidi" w:hAnsiTheme="majorBidi" w:cstheme="majorBidi"/>
          <w:sz w:val="24"/>
          <w:szCs w:val="24"/>
        </w:rPr>
        <w:t>s</w:t>
      </w:r>
      <w:r w:rsidRPr="00942629">
        <w:rPr>
          <w:rFonts w:asciiTheme="majorBidi" w:hAnsiTheme="majorBidi" w:cstheme="majorBidi"/>
          <w:sz w:val="24"/>
          <w:szCs w:val="24"/>
        </w:rPr>
        <w:t xml:space="preserve"> locales de séquences molécul</w:t>
      </w:r>
      <w:r w:rsidR="003B37E7">
        <w:rPr>
          <w:rFonts w:asciiTheme="majorBidi" w:hAnsiTheme="majorBidi" w:cstheme="majorBidi"/>
          <w:sz w:val="24"/>
          <w:szCs w:val="24"/>
        </w:rPr>
        <w:t>air</w:t>
      </w:r>
      <w:r w:rsidRPr="00942629">
        <w:rPr>
          <w:rFonts w:asciiTheme="majorBidi" w:hAnsiTheme="majorBidi" w:cstheme="majorBidi"/>
          <w:sz w:val="24"/>
          <w:szCs w:val="24"/>
        </w:rPr>
        <w:t>es tout en intégrant des connaissances provenant de recherch</w:t>
      </w:r>
      <w:r w:rsidR="00B266D3">
        <w:rPr>
          <w:rFonts w:asciiTheme="majorBidi" w:hAnsiTheme="majorBidi" w:cstheme="majorBidi"/>
          <w:sz w:val="24"/>
          <w:szCs w:val="24"/>
        </w:rPr>
        <w:t>s</w:t>
      </w:r>
      <w:r w:rsidRPr="00942629">
        <w:rPr>
          <w:rFonts w:asciiTheme="majorBidi" w:hAnsiTheme="majorBidi" w:cstheme="majorBidi"/>
          <w:sz w:val="24"/>
          <w:szCs w:val="24"/>
        </w:rPr>
        <w:t xml:space="preserve">e </w:t>
      </w:r>
      <w:r w:rsidR="003B37E7" w:rsidRPr="00942629">
        <w:rPr>
          <w:rFonts w:asciiTheme="majorBidi" w:hAnsiTheme="majorBidi" w:cstheme="majorBidi"/>
          <w:sz w:val="24"/>
          <w:szCs w:val="24"/>
        </w:rPr>
        <w:t>anté</w:t>
      </w:r>
      <w:r w:rsidR="003B37E7">
        <w:rPr>
          <w:rFonts w:asciiTheme="majorBidi" w:hAnsiTheme="majorBidi" w:cstheme="majorBidi"/>
          <w:sz w:val="24"/>
          <w:szCs w:val="24"/>
        </w:rPr>
        <w:t>rieurs</w:t>
      </w:r>
      <w:r w:rsidRPr="00942629">
        <w:rPr>
          <w:rFonts w:asciiTheme="majorBidi" w:hAnsiTheme="majorBidi" w:cstheme="majorBidi"/>
          <w:sz w:val="24"/>
          <w:szCs w:val="24"/>
        </w:rPr>
        <w:t xml:space="preserve">  dans les analyses.</w:t>
      </w:r>
    </w:p>
    <w:p w:rsidR="00942629" w:rsidRPr="00942629" w:rsidRDefault="00942629" w:rsidP="00942629">
      <w:pPr>
        <w:spacing w:after="0" w:line="360" w:lineRule="auto"/>
        <w:jc w:val="both"/>
        <w:rPr>
          <w:rFonts w:asciiTheme="majorBidi" w:hAnsiTheme="majorBidi" w:cstheme="majorBidi"/>
          <w:b/>
          <w:bCs/>
          <w:sz w:val="24"/>
          <w:szCs w:val="24"/>
        </w:rPr>
      </w:pPr>
      <w:r w:rsidRPr="00942629">
        <w:rPr>
          <w:rFonts w:asciiTheme="majorBidi" w:hAnsiTheme="majorBidi" w:cstheme="majorBidi"/>
          <w:b/>
          <w:bCs/>
          <w:sz w:val="24"/>
          <w:szCs w:val="24"/>
        </w:rPr>
        <w:t>2 annotations fonctionnelles :</w:t>
      </w:r>
    </w:p>
    <w:p w:rsidR="00942629" w:rsidRPr="00942629" w:rsidRDefault="00942629" w:rsidP="00942629">
      <w:p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 xml:space="preserve">        Permet </w:t>
      </w:r>
      <w:r w:rsidR="003B37E7">
        <w:rPr>
          <w:rFonts w:asciiTheme="majorBidi" w:hAnsiTheme="majorBidi" w:cstheme="majorBidi"/>
          <w:sz w:val="24"/>
          <w:szCs w:val="24"/>
        </w:rPr>
        <w:t xml:space="preserve">d’attribuer </w:t>
      </w:r>
      <w:r w:rsidRPr="00942629">
        <w:rPr>
          <w:rFonts w:asciiTheme="majorBidi" w:hAnsiTheme="majorBidi" w:cstheme="majorBidi"/>
          <w:sz w:val="24"/>
          <w:szCs w:val="24"/>
        </w:rPr>
        <w:t>à des objets génomiques prédits par l’annotation syntaxique des fonctions potentielles.</w:t>
      </w:r>
      <w:r w:rsidR="003B37E7">
        <w:rPr>
          <w:rFonts w:asciiTheme="majorBidi" w:hAnsiTheme="majorBidi" w:cstheme="majorBidi"/>
          <w:sz w:val="24"/>
          <w:szCs w:val="24"/>
        </w:rPr>
        <w:t xml:space="preserve"> </w:t>
      </w:r>
      <w:r w:rsidR="003B37E7" w:rsidRPr="00942629">
        <w:rPr>
          <w:rFonts w:asciiTheme="majorBidi" w:hAnsiTheme="majorBidi" w:cstheme="majorBidi"/>
          <w:sz w:val="24"/>
          <w:szCs w:val="24"/>
        </w:rPr>
        <w:t>En</w:t>
      </w:r>
      <w:r w:rsidRPr="00942629">
        <w:rPr>
          <w:rFonts w:asciiTheme="majorBidi" w:hAnsiTheme="majorBidi" w:cstheme="majorBidi"/>
          <w:sz w:val="24"/>
          <w:szCs w:val="24"/>
        </w:rPr>
        <w:t xml:space="preserve"> aucun cas l’annotation ne permet d’avoir accès à la fonction réelle</w:t>
      </w:r>
      <w:r w:rsidR="003B37E7">
        <w:rPr>
          <w:rFonts w:asciiTheme="majorBidi" w:hAnsiTheme="majorBidi" w:cstheme="majorBidi"/>
          <w:sz w:val="24"/>
          <w:szCs w:val="24"/>
        </w:rPr>
        <w:t> ;</w:t>
      </w:r>
      <w:r w:rsidRPr="00942629">
        <w:rPr>
          <w:rFonts w:asciiTheme="majorBidi" w:hAnsiTheme="majorBidi" w:cstheme="majorBidi"/>
          <w:sz w:val="24"/>
          <w:szCs w:val="24"/>
        </w:rPr>
        <w:t xml:space="preserve"> </w:t>
      </w:r>
      <w:r w:rsidR="003B37E7">
        <w:rPr>
          <w:rFonts w:asciiTheme="majorBidi" w:hAnsiTheme="majorBidi" w:cstheme="majorBidi"/>
          <w:sz w:val="24"/>
          <w:szCs w:val="24"/>
        </w:rPr>
        <w:t>s</w:t>
      </w:r>
      <w:r w:rsidRPr="00942629">
        <w:rPr>
          <w:rFonts w:asciiTheme="majorBidi" w:hAnsiTheme="majorBidi" w:cstheme="majorBidi"/>
          <w:sz w:val="24"/>
          <w:szCs w:val="24"/>
        </w:rPr>
        <w:t>eule l’expérimentation l’autorise</w:t>
      </w:r>
      <w:r w:rsidR="003B37E7">
        <w:rPr>
          <w:rFonts w:asciiTheme="majorBidi" w:hAnsiTheme="majorBidi" w:cstheme="majorBidi"/>
          <w:sz w:val="24"/>
          <w:szCs w:val="24"/>
        </w:rPr>
        <w:t>.</w:t>
      </w:r>
      <w:r w:rsidR="00272EE8">
        <w:rPr>
          <w:rFonts w:asciiTheme="majorBidi" w:hAnsiTheme="majorBidi" w:cstheme="majorBidi"/>
          <w:sz w:val="24"/>
          <w:szCs w:val="24"/>
        </w:rPr>
        <w:t xml:space="preserve"> </w:t>
      </w:r>
      <w:r w:rsidR="003B37E7">
        <w:rPr>
          <w:rFonts w:asciiTheme="majorBidi" w:hAnsiTheme="majorBidi" w:cstheme="majorBidi"/>
          <w:sz w:val="24"/>
          <w:szCs w:val="24"/>
        </w:rPr>
        <w:t>L</w:t>
      </w:r>
      <w:r w:rsidRPr="00942629">
        <w:rPr>
          <w:rFonts w:asciiTheme="majorBidi" w:hAnsiTheme="majorBidi" w:cstheme="majorBidi"/>
          <w:sz w:val="24"/>
          <w:szCs w:val="24"/>
        </w:rPr>
        <w:t xml:space="preserve">’annotation fonctionnelle est fondée sur la recherche de similarité avec des séquences nucléotidique, des séquences </w:t>
      </w:r>
      <w:r w:rsidR="00272EE8" w:rsidRPr="00942629">
        <w:rPr>
          <w:rFonts w:asciiTheme="majorBidi" w:hAnsiTheme="majorBidi" w:cstheme="majorBidi"/>
          <w:sz w:val="24"/>
          <w:szCs w:val="24"/>
        </w:rPr>
        <w:t>d’acides aminés</w:t>
      </w:r>
      <w:r w:rsidRPr="00942629">
        <w:rPr>
          <w:rFonts w:asciiTheme="majorBidi" w:hAnsiTheme="majorBidi" w:cstheme="majorBidi"/>
          <w:sz w:val="24"/>
          <w:szCs w:val="24"/>
        </w:rPr>
        <w:t xml:space="preserve"> ou éventuellement des structures déjà décrites dans les bases de données.</w:t>
      </w:r>
    </w:p>
    <w:p w:rsidR="00942629" w:rsidRPr="00942629" w:rsidRDefault="00942629" w:rsidP="00942629">
      <w:p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lastRenderedPageBreak/>
        <w:t xml:space="preserve">       En générales l’annotation s’effectue en deux étapes une phase automatique qui s’effectué grâce à des programmes informatiques de comparaison et une phase manuelle au cours de laquelle l’annotateur peut corriger </w:t>
      </w:r>
      <w:r w:rsidR="00272EE8" w:rsidRPr="00942629">
        <w:rPr>
          <w:rFonts w:asciiTheme="majorBidi" w:hAnsiTheme="majorBidi" w:cstheme="majorBidi"/>
          <w:sz w:val="24"/>
          <w:szCs w:val="24"/>
        </w:rPr>
        <w:t>le</w:t>
      </w:r>
      <w:r w:rsidRPr="00942629">
        <w:rPr>
          <w:rFonts w:asciiTheme="majorBidi" w:hAnsiTheme="majorBidi" w:cstheme="majorBidi"/>
          <w:sz w:val="24"/>
          <w:szCs w:val="24"/>
        </w:rPr>
        <w:t xml:space="preserve"> cas échéant la première phase.</w:t>
      </w:r>
    </w:p>
    <w:p w:rsidR="00942629" w:rsidRPr="00942629" w:rsidRDefault="00942629" w:rsidP="00942629">
      <w:p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 xml:space="preserve">       Les outils peuvent être compares avec des programmes comme FASTA ou BLAST</w:t>
      </w:r>
      <w:r w:rsidR="00272EE8">
        <w:rPr>
          <w:rFonts w:asciiTheme="majorBidi" w:hAnsiTheme="majorBidi" w:cstheme="majorBidi"/>
          <w:sz w:val="24"/>
          <w:szCs w:val="24"/>
        </w:rPr>
        <w:t>.</w:t>
      </w:r>
      <w:r w:rsidRPr="00942629">
        <w:rPr>
          <w:rFonts w:asciiTheme="majorBidi" w:hAnsiTheme="majorBidi" w:cstheme="majorBidi"/>
          <w:sz w:val="24"/>
          <w:szCs w:val="24"/>
        </w:rPr>
        <w:t xml:space="preserve"> </w:t>
      </w:r>
      <w:r w:rsidR="00272EE8">
        <w:rPr>
          <w:rFonts w:asciiTheme="majorBidi" w:hAnsiTheme="majorBidi" w:cstheme="majorBidi"/>
          <w:sz w:val="24"/>
          <w:szCs w:val="24"/>
        </w:rPr>
        <w:t>C</w:t>
      </w:r>
      <w:r w:rsidRPr="00942629">
        <w:rPr>
          <w:rFonts w:asciiTheme="majorBidi" w:hAnsiTheme="majorBidi" w:cstheme="majorBidi"/>
          <w:sz w:val="24"/>
          <w:szCs w:val="24"/>
        </w:rPr>
        <w:t xml:space="preserve">es instruments de recherche de similarité </w:t>
      </w:r>
      <w:r w:rsidR="00272EE8" w:rsidRPr="00942629">
        <w:rPr>
          <w:rFonts w:asciiTheme="majorBidi" w:hAnsiTheme="majorBidi" w:cstheme="majorBidi"/>
          <w:sz w:val="24"/>
          <w:szCs w:val="24"/>
        </w:rPr>
        <w:t>reposent</w:t>
      </w:r>
      <w:r w:rsidRPr="00942629">
        <w:rPr>
          <w:rFonts w:asciiTheme="majorBidi" w:hAnsiTheme="majorBidi" w:cstheme="majorBidi"/>
          <w:sz w:val="24"/>
          <w:szCs w:val="24"/>
        </w:rPr>
        <w:t xml:space="preserve"> sur la notion d’alignement local.</w:t>
      </w:r>
    </w:p>
    <w:p w:rsidR="00942629" w:rsidRPr="00942629" w:rsidRDefault="00942629" w:rsidP="00942629">
      <w:p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 xml:space="preserve">      Les algorithmes d’alignement local recherchent dans des paires de séquences des régions isolées qu’ont un haut degré de similitude.</w:t>
      </w:r>
    </w:p>
    <w:p w:rsidR="00942629" w:rsidRPr="00942629" w:rsidRDefault="00942629" w:rsidP="00942629">
      <w:pPr>
        <w:spacing w:after="0" w:line="360" w:lineRule="auto"/>
        <w:jc w:val="both"/>
        <w:rPr>
          <w:rFonts w:asciiTheme="majorBidi" w:hAnsiTheme="majorBidi" w:cstheme="majorBidi"/>
          <w:sz w:val="24"/>
          <w:szCs w:val="24"/>
        </w:rPr>
      </w:pPr>
      <w:r w:rsidRPr="00942629">
        <w:rPr>
          <w:rFonts w:asciiTheme="majorBidi" w:hAnsiTheme="majorBidi" w:cstheme="majorBidi"/>
          <w:b/>
          <w:bCs/>
          <w:sz w:val="24"/>
          <w:szCs w:val="24"/>
        </w:rPr>
        <w:t xml:space="preserve">     EXP :</w:t>
      </w:r>
      <w:r w:rsidRPr="00942629">
        <w:rPr>
          <w:rFonts w:asciiTheme="majorBidi" w:hAnsiTheme="majorBidi" w:cstheme="majorBidi"/>
          <w:sz w:val="24"/>
          <w:szCs w:val="24"/>
        </w:rPr>
        <w:t xml:space="preserve"> l’utilisat</w:t>
      </w:r>
      <w:r w:rsidR="00272EE8">
        <w:rPr>
          <w:rFonts w:asciiTheme="majorBidi" w:hAnsiTheme="majorBidi" w:cstheme="majorBidi"/>
          <w:sz w:val="24"/>
          <w:szCs w:val="24"/>
        </w:rPr>
        <w:t>eur</w:t>
      </w:r>
      <w:r w:rsidRPr="00942629">
        <w:rPr>
          <w:rFonts w:asciiTheme="majorBidi" w:hAnsiTheme="majorBidi" w:cstheme="majorBidi"/>
          <w:sz w:val="24"/>
          <w:szCs w:val="24"/>
        </w:rPr>
        <w:t xml:space="preserve"> fournit une séquence requête qui est alors comparée </w:t>
      </w:r>
      <w:r w:rsidR="00272EE8">
        <w:rPr>
          <w:rFonts w:asciiTheme="majorBidi" w:hAnsiTheme="majorBidi" w:cstheme="majorBidi"/>
          <w:sz w:val="24"/>
          <w:szCs w:val="24"/>
        </w:rPr>
        <w:t>à</w:t>
      </w:r>
      <w:r w:rsidRPr="00942629">
        <w:rPr>
          <w:rFonts w:asciiTheme="majorBidi" w:hAnsiTheme="majorBidi" w:cstheme="majorBidi"/>
          <w:sz w:val="24"/>
          <w:szCs w:val="24"/>
        </w:rPr>
        <w:t xml:space="preserve"> toute</w:t>
      </w:r>
      <w:r w:rsidR="00272EE8">
        <w:rPr>
          <w:rFonts w:asciiTheme="majorBidi" w:hAnsiTheme="majorBidi" w:cstheme="majorBidi"/>
          <w:sz w:val="24"/>
          <w:szCs w:val="24"/>
        </w:rPr>
        <w:t>s</w:t>
      </w:r>
      <w:r w:rsidRPr="00942629">
        <w:rPr>
          <w:rFonts w:asciiTheme="majorBidi" w:hAnsiTheme="majorBidi" w:cstheme="majorBidi"/>
          <w:sz w:val="24"/>
          <w:szCs w:val="24"/>
        </w:rPr>
        <w:t xml:space="preserve"> les séquences d’une base de données </w:t>
      </w:r>
      <w:r w:rsidR="00272EE8" w:rsidRPr="00942629">
        <w:rPr>
          <w:rFonts w:asciiTheme="majorBidi" w:hAnsiTheme="majorBidi" w:cstheme="majorBidi"/>
          <w:sz w:val="24"/>
          <w:szCs w:val="24"/>
        </w:rPr>
        <w:t>choisie.</w:t>
      </w:r>
    </w:p>
    <w:p w:rsidR="00942629" w:rsidRPr="00942629" w:rsidRDefault="00942629" w:rsidP="00942629">
      <w:p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 xml:space="preserve">     </w:t>
      </w:r>
      <w:r w:rsidR="00AB30F7">
        <w:rPr>
          <w:rFonts w:asciiTheme="majorBidi" w:hAnsiTheme="majorBidi" w:cstheme="majorBidi"/>
          <w:sz w:val="24"/>
          <w:szCs w:val="24"/>
        </w:rPr>
        <w:t xml:space="preserve"> </w:t>
      </w:r>
      <w:r w:rsidRPr="00942629">
        <w:rPr>
          <w:rFonts w:asciiTheme="majorBidi" w:hAnsiTheme="majorBidi" w:cstheme="majorBidi"/>
          <w:sz w:val="24"/>
          <w:szCs w:val="24"/>
        </w:rPr>
        <w:t xml:space="preserve"> Le résultat du programme classe les résultats de similitude en fonction d’un indice de significativité appelé E value (valeur attendue), le résultat le plus significatif étant le premier de la liste (la valeur E se rapproche à 0, moins la similitude est due au hasard)</w:t>
      </w:r>
    </w:p>
    <w:p w:rsidR="00942629" w:rsidRPr="00942629" w:rsidRDefault="00942629" w:rsidP="00942629">
      <w:pPr>
        <w:spacing w:after="0" w:line="360" w:lineRule="auto"/>
        <w:jc w:val="both"/>
        <w:rPr>
          <w:rFonts w:asciiTheme="majorBidi" w:hAnsiTheme="majorBidi" w:cstheme="majorBidi"/>
          <w:b/>
          <w:bCs/>
          <w:sz w:val="24"/>
          <w:szCs w:val="24"/>
        </w:rPr>
      </w:pPr>
      <w:r w:rsidRPr="00942629">
        <w:rPr>
          <w:rFonts w:asciiTheme="majorBidi" w:hAnsiTheme="majorBidi" w:cstheme="majorBidi"/>
          <w:sz w:val="24"/>
          <w:szCs w:val="24"/>
        </w:rPr>
        <w:t xml:space="preserve"> </w:t>
      </w:r>
      <w:r w:rsidR="00272EE8">
        <w:rPr>
          <w:rFonts w:asciiTheme="majorBidi" w:hAnsiTheme="majorBidi" w:cstheme="majorBidi"/>
          <w:sz w:val="24"/>
          <w:szCs w:val="24"/>
        </w:rPr>
        <w:t xml:space="preserve">C- </w:t>
      </w:r>
      <w:r w:rsidRPr="00942629">
        <w:rPr>
          <w:rFonts w:asciiTheme="majorBidi" w:hAnsiTheme="majorBidi" w:cstheme="majorBidi"/>
          <w:b/>
          <w:bCs/>
          <w:sz w:val="24"/>
          <w:szCs w:val="24"/>
        </w:rPr>
        <w:t>Annotation relationnelle :</w:t>
      </w:r>
    </w:p>
    <w:p w:rsidR="00942629" w:rsidRPr="00942629" w:rsidRDefault="00AB30F7" w:rsidP="00942629">
      <w:pPr>
        <w:spacing w:after="0" w:line="360" w:lineRule="auto"/>
        <w:jc w:val="both"/>
        <w:rPr>
          <w:sz w:val="24"/>
          <w:szCs w:val="24"/>
        </w:rPr>
      </w:pPr>
      <w:r>
        <w:rPr>
          <w:rFonts w:asciiTheme="majorBidi" w:hAnsiTheme="majorBidi" w:cstheme="majorBidi"/>
          <w:sz w:val="24"/>
          <w:szCs w:val="24"/>
        </w:rPr>
        <w:t xml:space="preserve">      </w:t>
      </w:r>
      <w:r w:rsidR="00942629" w:rsidRPr="00942629">
        <w:rPr>
          <w:rFonts w:asciiTheme="majorBidi" w:hAnsiTheme="majorBidi" w:cstheme="majorBidi"/>
          <w:sz w:val="24"/>
          <w:szCs w:val="24"/>
        </w:rPr>
        <w:t>Vise a déterminé comment les gènes et protéines interagissent entre eux pour accomplir une tache spécifique dans la cellule pour cela, des programme</w:t>
      </w:r>
      <w:r w:rsidR="00272EE8">
        <w:rPr>
          <w:rFonts w:asciiTheme="majorBidi" w:hAnsiTheme="majorBidi" w:cstheme="majorBidi"/>
          <w:sz w:val="24"/>
          <w:szCs w:val="24"/>
        </w:rPr>
        <w:t>s</w:t>
      </w:r>
      <w:r w:rsidR="00942629" w:rsidRPr="00942629">
        <w:rPr>
          <w:rFonts w:asciiTheme="majorBidi" w:hAnsiTheme="majorBidi" w:cstheme="majorBidi"/>
          <w:sz w:val="24"/>
          <w:szCs w:val="24"/>
        </w:rPr>
        <w:t xml:space="preserve"> informatique</w:t>
      </w:r>
      <w:r w:rsidR="00272EE8">
        <w:rPr>
          <w:rFonts w:asciiTheme="majorBidi" w:hAnsiTheme="majorBidi" w:cstheme="majorBidi"/>
          <w:sz w:val="24"/>
          <w:szCs w:val="24"/>
        </w:rPr>
        <w:t>s</w:t>
      </w:r>
      <w:r w:rsidR="00942629" w:rsidRPr="00942629">
        <w:rPr>
          <w:rFonts w:asciiTheme="majorBidi" w:hAnsiTheme="majorBidi" w:cstheme="majorBidi"/>
          <w:sz w:val="24"/>
          <w:szCs w:val="24"/>
        </w:rPr>
        <w:t xml:space="preserve"> utilisent les annotations des gènes codant des enzymes dans le génome étudie, de </w:t>
      </w:r>
      <w:r w:rsidR="00272EE8" w:rsidRPr="00942629">
        <w:rPr>
          <w:rFonts w:asciiTheme="majorBidi" w:hAnsiTheme="majorBidi" w:cstheme="majorBidi"/>
          <w:sz w:val="24"/>
          <w:szCs w:val="24"/>
        </w:rPr>
        <w:t>mê</w:t>
      </w:r>
      <w:r w:rsidR="00272EE8">
        <w:rPr>
          <w:rFonts w:asciiTheme="majorBidi" w:hAnsiTheme="majorBidi" w:cstheme="majorBidi"/>
          <w:sz w:val="24"/>
          <w:szCs w:val="24"/>
        </w:rPr>
        <w:t>me</w:t>
      </w:r>
      <w:r w:rsidR="00942629" w:rsidRPr="00942629">
        <w:rPr>
          <w:rFonts w:asciiTheme="majorBidi" w:hAnsiTheme="majorBidi" w:cstheme="majorBidi"/>
          <w:sz w:val="24"/>
          <w:szCs w:val="24"/>
        </w:rPr>
        <w:t>, à partir des réseaux d’interaction connus, des bases de données sont spécialisées dans la reconst</w:t>
      </w:r>
      <w:r w:rsidR="00272EE8">
        <w:rPr>
          <w:rFonts w:asciiTheme="majorBidi" w:hAnsiTheme="majorBidi" w:cstheme="majorBidi"/>
          <w:sz w:val="24"/>
          <w:szCs w:val="24"/>
        </w:rPr>
        <w:t>itu</w:t>
      </w:r>
      <w:r w:rsidR="00942629" w:rsidRPr="00942629">
        <w:rPr>
          <w:rFonts w:asciiTheme="majorBidi" w:hAnsiTheme="majorBidi" w:cstheme="majorBidi"/>
          <w:sz w:val="24"/>
          <w:szCs w:val="24"/>
        </w:rPr>
        <w:t xml:space="preserve">tion de réseaux d’interactions entre des gènes, des protéines, </w:t>
      </w:r>
      <w:r w:rsidR="00272EE8">
        <w:rPr>
          <w:rFonts w:asciiTheme="majorBidi" w:hAnsiTheme="majorBidi" w:cstheme="majorBidi"/>
          <w:sz w:val="24"/>
          <w:szCs w:val="24"/>
        </w:rPr>
        <w:t xml:space="preserve">et </w:t>
      </w:r>
      <w:r w:rsidR="00942629" w:rsidRPr="00942629">
        <w:rPr>
          <w:rFonts w:asciiTheme="majorBidi" w:hAnsiTheme="majorBidi" w:cstheme="majorBidi"/>
          <w:sz w:val="24"/>
          <w:szCs w:val="24"/>
        </w:rPr>
        <w:t>des procédées cellulaire. Tous ces approches de reconst</w:t>
      </w:r>
      <w:r w:rsidR="00272EE8">
        <w:rPr>
          <w:rFonts w:asciiTheme="majorBidi" w:hAnsiTheme="majorBidi" w:cstheme="majorBidi"/>
          <w:sz w:val="24"/>
          <w:szCs w:val="24"/>
        </w:rPr>
        <w:t>it</w:t>
      </w:r>
      <w:r w:rsidR="00942629" w:rsidRPr="00942629">
        <w:rPr>
          <w:rFonts w:asciiTheme="majorBidi" w:hAnsiTheme="majorBidi" w:cstheme="majorBidi"/>
          <w:sz w:val="24"/>
          <w:szCs w:val="24"/>
        </w:rPr>
        <w:t>ution reposent sur l’établissement de similarités de séquence</w:t>
      </w:r>
      <w:r w:rsidR="00272EE8">
        <w:rPr>
          <w:rFonts w:asciiTheme="majorBidi" w:hAnsiTheme="majorBidi" w:cstheme="majorBidi"/>
          <w:sz w:val="24"/>
          <w:szCs w:val="24"/>
        </w:rPr>
        <w:t>s</w:t>
      </w:r>
      <w:r w:rsidR="00942629" w:rsidRPr="00942629">
        <w:rPr>
          <w:rFonts w:asciiTheme="majorBidi" w:hAnsiTheme="majorBidi" w:cstheme="majorBidi"/>
          <w:sz w:val="24"/>
          <w:szCs w:val="24"/>
        </w:rPr>
        <w:t xml:space="preserve"> et ne peuvent donc pas prédire de nouvelles voies de synthèse ou de nouveaux réseaux d’interaction.  </w:t>
      </w:r>
      <w:r w:rsidR="00942629" w:rsidRPr="00942629">
        <w:rPr>
          <w:sz w:val="24"/>
          <w:szCs w:val="24"/>
        </w:rPr>
        <w:t xml:space="preserve">    </w:t>
      </w:r>
    </w:p>
    <w:p w:rsidR="00C64614" w:rsidRPr="00A80686" w:rsidRDefault="00C64614" w:rsidP="00C64614">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p>
    <w:p w:rsidR="0015679E" w:rsidRDefault="00C8701C" w:rsidP="00267798">
      <w:pPr>
        <w:spacing w:after="0"/>
        <w:rPr>
          <w:sz w:val="32"/>
          <w:szCs w:val="32"/>
        </w:rPr>
      </w:pPr>
      <w:r>
        <w:rPr>
          <w:sz w:val="32"/>
          <w:szCs w:val="32"/>
        </w:rPr>
        <w:t xml:space="preserve"> </w:t>
      </w:r>
      <w:r w:rsidR="00F939EE">
        <w:rPr>
          <w:sz w:val="32"/>
          <w:szCs w:val="32"/>
        </w:rPr>
        <w:t xml:space="preserve">     </w:t>
      </w:r>
      <w:r w:rsidR="0015679E">
        <w:rPr>
          <w:sz w:val="32"/>
          <w:szCs w:val="32"/>
        </w:rPr>
        <w:t xml:space="preserve">    </w:t>
      </w:r>
    </w:p>
    <w:p w:rsidR="0015679E" w:rsidRPr="0015679E" w:rsidRDefault="0015679E">
      <w:pPr>
        <w:rPr>
          <w:sz w:val="32"/>
          <w:szCs w:val="32"/>
        </w:rPr>
      </w:pPr>
      <w:r>
        <w:rPr>
          <w:sz w:val="32"/>
          <w:szCs w:val="32"/>
        </w:rPr>
        <w:t xml:space="preserve"> </w:t>
      </w:r>
    </w:p>
    <w:sectPr w:rsidR="0015679E" w:rsidRPr="0015679E" w:rsidSect="00BC596A">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5422" w:rsidRDefault="004D5422" w:rsidP="00D54C5D">
      <w:pPr>
        <w:spacing w:after="0" w:line="240" w:lineRule="auto"/>
      </w:pPr>
      <w:r>
        <w:separator/>
      </w:r>
    </w:p>
  </w:endnote>
  <w:endnote w:type="continuationSeparator" w:id="1">
    <w:p w:rsidR="004D5422" w:rsidRDefault="004D5422" w:rsidP="00D54C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howcard Gothic">
    <w:panose1 w:val="04020904020102020604"/>
    <w:charset w:val="00"/>
    <w:family w:val="decorativ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32486"/>
      <w:docPartObj>
        <w:docPartGallery w:val="Page Numbers (Bottom of Page)"/>
        <w:docPartUnique/>
      </w:docPartObj>
    </w:sdtPr>
    <w:sdtContent>
      <w:p w:rsidR="00D54C5D" w:rsidRDefault="007A2E41" w:rsidP="00D54C5D">
        <w:pPr>
          <w:pStyle w:val="Pieddepage"/>
          <w:jc w:val="center"/>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3079" type="#_x0000_t65" style="position:absolute;left:0;text-align:left;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3079">
                <w:txbxContent>
                  <w:p w:rsidR="00BC596A" w:rsidRDefault="007A2E41">
                    <w:pPr>
                      <w:jc w:val="center"/>
                    </w:pPr>
                    <w:fldSimple w:instr=" PAGE    \* MERGEFORMAT ">
                      <w:r w:rsidR="002B3EB3" w:rsidRPr="002B3EB3">
                        <w:rPr>
                          <w:noProof/>
                          <w:sz w:val="16"/>
                          <w:szCs w:val="16"/>
                        </w:rPr>
                        <w:t>1</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5422" w:rsidRDefault="004D5422" w:rsidP="00D54C5D">
      <w:pPr>
        <w:spacing w:after="0" w:line="240" w:lineRule="auto"/>
      </w:pPr>
      <w:r>
        <w:separator/>
      </w:r>
    </w:p>
  </w:footnote>
  <w:footnote w:type="continuationSeparator" w:id="1">
    <w:p w:rsidR="004D5422" w:rsidRDefault="004D5422" w:rsidP="00D54C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BD21504_"/>
      </v:shape>
    </w:pict>
  </w:numPicBullet>
  <w:abstractNum w:abstractNumId="0">
    <w:nsid w:val="01C92895"/>
    <w:multiLevelType w:val="hybridMultilevel"/>
    <w:tmpl w:val="1FF8D1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0EF45F2"/>
    <w:multiLevelType w:val="hybridMultilevel"/>
    <w:tmpl w:val="427637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C340AC7"/>
    <w:multiLevelType w:val="hybridMultilevel"/>
    <w:tmpl w:val="F2CE90A0"/>
    <w:lvl w:ilvl="0" w:tplc="4306A630">
      <w:start w:val="1"/>
      <w:numFmt w:val="upperLetter"/>
      <w:lvlText w:val="%1-"/>
      <w:lvlJc w:val="left"/>
      <w:pPr>
        <w:ind w:left="765" w:hanging="360"/>
      </w:pPr>
      <w:rPr>
        <w:rFonts w:hint="default"/>
      </w:r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3">
    <w:nsid w:val="335C0248"/>
    <w:multiLevelType w:val="hybridMultilevel"/>
    <w:tmpl w:val="C46E5C66"/>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
    <w:nsid w:val="371F6156"/>
    <w:multiLevelType w:val="hybridMultilevel"/>
    <w:tmpl w:val="F44E1F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00A794A"/>
    <w:multiLevelType w:val="hybridMultilevel"/>
    <w:tmpl w:val="20CA3226"/>
    <w:lvl w:ilvl="0" w:tplc="040C000D">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6">
    <w:nsid w:val="41BF7D54"/>
    <w:multiLevelType w:val="hybridMultilevel"/>
    <w:tmpl w:val="81E47F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F7B2C9D"/>
    <w:multiLevelType w:val="hybridMultilevel"/>
    <w:tmpl w:val="A71ED3A8"/>
    <w:lvl w:ilvl="0" w:tplc="B8D2FA8A">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DB21228"/>
    <w:multiLevelType w:val="hybridMultilevel"/>
    <w:tmpl w:val="F98E5DE6"/>
    <w:lvl w:ilvl="0" w:tplc="B5CCF176">
      <w:numFmt w:val="bullet"/>
      <w:lvlText w:val="-"/>
      <w:lvlJc w:val="left"/>
      <w:pPr>
        <w:ind w:left="720" w:hanging="360"/>
      </w:pPr>
      <w:rPr>
        <w:rFonts w:ascii="Showcard Gothic" w:eastAsiaTheme="minorEastAsia" w:hAnsi="Showcard Gothic" w:cs="Times New Roman" w:hint="default"/>
        <w:b/>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8"/>
  </w:num>
  <w:num w:numId="5">
    <w:abstractNumId w:val="1"/>
  </w:num>
  <w:num w:numId="6">
    <w:abstractNumId w:val="4"/>
  </w:num>
  <w:num w:numId="7">
    <w:abstractNumId w:val="5"/>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3"/>
    </o:shapelayout>
  </w:hdrShapeDefaults>
  <w:footnotePr>
    <w:footnote w:id="0"/>
    <w:footnote w:id="1"/>
  </w:footnotePr>
  <w:endnotePr>
    <w:endnote w:id="0"/>
    <w:endnote w:id="1"/>
  </w:endnotePr>
  <w:compat>
    <w:useFELayout/>
  </w:compat>
  <w:rsids>
    <w:rsidRoot w:val="0015679E"/>
    <w:rsid w:val="0015679E"/>
    <w:rsid w:val="001A1797"/>
    <w:rsid w:val="00267798"/>
    <w:rsid w:val="00272EE8"/>
    <w:rsid w:val="002B3EB3"/>
    <w:rsid w:val="003B37E7"/>
    <w:rsid w:val="004B78F6"/>
    <w:rsid w:val="004D20FA"/>
    <w:rsid w:val="004D5422"/>
    <w:rsid w:val="004E360D"/>
    <w:rsid w:val="00646A96"/>
    <w:rsid w:val="007A2E41"/>
    <w:rsid w:val="0084479E"/>
    <w:rsid w:val="008506EC"/>
    <w:rsid w:val="00861ED4"/>
    <w:rsid w:val="00942629"/>
    <w:rsid w:val="00A1753E"/>
    <w:rsid w:val="00AA482B"/>
    <w:rsid w:val="00AB30F7"/>
    <w:rsid w:val="00B266D3"/>
    <w:rsid w:val="00B67A8C"/>
    <w:rsid w:val="00BC596A"/>
    <w:rsid w:val="00C03322"/>
    <w:rsid w:val="00C64614"/>
    <w:rsid w:val="00C8701C"/>
    <w:rsid w:val="00CF0309"/>
    <w:rsid w:val="00D54C5D"/>
    <w:rsid w:val="00D755F9"/>
    <w:rsid w:val="00D9547D"/>
    <w:rsid w:val="00E1066E"/>
    <w:rsid w:val="00F3202F"/>
    <w:rsid w:val="00F939E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53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67798"/>
    <w:pPr>
      <w:ind w:left="720"/>
      <w:contextualSpacing/>
    </w:pPr>
  </w:style>
  <w:style w:type="paragraph" w:styleId="En-tte">
    <w:name w:val="header"/>
    <w:basedOn w:val="Normal"/>
    <w:link w:val="En-tteCar"/>
    <w:uiPriority w:val="99"/>
    <w:semiHidden/>
    <w:unhideWhenUsed/>
    <w:rsid w:val="00D54C5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54C5D"/>
  </w:style>
  <w:style w:type="paragraph" w:styleId="Pieddepage">
    <w:name w:val="footer"/>
    <w:basedOn w:val="Normal"/>
    <w:link w:val="PieddepageCar"/>
    <w:uiPriority w:val="99"/>
    <w:unhideWhenUsed/>
    <w:rsid w:val="00D54C5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4C5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7CCD3-0EEC-43F1-95B7-D55DA9BC1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1249</Words>
  <Characters>6874</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TSHIBA</cp:lastModifiedBy>
  <cp:revision>18</cp:revision>
  <dcterms:created xsi:type="dcterms:W3CDTF">2017-12-06T15:56:00Z</dcterms:created>
  <dcterms:modified xsi:type="dcterms:W3CDTF">2021-01-03T17:42:00Z</dcterms:modified>
</cp:coreProperties>
</file>