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89" w:rsidRPr="00891BBA" w:rsidRDefault="00086B89" w:rsidP="00891BBA">
      <w:pPr>
        <w:pStyle w:val="Default"/>
        <w:jc w:val="both"/>
        <w:rPr>
          <w:b/>
          <w:bCs/>
          <w:color w:val="auto"/>
        </w:rPr>
      </w:pPr>
    </w:p>
    <w:p w:rsidR="00AB0EFC" w:rsidRPr="00891BBA" w:rsidRDefault="00AB0EFC" w:rsidP="00891BBA">
      <w:pPr>
        <w:pStyle w:val="Default"/>
        <w:jc w:val="center"/>
        <w:rPr>
          <w:b/>
          <w:bCs/>
          <w:color w:val="auto"/>
        </w:rPr>
      </w:pPr>
      <w:r w:rsidRPr="00891BBA">
        <w:rPr>
          <w:b/>
          <w:bCs/>
          <w:color w:val="auto"/>
        </w:rPr>
        <w:t>TD 06</w:t>
      </w:r>
      <w:r w:rsidR="00E6495F" w:rsidRPr="00891BBA">
        <w:rPr>
          <w:b/>
          <w:bCs/>
          <w:color w:val="auto"/>
        </w:rPr>
        <w:t xml:space="preserve"> : </w:t>
      </w:r>
      <w:r w:rsidR="00086B89" w:rsidRPr="00891BBA">
        <w:rPr>
          <w:b/>
          <w:bCs/>
          <w:color w:val="auto"/>
        </w:rPr>
        <w:t>Antibiogramme</w:t>
      </w:r>
    </w:p>
    <w:p w:rsidR="001C15AB" w:rsidRPr="00891BBA" w:rsidRDefault="001C15AB" w:rsidP="00891BBA">
      <w:pPr>
        <w:pStyle w:val="Default"/>
        <w:jc w:val="both"/>
        <w:rPr>
          <w:b/>
          <w:bCs/>
          <w:color w:val="auto"/>
        </w:rPr>
      </w:pPr>
    </w:p>
    <w:p w:rsidR="00B764F8" w:rsidRPr="00891BBA" w:rsidRDefault="00B764F8" w:rsidP="00000C0B">
      <w:pPr>
        <w:pStyle w:val="Default"/>
        <w:ind w:firstLine="708"/>
        <w:jc w:val="both"/>
        <w:rPr>
          <w:b/>
          <w:bCs/>
          <w:color w:val="auto"/>
        </w:rPr>
      </w:pPr>
      <w:r w:rsidRPr="00891BBA">
        <w:rPr>
          <w:color w:val="auto"/>
        </w:rPr>
        <w:t xml:space="preserve">L’antibiogramme standard est un test </w:t>
      </w:r>
      <w:r w:rsidR="00891BBA">
        <w:rPr>
          <w:i/>
          <w:color w:val="auto"/>
        </w:rPr>
        <w:t>i</w:t>
      </w:r>
      <w:r w:rsidRPr="00891BBA">
        <w:rPr>
          <w:i/>
          <w:color w:val="auto"/>
        </w:rPr>
        <w:t>n vitro</w:t>
      </w:r>
      <w:r w:rsidRPr="00891BBA">
        <w:rPr>
          <w:color w:val="auto"/>
        </w:rPr>
        <w:t xml:space="preserve"> de sensibilité d’un germe à un ou plusieurs antibiotiques par la technique de diffusion sur milieux gélosé. Il a pour but de guider le clinicien dans le choix d’un antibiotique pour traiter une infection bactérienne, d’exploitées les données pour la surveillance des résistances bactériennes aux antibiotiques et une indication supplémentaire pour l’identification du germe par la mise en évidence de résistances naturelles.</w:t>
      </w:r>
    </w:p>
    <w:p w:rsidR="00AB0EFC" w:rsidRPr="00891BBA" w:rsidRDefault="00AB0EFC" w:rsidP="00891BBA">
      <w:pPr>
        <w:pStyle w:val="Default"/>
        <w:jc w:val="both"/>
        <w:rPr>
          <w:color w:val="auto"/>
        </w:rPr>
      </w:pPr>
    </w:p>
    <w:p w:rsidR="00AB0EFC" w:rsidRPr="00891BBA" w:rsidRDefault="00AB0EFC" w:rsidP="00000C0B">
      <w:pPr>
        <w:pStyle w:val="Default"/>
        <w:ind w:firstLine="708"/>
        <w:jc w:val="both"/>
        <w:rPr>
          <w:color w:val="auto"/>
        </w:rPr>
      </w:pPr>
      <w:r w:rsidRPr="00891BBA">
        <w:rPr>
          <w:color w:val="auto"/>
        </w:rPr>
        <w:t>L’interprétation se fait aujourd’hui avec des systèmes experts qu</w:t>
      </w:r>
      <w:r w:rsidR="00000C0B">
        <w:rPr>
          <w:color w:val="auto"/>
        </w:rPr>
        <w:t>i suivent les recommandations du comité de l’</w:t>
      </w:r>
      <w:r w:rsidRPr="00891BBA">
        <w:rPr>
          <w:color w:val="auto"/>
        </w:rPr>
        <w:t>antibiogramme par exemple CASFM (comité de l'antibiogramme de la société française de microbiologie) ou bien CLSI (Clinical and Laboratory Standards Institute</w:t>
      </w:r>
      <w:r w:rsidR="00236A0B" w:rsidRPr="00891BBA">
        <w:rPr>
          <w:color w:val="auto"/>
        </w:rPr>
        <w:t>)</w:t>
      </w:r>
      <w:r w:rsidRPr="00891BBA">
        <w:rPr>
          <w:color w:val="auto"/>
        </w:rPr>
        <w:t xml:space="preserve">. </w:t>
      </w:r>
    </w:p>
    <w:p w:rsidR="001C2C1A" w:rsidRPr="00891BBA" w:rsidRDefault="001C2C1A" w:rsidP="00891BBA">
      <w:pPr>
        <w:spacing w:after="0" w:line="240" w:lineRule="auto"/>
        <w:jc w:val="both"/>
        <w:rPr>
          <w:rFonts w:ascii="Times New Roman" w:hAnsi="Times New Roman" w:cs="Times New Roman"/>
          <w:sz w:val="24"/>
          <w:szCs w:val="24"/>
        </w:rPr>
      </w:pPr>
    </w:p>
    <w:p w:rsidR="00A558B6" w:rsidRPr="00891BBA" w:rsidRDefault="008018BF" w:rsidP="00891B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A558B6" w:rsidRPr="00891BBA">
        <w:rPr>
          <w:rFonts w:ascii="Times New Roman" w:hAnsi="Times New Roman" w:cs="Times New Roman"/>
          <w:b/>
          <w:sz w:val="24"/>
          <w:szCs w:val="24"/>
        </w:rPr>
        <w:t xml:space="preserve">Principe de la technique </w:t>
      </w:r>
    </w:p>
    <w:p w:rsidR="00B764F8" w:rsidRPr="00891BBA" w:rsidRDefault="00A558B6" w:rsidP="00000C0B">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Les disques de papier imprégnés avec une concentration déterminée d’agent antimicrobien sont déposés à la surface d’un milieu de culture standardisé préalablement ensemencé avec un inoculum calibré d’une culture pure de la bactérie à tester. Ap</w:t>
      </w:r>
      <w:r w:rsidR="008018BF">
        <w:rPr>
          <w:rFonts w:ascii="Times New Roman" w:hAnsi="Times New Roman" w:cs="Times New Roman"/>
          <w:sz w:val="24"/>
          <w:szCs w:val="24"/>
        </w:rPr>
        <w:t>rès incubation, les boîtes de Pé</w:t>
      </w:r>
      <w:r w:rsidRPr="00891BBA">
        <w:rPr>
          <w:rFonts w:ascii="Times New Roman" w:hAnsi="Times New Roman" w:cs="Times New Roman"/>
          <w:sz w:val="24"/>
          <w:szCs w:val="24"/>
        </w:rPr>
        <w:t>tri sont examinées et les diamètres des zones d’inhibition entourant les disques sont mesurés et comparés aux valeurs critiques des différents agents antimicrobiens testés, afin de déterminer la catégorisation clinique (résistant, intermédiaire, sensible). Le diamètre de la zone d’inhibition est proportionnel à la sensibilité de la bactérie testée.</w:t>
      </w:r>
    </w:p>
    <w:p w:rsidR="00A558B6" w:rsidRPr="00891BBA" w:rsidRDefault="00A558B6" w:rsidP="00891BBA">
      <w:pPr>
        <w:spacing w:after="0" w:line="240" w:lineRule="auto"/>
        <w:jc w:val="both"/>
        <w:rPr>
          <w:rFonts w:ascii="Times New Roman" w:hAnsi="Times New Roman" w:cs="Times New Roman"/>
          <w:sz w:val="24"/>
          <w:szCs w:val="24"/>
        </w:rPr>
      </w:pPr>
    </w:p>
    <w:p w:rsidR="00A558B6" w:rsidRPr="00891BBA" w:rsidRDefault="008018BF" w:rsidP="00891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558B6" w:rsidRPr="00891BBA">
        <w:rPr>
          <w:rFonts w:ascii="Times New Roman" w:hAnsi="Times New Roman" w:cs="Times New Roman"/>
          <w:b/>
          <w:sz w:val="24"/>
          <w:szCs w:val="24"/>
        </w:rPr>
        <w:t>Paramètres importants</w:t>
      </w:r>
      <w:r w:rsidR="00A558B6" w:rsidRPr="00891BBA">
        <w:rPr>
          <w:rFonts w:ascii="Times New Roman" w:hAnsi="Times New Roman" w:cs="Times New Roman"/>
          <w:sz w:val="24"/>
          <w:szCs w:val="24"/>
        </w:rPr>
        <w:t xml:space="preserve"> </w:t>
      </w:r>
    </w:p>
    <w:p w:rsidR="00A558B6" w:rsidRPr="00891BBA" w:rsidRDefault="00A558B6" w:rsidP="00000C0B">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 xml:space="preserve">La fiabilité des résultats d'un antibiogramme est influencée par de nombreux paramètres qui doivent être rigoureusement contrôlés. </w:t>
      </w:r>
    </w:p>
    <w:p w:rsidR="008018BF" w:rsidRDefault="00A558B6" w:rsidP="00891BBA">
      <w:pPr>
        <w:spacing w:after="0" w:line="240" w:lineRule="auto"/>
        <w:jc w:val="both"/>
        <w:rPr>
          <w:rFonts w:ascii="Times New Roman" w:hAnsi="Times New Roman" w:cs="Times New Roman"/>
          <w:sz w:val="24"/>
          <w:szCs w:val="24"/>
        </w:rPr>
      </w:pPr>
      <w:r w:rsidRPr="008018BF">
        <w:rPr>
          <w:rFonts w:ascii="Times New Roman" w:hAnsi="Times New Roman" w:cs="Times New Roman"/>
          <w:b/>
          <w:sz w:val="24"/>
          <w:szCs w:val="24"/>
        </w:rPr>
        <w:t>2</w:t>
      </w:r>
      <w:r w:rsidR="008018BF" w:rsidRPr="008018BF">
        <w:rPr>
          <w:rFonts w:ascii="Times New Roman" w:hAnsi="Times New Roman" w:cs="Times New Roman"/>
          <w:b/>
          <w:sz w:val="24"/>
          <w:szCs w:val="24"/>
        </w:rPr>
        <w:t>.</w:t>
      </w:r>
      <w:r w:rsidRPr="008018BF">
        <w:rPr>
          <w:rFonts w:ascii="Times New Roman" w:hAnsi="Times New Roman" w:cs="Times New Roman"/>
          <w:b/>
          <w:sz w:val="24"/>
          <w:szCs w:val="24"/>
        </w:rPr>
        <w:t>1</w:t>
      </w:r>
      <w:r w:rsidR="008018BF">
        <w:rPr>
          <w:rFonts w:ascii="Times New Roman" w:hAnsi="Times New Roman" w:cs="Times New Roman"/>
          <w:b/>
          <w:sz w:val="24"/>
          <w:szCs w:val="24"/>
        </w:rPr>
        <w:t xml:space="preserve">. </w:t>
      </w:r>
      <w:r w:rsidRPr="00891BBA">
        <w:rPr>
          <w:rFonts w:ascii="Times New Roman" w:hAnsi="Times New Roman" w:cs="Times New Roman"/>
          <w:b/>
          <w:sz w:val="24"/>
          <w:szCs w:val="24"/>
        </w:rPr>
        <w:t>Le milieu de culture :</w:t>
      </w:r>
      <w:r w:rsidRPr="00891BBA">
        <w:rPr>
          <w:rFonts w:ascii="Times New Roman" w:hAnsi="Times New Roman" w:cs="Times New Roman"/>
          <w:sz w:val="24"/>
          <w:szCs w:val="24"/>
        </w:rPr>
        <w:t xml:space="preserve"> </w:t>
      </w:r>
    </w:p>
    <w:p w:rsidR="008018BF" w:rsidRDefault="00A558B6" w:rsidP="008018BF">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 xml:space="preserve">Le milieu de culture doit permettre la croissance de nombreuses bactéries et il ne doit pas contenir d'inhibiteurs des antibiotiques. La teneur en calcium et en magnésium doit être </w:t>
      </w:r>
      <w:r w:rsidR="008018BF" w:rsidRPr="00891BBA">
        <w:rPr>
          <w:rFonts w:ascii="Times New Roman" w:hAnsi="Times New Roman" w:cs="Times New Roman"/>
          <w:sz w:val="24"/>
          <w:szCs w:val="24"/>
        </w:rPr>
        <w:t>contrôlée</w:t>
      </w:r>
      <w:r w:rsidRPr="00891BBA">
        <w:rPr>
          <w:rFonts w:ascii="Times New Roman" w:hAnsi="Times New Roman" w:cs="Times New Roman"/>
          <w:sz w:val="24"/>
          <w:szCs w:val="24"/>
        </w:rPr>
        <w:t>, car excès de cations bivalents (Ca</w:t>
      </w:r>
      <w:r w:rsidRPr="008018BF">
        <w:rPr>
          <w:rFonts w:ascii="Times New Roman" w:hAnsi="Times New Roman" w:cs="Times New Roman"/>
          <w:sz w:val="24"/>
          <w:szCs w:val="24"/>
          <w:vertAlign w:val="superscript"/>
        </w:rPr>
        <w:t>2+</w:t>
      </w:r>
      <w:r w:rsidRPr="00891BBA">
        <w:rPr>
          <w:rFonts w:ascii="Times New Roman" w:hAnsi="Times New Roman" w:cs="Times New Roman"/>
          <w:sz w:val="24"/>
          <w:szCs w:val="24"/>
        </w:rPr>
        <w:t>, Mg</w:t>
      </w:r>
      <w:r w:rsidRPr="008018BF">
        <w:rPr>
          <w:rFonts w:ascii="Times New Roman" w:hAnsi="Times New Roman" w:cs="Times New Roman"/>
          <w:sz w:val="24"/>
          <w:szCs w:val="24"/>
          <w:vertAlign w:val="superscript"/>
        </w:rPr>
        <w:t>2+</w:t>
      </w:r>
      <w:r w:rsidRPr="00891BBA">
        <w:rPr>
          <w:rFonts w:ascii="Times New Roman" w:hAnsi="Times New Roman" w:cs="Times New Roman"/>
          <w:sz w:val="24"/>
          <w:szCs w:val="24"/>
        </w:rPr>
        <w:t xml:space="preserve">) inhibent l'action des polymyxines. </w:t>
      </w:r>
    </w:p>
    <w:p w:rsidR="008018BF" w:rsidRDefault="00A558B6" w:rsidP="008018BF">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 xml:space="preserve">Un pH trop acide augmente l'activité des ß-lactamines, un milieu alcalin favorise les aminosides et les macrolides, il doit être compris entre 7,2 et 7,4, valeur qui permet une bonne croissance bactérienne et qui réalise un compromis pour l'activité des antibiotiques. </w:t>
      </w:r>
    </w:p>
    <w:p w:rsidR="00A558B6" w:rsidRDefault="00A558B6" w:rsidP="008018BF">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 xml:space="preserve">Le milieu retenu pour la majorité des espèces bactériennes est celui de </w:t>
      </w:r>
      <w:r w:rsidRPr="00000C0B">
        <w:rPr>
          <w:rFonts w:ascii="Times New Roman" w:hAnsi="Times New Roman" w:cs="Times New Roman"/>
          <w:b/>
          <w:sz w:val="24"/>
          <w:szCs w:val="24"/>
        </w:rPr>
        <w:t>Mueller</w:t>
      </w:r>
      <w:r w:rsidR="009869D0" w:rsidRPr="00000C0B">
        <w:rPr>
          <w:rFonts w:ascii="Times New Roman" w:hAnsi="Times New Roman" w:cs="Times New Roman"/>
          <w:b/>
          <w:sz w:val="24"/>
          <w:szCs w:val="24"/>
        </w:rPr>
        <w:t xml:space="preserve"> </w:t>
      </w:r>
      <w:r w:rsidRPr="00000C0B">
        <w:rPr>
          <w:rFonts w:ascii="Times New Roman" w:hAnsi="Times New Roman" w:cs="Times New Roman"/>
          <w:b/>
          <w:sz w:val="24"/>
          <w:szCs w:val="24"/>
        </w:rPr>
        <w:t>Hinton</w:t>
      </w:r>
      <w:r w:rsidRPr="00891BBA">
        <w:rPr>
          <w:rFonts w:ascii="Times New Roman" w:hAnsi="Times New Roman" w:cs="Times New Roman"/>
          <w:sz w:val="24"/>
          <w:szCs w:val="24"/>
        </w:rPr>
        <w:t xml:space="preserve"> (plus 5% de sang pour les germes exigeants). Il doit être coulé en boîtes d</w:t>
      </w:r>
      <w:r w:rsidR="007F4959" w:rsidRPr="00891BBA">
        <w:rPr>
          <w:rFonts w:ascii="Times New Roman" w:hAnsi="Times New Roman" w:cs="Times New Roman"/>
          <w:sz w:val="24"/>
          <w:szCs w:val="24"/>
        </w:rPr>
        <w:t>e Pé</w:t>
      </w:r>
      <w:r w:rsidRPr="00891BBA">
        <w:rPr>
          <w:rFonts w:ascii="Times New Roman" w:hAnsi="Times New Roman" w:cs="Times New Roman"/>
          <w:sz w:val="24"/>
          <w:szCs w:val="24"/>
        </w:rPr>
        <w:t>tri sur une épaisseur de 4 mm et les géloses doivent être séchées avant l’emploi. La standardisation de l'épaisseur de la gélose détermine l’établissement du gradient et valeur de la concentration en antibiotique à une distance donnée du disque. En effet, l'antibiotique contenu dans le disque se solubilise dans l'eau de la gélose. Sa diffusion peut-être schématiquement présentée en deux étapes : une diffusion verticale (en profondeur) dans le milieu contenu dans le cylindre délimité par le disque pré-imprégné, une diffusion horizontale (latéralement) qui répartit l'antibiotique selon un gradient de concentrations dont le maximum est situé au niveau du disque (figure 1). Chaque disque est pré-imprégné d’une masse connue d’antibiotique appelée charge du disque.</w:t>
      </w:r>
    </w:p>
    <w:p w:rsidR="008018BF" w:rsidRPr="00891BBA" w:rsidRDefault="008018BF" w:rsidP="008018BF">
      <w:pPr>
        <w:spacing w:after="0" w:line="24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0" distR="0" simplePos="0" relativeHeight="251659264" behindDoc="1" locked="0" layoutInCell="1" allowOverlap="1">
            <wp:simplePos x="0" y="0"/>
            <wp:positionH relativeFrom="page">
              <wp:posOffset>1118235</wp:posOffset>
            </wp:positionH>
            <wp:positionV relativeFrom="paragraph">
              <wp:posOffset>196215</wp:posOffset>
            </wp:positionV>
            <wp:extent cx="5226050" cy="1772285"/>
            <wp:effectExtent l="19050" t="0" r="0" b="0"/>
            <wp:wrapTopAndBottom/>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226050" cy="1772285"/>
                    </a:xfrm>
                    <a:prstGeom prst="rect">
                      <a:avLst/>
                    </a:prstGeom>
                  </pic:spPr>
                </pic:pic>
              </a:graphicData>
            </a:graphic>
          </wp:anchor>
        </w:drawing>
      </w:r>
    </w:p>
    <w:p w:rsidR="00A558B6" w:rsidRPr="00891BBA" w:rsidRDefault="00A558B6" w:rsidP="00891BBA">
      <w:pPr>
        <w:spacing w:after="0" w:line="240" w:lineRule="auto"/>
        <w:jc w:val="both"/>
        <w:rPr>
          <w:rFonts w:ascii="Times New Roman" w:hAnsi="Times New Roman" w:cs="Times New Roman"/>
          <w:sz w:val="24"/>
          <w:szCs w:val="24"/>
        </w:rPr>
      </w:pPr>
    </w:p>
    <w:p w:rsidR="008018BF" w:rsidRPr="008018BF" w:rsidRDefault="008018BF" w:rsidP="008018BF">
      <w:pPr>
        <w:spacing w:after="0" w:line="240" w:lineRule="auto"/>
        <w:jc w:val="center"/>
        <w:rPr>
          <w:rFonts w:ascii="Times New Roman" w:hAnsi="Times New Roman" w:cs="Times New Roman"/>
          <w:sz w:val="24"/>
          <w:szCs w:val="24"/>
        </w:rPr>
      </w:pPr>
      <w:r w:rsidRPr="008A7FF1">
        <w:rPr>
          <w:rFonts w:ascii="Times New Roman" w:hAnsi="Times New Roman" w:cs="Times New Roman"/>
          <w:b/>
          <w:sz w:val="24"/>
          <w:szCs w:val="24"/>
        </w:rPr>
        <w:t>Figure 1 :</w:t>
      </w:r>
      <w:r w:rsidR="008A7FF1">
        <w:rPr>
          <w:rFonts w:ascii="Times New Roman" w:hAnsi="Times New Roman" w:cs="Times New Roman"/>
          <w:sz w:val="24"/>
          <w:szCs w:val="24"/>
        </w:rPr>
        <w:t xml:space="preserve"> S</w:t>
      </w:r>
      <w:r w:rsidRPr="008018BF">
        <w:rPr>
          <w:rFonts w:ascii="Times New Roman" w:hAnsi="Times New Roman" w:cs="Times New Roman"/>
          <w:sz w:val="24"/>
          <w:szCs w:val="24"/>
        </w:rPr>
        <w:t>chéma en coupe d’une gélose Mueller-Hinton utilisée pour un antibiogramme standard</w:t>
      </w:r>
    </w:p>
    <w:p w:rsidR="008018BF" w:rsidRDefault="008018BF" w:rsidP="00891BBA">
      <w:pPr>
        <w:spacing w:after="0" w:line="240" w:lineRule="auto"/>
        <w:jc w:val="both"/>
        <w:rPr>
          <w:rFonts w:ascii="Times New Roman" w:hAnsi="Times New Roman" w:cs="Times New Roman"/>
          <w:sz w:val="24"/>
          <w:szCs w:val="24"/>
        </w:rPr>
      </w:pPr>
    </w:p>
    <w:p w:rsidR="00A558B6" w:rsidRPr="0025471B" w:rsidRDefault="0025471B" w:rsidP="002547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2.2. </w:t>
      </w:r>
      <w:r w:rsidR="000F5137" w:rsidRPr="0025471B">
        <w:rPr>
          <w:rFonts w:ascii="Times New Roman" w:hAnsi="Times New Roman" w:cs="Times New Roman"/>
          <w:b/>
          <w:sz w:val="24"/>
          <w:szCs w:val="24"/>
        </w:rPr>
        <w:t>Les d</w:t>
      </w:r>
      <w:r w:rsidR="00A558B6" w:rsidRPr="0025471B">
        <w:rPr>
          <w:rFonts w:ascii="Times New Roman" w:hAnsi="Times New Roman" w:cs="Times New Roman"/>
          <w:b/>
          <w:sz w:val="24"/>
          <w:szCs w:val="24"/>
        </w:rPr>
        <w:t>isques d’antibiotiques</w:t>
      </w:r>
      <w:r w:rsidR="00A558B6" w:rsidRPr="0025471B">
        <w:rPr>
          <w:rFonts w:ascii="Times New Roman" w:hAnsi="Times New Roman" w:cs="Times New Roman"/>
          <w:sz w:val="24"/>
          <w:szCs w:val="24"/>
        </w:rPr>
        <w:t xml:space="preserve"> </w:t>
      </w:r>
    </w:p>
    <w:p w:rsidR="00A558B6" w:rsidRDefault="00A558B6" w:rsidP="00000C0B">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Les disques sont fabriqués à partir de papier absorbant de qualité supérieure imprégnés d’agents antimicrobiens à des concentrations précises. Ils sont clairement identifiés par un sigle, comportant 1 à 3 lettres, imprimé de chaque côté du disque</w:t>
      </w:r>
      <w:r w:rsidR="009D6632">
        <w:rPr>
          <w:rFonts w:ascii="Times New Roman" w:hAnsi="Times New Roman" w:cs="Times New Roman"/>
          <w:sz w:val="24"/>
          <w:szCs w:val="24"/>
        </w:rPr>
        <w:t xml:space="preserve"> (Tableau 01).</w:t>
      </w:r>
    </w:p>
    <w:p w:rsidR="009D6632" w:rsidRDefault="009D6632" w:rsidP="00891BBA">
      <w:pPr>
        <w:spacing w:after="0" w:line="240" w:lineRule="auto"/>
        <w:jc w:val="both"/>
        <w:rPr>
          <w:rFonts w:ascii="Times New Roman" w:hAnsi="Times New Roman" w:cs="Times New Roman"/>
          <w:sz w:val="24"/>
          <w:szCs w:val="24"/>
        </w:rPr>
      </w:pPr>
    </w:p>
    <w:p w:rsidR="009D6632" w:rsidRDefault="009D6632" w:rsidP="00891BBA">
      <w:pPr>
        <w:spacing w:after="0" w:line="240" w:lineRule="auto"/>
        <w:jc w:val="both"/>
        <w:rPr>
          <w:rFonts w:ascii="Times New Roman" w:hAnsi="Times New Roman" w:cs="Times New Roman"/>
          <w:sz w:val="24"/>
          <w:szCs w:val="24"/>
        </w:rPr>
      </w:pPr>
      <w:r w:rsidRPr="009D6632">
        <w:rPr>
          <w:rFonts w:ascii="Times New Roman" w:hAnsi="Times New Roman" w:cs="Times New Roman"/>
          <w:b/>
          <w:sz w:val="24"/>
          <w:szCs w:val="24"/>
        </w:rPr>
        <w:t>Tableau 1 :</w:t>
      </w:r>
      <w:r w:rsidRPr="009D6632">
        <w:rPr>
          <w:rFonts w:ascii="Times New Roman" w:hAnsi="Times New Roman" w:cs="Times New Roman"/>
          <w:sz w:val="24"/>
          <w:szCs w:val="24"/>
        </w:rPr>
        <w:t xml:space="preserve"> exemples d’abréviation de quelques antibiotiques</w:t>
      </w:r>
    </w:p>
    <w:p w:rsidR="009D6632" w:rsidRPr="00000C0B" w:rsidRDefault="009D6632" w:rsidP="00891BBA">
      <w:pPr>
        <w:spacing w:after="0" w:line="240" w:lineRule="auto"/>
        <w:jc w:val="both"/>
        <w:rPr>
          <w:rFonts w:ascii="Times New Roman" w:hAnsi="Times New Roman" w:cs="Times New Roman"/>
          <w:sz w:val="16"/>
          <w:szCs w:val="16"/>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0"/>
        <w:gridCol w:w="4096"/>
        <w:gridCol w:w="1669"/>
      </w:tblGrid>
      <w:tr w:rsidR="009D6632" w:rsidTr="00000C0B">
        <w:trPr>
          <w:trHeight w:val="344"/>
        </w:trPr>
        <w:tc>
          <w:tcPr>
            <w:tcW w:w="1290" w:type="dxa"/>
          </w:tcPr>
          <w:p w:rsidR="009D6632" w:rsidRPr="00D37B3E" w:rsidRDefault="009D6632" w:rsidP="006957B6">
            <w:pPr>
              <w:pStyle w:val="TableParagraph"/>
              <w:ind w:right="3"/>
              <w:rPr>
                <w:b/>
                <w:sz w:val="24"/>
              </w:rPr>
            </w:pPr>
            <w:r w:rsidRPr="00D37B3E">
              <w:rPr>
                <w:b/>
                <w:spacing w:val="-2"/>
                <w:sz w:val="24"/>
              </w:rPr>
              <w:t>Sigle</w:t>
            </w:r>
          </w:p>
        </w:tc>
        <w:tc>
          <w:tcPr>
            <w:tcW w:w="4096" w:type="dxa"/>
          </w:tcPr>
          <w:p w:rsidR="009D6632" w:rsidRPr="00D37B3E" w:rsidRDefault="009D6632" w:rsidP="006957B6">
            <w:pPr>
              <w:pStyle w:val="TableParagraph"/>
              <w:ind w:left="8"/>
              <w:rPr>
                <w:b/>
                <w:sz w:val="24"/>
              </w:rPr>
            </w:pPr>
            <w:r w:rsidRPr="00D37B3E">
              <w:rPr>
                <w:b/>
                <w:spacing w:val="-2"/>
                <w:sz w:val="24"/>
              </w:rPr>
              <w:t>Antibiotique</w:t>
            </w:r>
          </w:p>
        </w:tc>
        <w:tc>
          <w:tcPr>
            <w:tcW w:w="1669" w:type="dxa"/>
          </w:tcPr>
          <w:p w:rsidR="009D6632" w:rsidRPr="00D37B3E" w:rsidRDefault="009D6632" w:rsidP="006957B6">
            <w:pPr>
              <w:pStyle w:val="TableParagraph"/>
              <w:ind w:left="4" w:right="3"/>
              <w:rPr>
                <w:b/>
                <w:sz w:val="24"/>
              </w:rPr>
            </w:pPr>
            <w:r w:rsidRPr="00D37B3E">
              <w:rPr>
                <w:b/>
                <w:spacing w:val="-2"/>
                <w:sz w:val="24"/>
              </w:rPr>
              <w:t>Famille</w:t>
            </w:r>
          </w:p>
        </w:tc>
      </w:tr>
      <w:tr w:rsidR="009D6632" w:rsidTr="00000C0B">
        <w:trPr>
          <w:trHeight w:val="275"/>
        </w:trPr>
        <w:tc>
          <w:tcPr>
            <w:tcW w:w="1290" w:type="dxa"/>
          </w:tcPr>
          <w:p w:rsidR="009D6632" w:rsidRPr="00D37B3E" w:rsidRDefault="009D6632" w:rsidP="006957B6">
            <w:pPr>
              <w:pStyle w:val="TableParagraph"/>
              <w:ind w:right="4"/>
              <w:rPr>
                <w:b/>
                <w:sz w:val="24"/>
              </w:rPr>
            </w:pPr>
            <w:r w:rsidRPr="00D37B3E">
              <w:rPr>
                <w:b/>
                <w:spacing w:val="-5"/>
                <w:sz w:val="24"/>
              </w:rPr>
              <w:t>AM</w:t>
            </w:r>
          </w:p>
        </w:tc>
        <w:tc>
          <w:tcPr>
            <w:tcW w:w="4096" w:type="dxa"/>
          </w:tcPr>
          <w:p w:rsidR="009D6632" w:rsidRDefault="009D6632" w:rsidP="006957B6">
            <w:pPr>
              <w:pStyle w:val="TableParagraph"/>
              <w:ind w:left="8"/>
              <w:rPr>
                <w:sz w:val="24"/>
              </w:rPr>
            </w:pPr>
            <w:r>
              <w:rPr>
                <w:spacing w:val="-2"/>
                <w:sz w:val="24"/>
              </w:rPr>
              <w:t>Ampicilline</w:t>
            </w:r>
          </w:p>
        </w:tc>
        <w:tc>
          <w:tcPr>
            <w:tcW w:w="1669" w:type="dxa"/>
          </w:tcPr>
          <w:p w:rsidR="009D6632" w:rsidRDefault="009D6632" w:rsidP="006957B6">
            <w:pPr>
              <w:pStyle w:val="TableParagraph"/>
              <w:ind w:left="4"/>
              <w:rPr>
                <w:sz w:val="24"/>
              </w:rPr>
            </w:pPr>
            <w:r>
              <w:rPr>
                <w:spacing w:val="-2"/>
                <w:sz w:val="24"/>
              </w:rPr>
              <w:t>Aminopénicilline</w:t>
            </w:r>
          </w:p>
        </w:tc>
      </w:tr>
      <w:tr w:rsidR="009D6632" w:rsidTr="00000C0B">
        <w:trPr>
          <w:trHeight w:val="206"/>
        </w:trPr>
        <w:tc>
          <w:tcPr>
            <w:tcW w:w="1290" w:type="dxa"/>
          </w:tcPr>
          <w:p w:rsidR="009D6632" w:rsidRPr="00D37B3E" w:rsidRDefault="009D6632" w:rsidP="006957B6">
            <w:pPr>
              <w:pStyle w:val="TableParagraph"/>
              <w:spacing w:line="268" w:lineRule="exact"/>
              <w:ind w:right="1"/>
              <w:rPr>
                <w:b/>
                <w:sz w:val="24"/>
              </w:rPr>
            </w:pPr>
            <w:r w:rsidRPr="00D37B3E">
              <w:rPr>
                <w:b/>
                <w:spacing w:val="-5"/>
                <w:sz w:val="24"/>
              </w:rPr>
              <w:t>AMC</w:t>
            </w:r>
          </w:p>
        </w:tc>
        <w:tc>
          <w:tcPr>
            <w:tcW w:w="4096" w:type="dxa"/>
          </w:tcPr>
          <w:p w:rsidR="009D6632" w:rsidRDefault="009D6632" w:rsidP="00000C0B">
            <w:pPr>
              <w:pStyle w:val="TableParagraph"/>
              <w:spacing w:line="268" w:lineRule="exact"/>
              <w:ind w:left="8"/>
              <w:rPr>
                <w:sz w:val="24"/>
              </w:rPr>
            </w:pPr>
            <w:r>
              <w:rPr>
                <w:sz w:val="24"/>
              </w:rPr>
              <w:t>Amoxicilline +</w:t>
            </w:r>
            <w:r>
              <w:rPr>
                <w:spacing w:val="-2"/>
                <w:sz w:val="24"/>
              </w:rPr>
              <w:t xml:space="preserve"> acide</w:t>
            </w:r>
            <w:r w:rsidR="00000C0B">
              <w:rPr>
                <w:spacing w:val="-2"/>
                <w:sz w:val="24"/>
              </w:rPr>
              <w:t xml:space="preserve"> </w:t>
            </w:r>
            <w:r>
              <w:rPr>
                <w:spacing w:val="-2"/>
                <w:sz w:val="24"/>
              </w:rPr>
              <w:t>clavulanique</w:t>
            </w:r>
          </w:p>
        </w:tc>
        <w:tc>
          <w:tcPr>
            <w:tcW w:w="1669" w:type="dxa"/>
          </w:tcPr>
          <w:p w:rsidR="009D6632" w:rsidRDefault="009D6632" w:rsidP="006957B6">
            <w:pPr>
              <w:pStyle w:val="TableParagraph"/>
              <w:spacing w:line="268" w:lineRule="exact"/>
              <w:ind w:left="4"/>
              <w:rPr>
                <w:sz w:val="24"/>
              </w:rPr>
            </w:pPr>
            <w:r>
              <w:rPr>
                <w:spacing w:val="-2"/>
                <w:sz w:val="24"/>
              </w:rPr>
              <w:t>Aminopénicilline</w:t>
            </w:r>
          </w:p>
        </w:tc>
      </w:tr>
      <w:tr w:rsidR="009D6632" w:rsidTr="00000C0B">
        <w:trPr>
          <w:trHeight w:val="275"/>
        </w:trPr>
        <w:tc>
          <w:tcPr>
            <w:tcW w:w="1290" w:type="dxa"/>
          </w:tcPr>
          <w:p w:rsidR="009D6632" w:rsidRPr="00D37B3E" w:rsidRDefault="009D6632" w:rsidP="006957B6">
            <w:pPr>
              <w:pStyle w:val="TableParagraph"/>
              <w:ind w:right="2"/>
              <w:rPr>
                <w:b/>
                <w:sz w:val="24"/>
              </w:rPr>
            </w:pPr>
            <w:r w:rsidRPr="00D37B3E">
              <w:rPr>
                <w:b/>
                <w:spacing w:val="-5"/>
                <w:sz w:val="24"/>
              </w:rPr>
              <w:t>AMX</w:t>
            </w:r>
          </w:p>
        </w:tc>
        <w:tc>
          <w:tcPr>
            <w:tcW w:w="4096" w:type="dxa"/>
          </w:tcPr>
          <w:p w:rsidR="009D6632" w:rsidRDefault="009D6632" w:rsidP="006957B6">
            <w:pPr>
              <w:pStyle w:val="TableParagraph"/>
              <w:ind w:left="8"/>
              <w:rPr>
                <w:sz w:val="24"/>
              </w:rPr>
            </w:pPr>
            <w:r>
              <w:rPr>
                <w:spacing w:val="-2"/>
                <w:sz w:val="24"/>
              </w:rPr>
              <w:t>Amoxicilline</w:t>
            </w:r>
          </w:p>
        </w:tc>
        <w:tc>
          <w:tcPr>
            <w:tcW w:w="1669" w:type="dxa"/>
          </w:tcPr>
          <w:p w:rsidR="009D6632" w:rsidRDefault="009D6632" w:rsidP="006957B6">
            <w:pPr>
              <w:pStyle w:val="TableParagraph"/>
              <w:ind w:left="4"/>
              <w:rPr>
                <w:sz w:val="24"/>
              </w:rPr>
            </w:pPr>
            <w:r>
              <w:rPr>
                <w:spacing w:val="-2"/>
                <w:sz w:val="24"/>
              </w:rPr>
              <w:t>Aminopénicilline</w:t>
            </w:r>
          </w:p>
        </w:tc>
      </w:tr>
      <w:tr w:rsidR="009D6632" w:rsidTr="00000C0B">
        <w:trPr>
          <w:trHeight w:val="277"/>
        </w:trPr>
        <w:tc>
          <w:tcPr>
            <w:tcW w:w="1290" w:type="dxa"/>
          </w:tcPr>
          <w:p w:rsidR="009D6632" w:rsidRPr="00D37B3E" w:rsidRDefault="009D6632" w:rsidP="006957B6">
            <w:pPr>
              <w:pStyle w:val="TableParagraph"/>
              <w:spacing w:line="258" w:lineRule="exact"/>
              <w:ind w:right="1"/>
              <w:rPr>
                <w:b/>
                <w:sz w:val="24"/>
              </w:rPr>
            </w:pPr>
            <w:r w:rsidRPr="00D37B3E">
              <w:rPr>
                <w:b/>
                <w:spacing w:val="-5"/>
                <w:sz w:val="24"/>
              </w:rPr>
              <w:t>AN</w:t>
            </w:r>
          </w:p>
        </w:tc>
        <w:tc>
          <w:tcPr>
            <w:tcW w:w="4096" w:type="dxa"/>
          </w:tcPr>
          <w:p w:rsidR="009D6632" w:rsidRDefault="009D6632" w:rsidP="006957B6">
            <w:pPr>
              <w:pStyle w:val="TableParagraph"/>
              <w:spacing w:line="258" w:lineRule="exact"/>
              <w:ind w:left="8" w:right="5"/>
              <w:rPr>
                <w:sz w:val="24"/>
              </w:rPr>
            </w:pPr>
            <w:r>
              <w:rPr>
                <w:spacing w:val="-2"/>
                <w:sz w:val="24"/>
              </w:rPr>
              <w:t>Amikacine</w:t>
            </w:r>
          </w:p>
        </w:tc>
        <w:tc>
          <w:tcPr>
            <w:tcW w:w="1669" w:type="dxa"/>
          </w:tcPr>
          <w:p w:rsidR="009D6632" w:rsidRDefault="009D6632" w:rsidP="006957B6">
            <w:pPr>
              <w:pStyle w:val="TableParagraph"/>
              <w:spacing w:line="258" w:lineRule="exact"/>
              <w:ind w:left="4" w:right="1"/>
              <w:rPr>
                <w:sz w:val="24"/>
              </w:rPr>
            </w:pPr>
            <w:r>
              <w:rPr>
                <w:spacing w:val="-2"/>
                <w:sz w:val="24"/>
              </w:rPr>
              <w:t>Aminosides</w:t>
            </w:r>
          </w:p>
        </w:tc>
      </w:tr>
      <w:tr w:rsidR="009D6632" w:rsidTr="00000C0B">
        <w:trPr>
          <w:trHeight w:val="275"/>
        </w:trPr>
        <w:tc>
          <w:tcPr>
            <w:tcW w:w="1290" w:type="dxa"/>
          </w:tcPr>
          <w:p w:rsidR="009D6632" w:rsidRPr="00D37B3E" w:rsidRDefault="009D6632" w:rsidP="006957B6">
            <w:pPr>
              <w:pStyle w:val="TableParagraph"/>
              <w:rPr>
                <w:b/>
                <w:sz w:val="24"/>
              </w:rPr>
            </w:pPr>
            <w:r w:rsidRPr="00D37B3E">
              <w:rPr>
                <w:b/>
                <w:spacing w:val="-5"/>
                <w:sz w:val="24"/>
              </w:rPr>
              <w:t>ATM</w:t>
            </w:r>
          </w:p>
        </w:tc>
        <w:tc>
          <w:tcPr>
            <w:tcW w:w="4096" w:type="dxa"/>
          </w:tcPr>
          <w:p w:rsidR="009D6632" w:rsidRDefault="009D6632" w:rsidP="006957B6">
            <w:pPr>
              <w:pStyle w:val="TableParagraph"/>
              <w:ind w:left="8" w:right="1"/>
              <w:rPr>
                <w:sz w:val="24"/>
              </w:rPr>
            </w:pPr>
            <w:r>
              <w:rPr>
                <w:spacing w:val="-2"/>
                <w:sz w:val="24"/>
              </w:rPr>
              <w:t>Aztréonam</w:t>
            </w:r>
          </w:p>
        </w:tc>
        <w:tc>
          <w:tcPr>
            <w:tcW w:w="1669" w:type="dxa"/>
          </w:tcPr>
          <w:p w:rsidR="009D6632" w:rsidRDefault="009D6632" w:rsidP="006957B6">
            <w:pPr>
              <w:pStyle w:val="TableParagraph"/>
              <w:ind w:left="4" w:right="2"/>
              <w:rPr>
                <w:sz w:val="24"/>
              </w:rPr>
            </w:pPr>
            <w:r>
              <w:rPr>
                <w:spacing w:val="-2"/>
                <w:sz w:val="24"/>
              </w:rPr>
              <w:t>Monobactame</w:t>
            </w:r>
          </w:p>
        </w:tc>
      </w:tr>
      <w:tr w:rsidR="009D6632" w:rsidTr="00000C0B">
        <w:trPr>
          <w:trHeight w:val="275"/>
        </w:trPr>
        <w:tc>
          <w:tcPr>
            <w:tcW w:w="1290" w:type="dxa"/>
          </w:tcPr>
          <w:p w:rsidR="009D6632" w:rsidRPr="00D37B3E" w:rsidRDefault="009D6632" w:rsidP="006957B6">
            <w:pPr>
              <w:pStyle w:val="TableParagraph"/>
              <w:ind w:right="3"/>
              <w:rPr>
                <w:b/>
                <w:sz w:val="24"/>
              </w:rPr>
            </w:pPr>
            <w:r w:rsidRPr="00D37B3E">
              <w:rPr>
                <w:b/>
                <w:spacing w:val="-5"/>
                <w:sz w:val="24"/>
              </w:rPr>
              <w:t>AZM</w:t>
            </w:r>
          </w:p>
        </w:tc>
        <w:tc>
          <w:tcPr>
            <w:tcW w:w="4096" w:type="dxa"/>
          </w:tcPr>
          <w:p w:rsidR="009D6632" w:rsidRDefault="00000C0B" w:rsidP="006957B6">
            <w:pPr>
              <w:pStyle w:val="TableParagraph"/>
              <w:ind w:left="8" w:right="3"/>
              <w:rPr>
                <w:sz w:val="24"/>
              </w:rPr>
            </w:pPr>
            <w:r>
              <w:rPr>
                <w:spacing w:val="-2"/>
                <w:sz w:val="24"/>
              </w:rPr>
              <w:t>Azi</w:t>
            </w:r>
            <w:r w:rsidR="009D6632">
              <w:rPr>
                <w:spacing w:val="-2"/>
                <w:sz w:val="24"/>
              </w:rPr>
              <w:t>thromycine</w:t>
            </w:r>
          </w:p>
        </w:tc>
        <w:tc>
          <w:tcPr>
            <w:tcW w:w="1669" w:type="dxa"/>
          </w:tcPr>
          <w:p w:rsidR="009D6632" w:rsidRDefault="009D6632" w:rsidP="006957B6">
            <w:pPr>
              <w:pStyle w:val="TableParagraph"/>
              <w:ind w:left="4" w:right="3"/>
              <w:rPr>
                <w:sz w:val="24"/>
              </w:rPr>
            </w:pPr>
            <w:r>
              <w:rPr>
                <w:spacing w:val="-2"/>
                <w:sz w:val="24"/>
              </w:rPr>
              <w:t>Macrolides</w:t>
            </w:r>
          </w:p>
        </w:tc>
      </w:tr>
      <w:tr w:rsidR="009D6632" w:rsidTr="00000C0B">
        <w:trPr>
          <w:trHeight w:val="275"/>
        </w:trPr>
        <w:tc>
          <w:tcPr>
            <w:tcW w:w="1290" w:type="dxa"/>
          </w:tcPr>
          <w:p w:rsidR="009D6632" w:rsidRPr="00D37B3E" w:rsidRDefault="009D6632" w:rsidP="006957B6">
            <w:pPr>
              <w:pStyle w:val="TableParagraph"/>
              <w:ind w:right="4"/>
              <w:rPr>
                <w:b/>
                <w:sz w:val="24"/>
              </w:rPr>
            </w:pPr>
            <w:r w:rsidRPr="00D37B3E">
              <w:rPr>
                <w:b/>
                <w:spacing w:val="-10"/>
                <w:sz w:val="24"/>
              </w:rPr>
              <w:t>B</w:t>
            </w:r>
          </w:p>
        </w:tc>
        <w:tc>
          <w:tcPr>
            <w:tcW w:w="4096" w:type="dxa"/>
          </w:tcPr>
          <w:p w:rsidR="009D6632" w:rsidRDefault="009D6632" w:rsidP="006957B6">
            <w:pPr>
              <w:pStyle w:val="TableParagraph"/>
              <w:ind w:left="8" w:right="5"/>
              <w:rPr>
                <w:sz w:val="24"/>
              </w:rPr>
            </w:pPr>
            <w:r>
              <w:rPr>
                <w:spacing w:val="-2"/>
                <w:sz w:val="24"/>
              </w:rPr>
              <w:t>Bacitracine</w:t>
            </w:r>
          </w:p>
        </w:tc>
        <w:tc>
          <w:tcPr>
            <w:tcW w:w="1669" w:type="dxa"/>
          </w:tcPr>
          <w:p w:rsidR="009D6632" w:rsidRDefault="009D6632" w:rsidP="006957B6">
            <w:pPr>
              <w:pStyle w:val="TableParagraph"/>
              <w:ind w:left="4" w:right="4"/>
              <w:rPr>
                <w:sz w:val="24"/>
              </w:rPr>
            </w:pPr>
            <w:r>
              <w:rPr>
                <w:spacing w:val="-2"/>
                <w:sz w:val="24"/>
              </w:rPr>
              <w:t>Polypeptides</w:t>
            </w:r>
          </w:p>
        </w:tc>
      </w:tr>
      <w:tr w:rsidR="009D6632" w:rsidTr="00000C0B">
        <w:trPr>
          <w:trHeight w:val="54"/>
        </w:trPr>
        <w:tc>
          <w:tcPr>
            <w:tcW w:w="1290" w:type="dxa"/>
          </w:tcPr>
          <w:p w:rsidR="009D6632" w:rsidRPr="00D37B3E" w:rsidRDefault="009D6632" w:rsidP="006957B6">
            <w:pPr>
              <w:pStyle w:val="TableParagraph"/>
              <w:ind w:right="4"/>
              <w:rPr>
                <w:b/>
                <w:sz w:val="24"/>
              </w:rPr>
            </w:pPr>
            <w:r w:rsidRPr="00D37B3E">
              <w:rPr>
                <w:b/>
                <w:spacing w:val="-10"/>
                <w:sz w:val="24"/>
              </w:rPr>
              <w:t>C</w:t>
            </w:r>
          </w:p>
        </w:tc>
        <w:tc>
          <w:tcPr>
            <w:tcW w:w="4096" w:type="dxa"/>
          </w:tcPr>
          <w:p w:rsidR="009D6632" w:rsidRDefault="009D6632" w:rsidP="006957B6">
            <w:pPr>
              <w:pStyle w:val="TableParagraph"/>
              <w:ind w:left="8" w:right="1"/>
              <w:rPr>
                <w:sz w:val="24"/>
              </w:rPr>
            </w:pPr>
            <w:r>
              <w:rPr>
                <w:spacing w:val="-2"/>
                <w:sz w:val="24"/>
              </w:rPr>
              <w:t>Chloramphénicol</w:t>
            </w:r>
          </w:p>
        </w:tc>
        <w:tc>
          <w:tcPr>
            <w:tcW w:w="1669" w:type="dxa"/>
          </w:tcPr>
          <w:p w:rsidR="009D6632" w:rsidRDefault="009D6632" w:rsidP="006957B6">
            <w:pPr>
              <w:pStyle w:val="TableParagraph"/>
              <w:ind w:left="4" w:right="3"/>
              <w:rPr>
                <w:sz w:val="24"/>
              </w:rPr>
            </w:pPr>
            <w:r>
              <w:rPr>
                <w:spacing w:val="-2"/>
                <w:sz w:val="24"/>
              </w:rPr>
              <w:t>Phénicolés</w:t>
            </w:r>
          </w:p>
        </w:tc>
      </w:tr>
    </w:tbl>
    <w:p w:rsidR="009D6632" w:rsidRPr="00891BBA" w:rsidRDefault="009D6632" w:rsidP="00891BBA">
      <w:pPr>
        <w:spacing w:after="0" w:line="240" w:lineRule="auto"/>
        <w:jc w:val="both"/>
        <w:rPr>
          <w:rFonts w:ascii="Times New Roman" w:hAnsi="Times New Roman" w:cs="Times New Roman"/>
          <w:sz w:val="24"/>
          <w:szCs w:val="24"/>
        </w:rPr>
      </w:pPr>
    </w:p>
    <w:p w:rsidR="00B764F8" w:rsidRPr="009D6632" w:rsidRDefault="0025471B" w:rsidP="00891B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B764F8" w:rsidRPr="009D6632">
        <w:rPr>
          <w:rFonts w:ascii="Times New Roman" w:hAnsi="Times New Roman" w:cs="Times New Roman"/>
          <w:b/>
          <w:sz w:val="24"/>
          <w:szCs w:val="24"/>
        </w:rPr>
        <w:t xml:space="preserve">La taille de l’inoculum </w:t>
      </w:r>
    </w:p>
    <w:p w:rsidR="003A214E" w:rsidRPr="00891BBA" w:rsidRDefault="00B764F8" w:rsidP="00000C0B">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La densité de l'inoculum bactérien est un élément primordial. La suspension cellulaire doit être préparée dans de l’eau physiologique stérile à partir d’une culture jeune et pure sur milieu d’isolement approprié. Elle doit être ajustée à l'aide d'un photomètre ou par comparaison avec un étalon d'opacité (</w:t>
      </w:r>
      <w:r w:rsidR="00000C0B">
        <w:rPr>
          <w:rFonts w:ascii="Times New Roman" w:hAnsi="Times New Roman" w:cs="Times New Roman"/>
          <w:sz w:val="24"/>
          <w:szCs w:val="24"/>
        </w:rPr>
        <w:t>échelle de McFarland)</w:t>
      </w:r>
      <w:r w:rsidRPr="00891BBA">
        <w:rPr>
          <w:rFonts w:ascii="Times New Roman" w:hAnsi="Times New Roman" w:cs="Times New Roman"/>
          <w:sz w:val="24"/>
          <w:szCs w:val="24"/>
        </w:rPr>
        <w:t xml:space="preserve">. </w:t>
      </w:r>
    </w:p>
    <w:p w:rsidR="00B764F8" w:rsidRPr="00891BBA" w:rsidRDefault="00B764F8" w:rsidP="00891BBA">
      <w:pPr>
        <w:spacing w:after="0" w:line="240" w:lineRule="auto"/>
        <w:jc w:val="both"/>
        <w:rPr>
          <w:rFonts w:ascii="Times New Roman" w:hAnsi="Times New Roman" w:cs="Times New Roman"/>
          <w:sz w:val="24"/>
          <w:szCs w:val="24"/>
        </w:rPr>
      </w:pPr>
      <w:r w:rsidRPr="00891BBA">
        <w:rPr>
          <w:rFonts w:ascii="Times New Roman" w:hAnsi="Times New Roman" w:cs="Times New Roman"/>
          <w:sz w:val="24"/>
          <w:szCs w:val="24"/>
        </w:rPr>
        <w:t>L’utilisation d’un densitomètre est fortement souhaitable. En Algérie, l'antibiogramme par diffusion est réalisé avec une suspension calibrée à 0,5 MF ou à une D.O. de 0,08 à 0,10 lue à 625 nm contenant environ 10</w:t>
      </w:r>
      <w:r w:rsidRPr="00000C0B">
        <w:rPr>
          <w:rFonts w:ascii="Times New Roman" w:hAnsi="Times New Roman" w:cs="Times New Roman"/>
          <w:sz w:val="24"/>
          <w:szCs w:val="24"/>
          <w:vertAlign w:val="superscript"/>
        </w:rPr>
        <w:t>8</w:t>
      </w:r>
      <w:r w:rsidRPr="00891BBA">
        <w:rPr>
          <w:rFonts w:ascii="Times New Roman" w:hAnsi="Times New Roman" w:cs="Times New Roman"/>
          <w:sz w:val="24"/>
          <w:szCs w:val="24"/>
        </w:rPr>
        <w:t xml:space="preserve"> bactéries par ml.</w:t>
      </w:r>
    </w:p>
    <w:p w:rsidR="00B764F8" w:rsidRPr="00891BBA" w:rsidRDefault="00B764F8" w:rsidP="00891BBA">
      <w:pPr>
        <w:spacing w:after="0" w:line="240" w:lineRule="auto"/>
        <w:jc w:val="both"/>
        <w:rPr>
          <w:rFonts w:ascii="Times New Roman" w:hAnsi="Times New Roman" w:cs="Times New Roman"/>
          <w:sz w:val="24"/>
          <w:szCs w:val="24"/>
        </w:rPr>
      </w:pPr>
    </w:p>
    <w:p w:rsidR="003A214E" w:rsidRPr="00891BBA" w:rsidRDefault="0025471B" w:rsidP="00891B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3A214E" w:rsidRPr="00891BBA">
        <w:rPr>
          <w:rFonts w:ascii="Times New Roman" w:hAnsi="Times New Roman" w:cs="Times New Roman"/>
          <w:b/>
          <w:sz w:val="24"/>
          <w:szCs w:val="24"/>
        </w:rPr>
        <w:t xml:space="preserve">La technique d’ensemencement </w:t>
      </w:r>
    </w:p>
    <w:p w:rsidR="003A214E" w:rsidRPr="00891BBA" w:rsidRDefault="003A214E" w:rsidP="0025471B">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 xml:space="preserve">L’ensemencement doit se faire dans les 15 minutes qui suivent la préparation de l’inoculum. Il est réalisé par </w:t>
      </w:r>
      <w:r w:rsidRPr="0025471B">
        <w:rPr>
          <w:rFonts w:ascii="Times New Roman" w:hAnsi="Times New Roman" w:cs="Times New Roman"/>
          <w:b/>
          <w:sz w:val="24"/>
          <w:szCs w:val="24"/>
        </w:rPr>
        <w:t>écouvillonnage</w:t>
      </w:r>
      <w:r w:rsidRPr="00891BBA">
        <w:rPr>
          <w:rFonts w:ascii="Times New Roman" w:hAnsi="Times New Roman" w:cs="Times New Roman"/>
          <w:sz w:val="24"/>
          <w:szCs w:val="24"/>
        </w:rPr>
        <w:t xml:space="preserve"> ou par </w:t>
      </w:r>
      <w:r w:rsidRPr="0025471B">
        <w:rPr>
          <w:rFonts w:ascii="Times New Roman" w:hAnsi="Times New Roman" w:cs="Times New Roman"/>
          <w:b/>
          <w:sz w:val="24"/>
          <w:szCs w:val="24"/>
        </w:rPr>
        <w:t xml:space="preserve">inondation </w:t>
      </w:r>
      <w:r w:rsidRPr="00891BBA">
        <w:rPr>
          <w:rFonts w:ascii="Times New Roman" w:hAnsi="Times New Roman" w:cs="Times New Roman"/>
          <w:sz w:val="24"/>
          <w:szCs w:val="24"/>
        </w:rPr>
        <w:t>de telle façon à avoir après incubation des colonies distinctes mais jointives. Il faut respecter les mesures de sécurité nécessaires.</w:t>
      </w:r>
    </w:p>
    <w:p w:rsidR="003A214E" w:rsidRPr="00891BBA" w:rsidRDefault="003A214E" w:rsidP="00891BBA">
      <w:pPr>
        <w:spacing w:after="0" w:line="240" w:lineRule="auto"/>
        <w:jc w:val="both"/>
        <w:rPr>
          <w:rFonts w:ascii="Times New Roman" w:hAnsi="Times New Roman" w:cs="Times New Roman"/>
          <w:sz w:val="24"/>
          <w:szCs w:val="24"/>
        </w:rPr>
      </w:pPr>
    </w:p>
    <w:p w:rsidR="003A214E" w:rsidRPr="00891BBA" w:rsidRDefault="0025471B" w:rsidP="00891B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3A214E" w:rsidRPr="00891BBA">
        <w:rPr>
          <w:rFonts w:ascii="Times New Roman" w:hAnsi="Times New Roman" w:cs="Times New Roman"/>
          <w:b/>
          <w:sz w:val="24"/>
          <w:szCs w:val="24"/>
        </w:rPr>
        <w:t xml:space="preserve">Lecture des résultats </w:t>
      </w:r>
    </w:p>
    <w:p w:rsidR="003A214E" w:rsidRPr="00891BBA" w:rsidRDefault="003A214E" w:rsidP="0025471B">
      <w:pPr>
        <w:autoSpaceDE w:val="0"/>
        <w:autoSpaceDN w:val="0"/>
        <w:adjustRightInd w:val="0"/>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Après incubation à la température et sous atmosphère recommandées, les diamètres des zones d’inhibition seront mesurés avec précision à l’aide d’un pied à coulisse</w:t>
      </w:r>
      <w:r w:rsidR="0025471B">
        <w:rPr>
          <w:rFonts w:ascii="Times New Roman" w:hAnsi="Times New Roman" w:cs="Times New Roman"/>
          <w:sz w:val="24"/>
          <w:szCs w:val="24"/>
        </w:rPr>
        <w:t xml:space="preserve"> (Figure 02)</w:t>
      </w:r>
      <w:r w:rsidRPr="00891BBA">
        <w:rPr>
          <w:rFonts w:ascii="Times New Roman" w:hAnsi="Times New Roman" w:cs="Times New Roman"/>
          <w:sz w:val="24"/>
          <w:szCs w:val="24"/>
        </w:rPr>
        <w:t>. Les mesures seront prises en procédant par transparence à t</w:t>
      </w:r>
      <w:r w:rsidR="00A558B6" w:rsidRPr="00891BBA">
        <w:rPr>
          <w:rFonts w:ascii="Times New Roman" w:hAnsi="Times New Roman" w:cs="Times New Roman"/>
          <w:sz w:val="24"/>
          <w:szCs w:val="24"/>
        </w:rPr>
        <w:t>ravers le fond de la boîte de Pé</w:t>
      </w:r>
      <w:r w:rsidRPr="00891BBA">
        <w:rPr>
          <w:rFonts w:ascii="Times New Roman" w:hAnsi="Times New Roman" w:cs="Times New Roman"/>
          <w:sz w:val="24"/>
          <w:szCs w:val="24"/>
        </w:rPr>
        <w:t xml:space="preserve">tri fermée. Les diamètres des zones d’inhibition mesurés seront comparés aux diamètres critiques donnés par les instances en vigueur </w:t>
      </w:r>
      <w:r w:rsidR="00A558B6" w:rsidRPr="00891BBA">
        <w:rPr>
          <w:rFonts w:ascii="Times New Roman" w:hAnsi="Times New Roman" w:cs="Times New Roman"/>
          <w:sz w:val="24"/>
          <w:szCs w:val="24"/>
        </w:rPr>
        <w:t xml:space="preserve">(CLSI, anciennement le Comité national des normes de laboratoire clinique ou NCCLS) </w:t>
      </w:r>
      <w:r w:rsidRPr="00891BBA">
        <w:rPr>
          <w:rFonts w:ascii="Times New Roman" w:hAnsi="Times New Roman" w:cs="Times New Roman"/>
          <w:sz w:val="24"/>
          <w:szCs w:val="24"/>
        </w:rPr>
        <w:t>afin de classer la bactérie dans l’une des catégories Résistant, Intermédiaire, Sensible</w:t>
      </w:r>
      <w:r w:rsidR="0025471B">
        <w:rPr>
          <w:rFonts w:ascii="Times New Roman" w:hAnsi="Times New Roman" w:cs="Times New Roman"/>
          <w:sz w:val="24"/>
          <w:szCs w:val="24"/>
        </w:rPr>
        <w:t xml:space="preserve"> (Tableau 01)</w:t>
      </w:r>
      <w:r w:rsidRPr="00891BBA">
        <w:rPr>
          <w:rFonts w:ascii="Times New Roman" w:hAnsi="Times New Roman" w:cs="Times New Roman"/>
          <w:sz w:val="24"/>
          <w:szCs w:val="24"/>
        </w:rPr>
        <w:t>. Ces critères de catégorisation clinique selon les diamètres critiques sont remis à jour périodiquement par le CLSI.</w:t>
      </w:r>
    </w:p>
    <w:p w:rsidR="001C15AB" w:rsidRPr="00891BBA" w:rsidRDefault="001C15AB" w:rsidP="00891BBA">
      <w:pPr>
        <w:spacing w:after="0" w:line="240" w:lineRule="auto"/>
        <w:jc w:val="both"/>
        <w:rPr>
          <w:rFonts w:ascii="Times New Roman" w:hAnsi="Times New Roman" w:cs="Times New Roman"/>
          <w:sz w:val="24"/>
          <w:szCs w:val="24"/>
        </w:rPr>
      </w:pPr>
    </w:p>
    <w:p w:rsidR="001C15AB" w:rsidRPr="00891BBA" w:rsidRDefault="0025471B" w:rsidP="00891B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1C15AB" w:rsidRPr="00891BBA">
        <w:rPr>
          <w:rFonts w:ascii="Times New Roman" w:hAnsi="Times New Roman" w:cs="Times New Roman"/>
          <w:b/>
          <w:sz w:val="24"/>
          <w:szCs w:val="24"/>
        </w:rPr>
        <w:t xml:space="preserve">Définition des catégories cliniques </w:t>
      </w:r>
    </w:p>
    <w:p w:rsidR="001C15AB" w:rsidRPr="00891BBA" w:rsidRDefault="001C15AB" w:rsidP="0025471B">
      <w:pPr>
        <w:spacing w:after="0" w:line="240" w:lineRule="auto"/>
        <w:ind w:firstLine="708"/>
        <w:jc w:val="both"/>
        <w:rPr>
          <w:rFonts w:ascii="Times New Roman" w:hAnsi="Times New Roman" w:cs="Times New Roman"/>
          <w:sz w:val="24"/>
          <w:szCs w:val="24"/>
        </w:rPr>
      </w:pPr>
      <w:r w:rsidRPr="00891BBA">
        <w:rPr>
          <w:rFonts w:ascii="Times New Roman" w:hAnsi="Times New Roman" w:cs="Times New Roman"/>
          <w:sz w:val="24"/>
          <w:szCs w:val="24"/>
        </w:rPr>
        <w:t xml:space="preserve">Trois catégories cliniques ont été retenues pour l’interprétation des tests de sensibilité </w:t>
      </w:r>
      <w:r w:rsidRPr="00891BBA">
        <w:rPr>
          <w:rFonts w:ascii="Times New Roman" w:hAnsi="Times New Roman" w:cs="Times New Roman"/>
          <w:i/>
          <w:sz w:val="24"/>
          <w:szCs w:val="24"/>
        </w:rPr>
        <w:t>in vitro</w:t>
      </w:r>
      <w:r w:rsidRPr="00891BBA">
        <w:rPr>
          <w:rFonts w:ascii="Times New Roman" w:hAnsi="Times New Roman" w:cs="Times New Roman"/>
          <w:sz w:val="24"/>
          <w:szCs w:val="24"/>
        </w:rPr>
        <w:t xml:space="preserve"> : </w:t>
      </w:r>
    </w:p>
    <w:p w:rsidR="001C15AB" w:rsidRPr="00891BBA" w:rsidRDefault="001C15AB" w:rsidP="00891BBA">
      <w:pPr>
        <w:spacing w:after="0" w:line="240" w:lineRule="auto"/>
        <w:jc w:val="both"/>
        <w:rPr>
          <w:rFonts w:ascii="Times New Roman" w:hAnsi="Times New Roman" w:cs="Times New Roman"/>
          <w:sz w:val="24"/>
          <w:szCs w:val="24"/>
        </w:rPr>
      </w:pPr>
      <w:r w:rsidRPr="00891BBA">
        <w:rPr>
          <w:rFonts w:ascii="Times New Roman" w:hAnsi="Times New Roman" w:cs="Times New Roman"/>
          <w:sz w:val="24"/>
          <w:szCs w:val="24"/>
        </w:rPr>
        <w:t xml:space="preserve">Sensible (S), Résistant (R) et Intermédiaire (I). </w:t>
      </w:r>
    </w:p>
    <w:p w:rsidR="001C15AB" w:rsidRPr="00891BBA" w:rsidRDefault="001C15AB" w:rsidP="00891BBA">
      <w:pPr>
        <w:spacing w:after="0" w:line="240" w:lineRule="auto"/>
        <w:jc w:val="both"/>
        <w:rPr>
          <w:rFonts w:ascii="Times New Roman" w:hAnsi="Times New Roman" w:cs="Times New Roman"/>
          <w:sz w:val="24"/>
          <w:szCs w:val="24"/>
        </w:rPr>
      </w:pPr>
      <w:r w:rsidRPr="00891BBA">
        <w:rPr>
          <w:rFonts w:ascii="Times New Roman" w:hAnsi="Times New Roman" w:cs="Times New Roman"/>
          <w:sz w:val="24"/>
          <w:szCs w:val="24"/>
        </w:rPr>
        <w:t xml:space="preserve">• Les souches catégorisées </w:t>
      </w:r>
      <w:r w:rsidRPr="0025471B">
        <w:rPr>
          <w:rFonts w:ascii="Times New Roman" w:hAnsi="Times New Roman" w:cs="Times New Roman"/>
          <w:b/>
          <w:sz w:val="24"/>
          <w:szCs w:val="24"/>
        </w:rPr>
        <w:t>S</w:t>
      </w:r>
      <w:r w:rsidRPr="00891BBA">
        <w:rPr>
          <w:rFonts w:ascii="Times New Roman" w:hAnsi="Times New Roman" w:cs="Times New Roman"/>
          <w:sz w:val="24"/>
          <w:szCs w:val="24"/>
        </w:rPr>
        <w:t xml:space="preserve"> sont celles pour lesquelles la probabilité de succès thérapeutique est forte dans le cas d’un traitement par voie systémique avec la posologie recommandée. </w:t>
      </w:r>
    </w:p>
    <w:p w:rsidR="001C15AB" w:rsidRPr="00891BBA" w:rsidRDefault="001C15AB" w:rsidP="00891BBA">
      <w:pPr>
        <w:spacing w:after="0" w:line="240" w:lineRule="auto"/>
        <w:jc w:val="both"/>
        <w:rPr>
          <w:rFonts w:ascii="Times New Roman" w:hAnsi="Times New Roman" w:cs="Times New Roman"/>
          <w:sz w:val="24"/>
          <w:szCs w:val="24"/>
        </w:rPr>
      </w:pPr>
      <w:r w:rsidRPr="00891BBA">
        <w:rPr>
          <w:rFonts w:ascii="Times New Roman" w:hAnsi="Times New Roman" w:cs="Times New Roman"/>
          <w:sz w:val="24"/>
          <w:szCs w:val="24"/>
        </w:rPr>
        <w:t xml:space="preserve">• Les souches catégorisées </w:t>
      </w:r>
      <w:r w:rsidRPr="0025471B">
        <w:rPr>
          <w:rFonts w:ascii="Times New Roman" w:hAnsi="Times New Roman" w:cs="Times New Roman"/>
          <w:b/>
          <w:sz w:val="24"/>
          <w:szCs w:val="24"/>
        </w:rPr>
        <w:t xml:space="preserve">R </w:t>
      </w:r>
      <w:r w:rsidRPr="00891BBA">
        <w:rPr>
          <w:rFonts w:ascii="Times New Roman" w:hAnsi="Times New Roman" w:cs="Times New Roman"/>
          <w:sz w:val="24"/>
          <w:szCs w:val="24"/>
        </w:rPr>
        <w:t xml:space="preserve">sont celles pour lesquelles il existe une forte probabilité d’échec thérapeutique quels que soient le type de traitement et la dose d’antibiotique utilisée. </w:t>
      </w:r>
    </w:p>
    <w:p w:rsidR="001C15AB" w:rsidRPr="00891BBA" w:rsidRDefault="001C15AB" w:rsidP="00891BBA">
      <w:pPr>
        <w:spacing w:after="0" w:line="240" w:lineRule="auto"/>
        <w:jc w:val="both"/>
        <w:rPr>
          <w:rFonts w:ascii="Times New Roman" w:hAnsi="Times New Roman" w:cs="Times New Roman"/>
          <w:sz w:val="24"/>
          <w:szCs w:val="24"/>
        </w:rPr>
      </w:pPr>
      <w:r w:rsidRPr="00891BBA">
        <w:rPr>
          <w:rFonts w:ascii="Times New Roman" w:hAnsi="Times New Roman" w:cs="Times New Roman"/>
          <w:sz w:val="24"/>
          <w:szCs w:val="24"/>
        </w:rPr>
        <w:t xml:space="preserve">• Les souches catégorisées </w:t>
      </w:r>
      <w:r w:rsidRPr="0025471B">
        <w:rPr>
          <w:rFonts w:ascii="Times New Roman" w:hAnsi="Times New Roman" w:cs="Times New Roman"/>
          <w:b/>
          <w:sz w:val="24"/>
          <w:szCs w:val="24"/>
        </w:rPr>
        <w:t>I</w:t>
      </w:r>
      <w:r w:rsidRPr="00891BBA">
        <w:rPr>
          <w:rFonts w:ascii="Times New Roman" w:hAnsi="Times New Roman" w:cs="Times New Roman"/>
          <w:sz w:val="24"/>
          <w:szCs w:val="24"/>
        </w:rPr>
        <w:t xml:space="preserve"> sont celles pour lesquelles le succès thérapeutique est imprévisible. Ces souches forment un ensemble hétérogène pour lequel les résultats obtenus </w:t>
      </w:r>
      <w:r w:rsidRPr="0025471B">
        <w:rPr>
          <w:rFonts w:ascii="Times New Roman" w:hAnsi="Times New Roman" w:cs="Times New Roman"/>
          <w:i/>
          <w:sz w:val="24"/>
          <w:szCs w:val="24"/>
        </w:rPr>
        <w:t>in vitro</w:t>
      </w:r>
      <w:r w:rsidRPr="00891BBA">
        <w:rPr>
          <w:rFonts w:ascii="Times New Roman" w:hAnsi="Times New Roman" w:cs="Times New Roman"/>
          <w:sz w:val="24"/>
          <w:szCs w:val="24"/>
        </w:rPr>
        <w:t xml:space="preserve"> ne sont pas prédictifs d’un succès thérapeutique.</w:t>
      </w:r>
    </w:p>
    <w:p w:rsidR="00B764F8" w:rsidRPr="00891BBA" w:rsidRDefault="00B764F8" w:rsidP="00891BBA">
      <w:pPr>
        <w:spacing w:after="0" w:line="240" w:lineRule="auto"/>
        <w:jc w:val="both"/>
        <w:rPr>
          <w:rFonts w:ascii="Times New Roman" w:hAnsi="Times New Roman" w:cs="Times New Roman"/>
          <w:b/>
          <w:bCs/>
          <w:sz w:val="24"/>
          <w:szCs w:val="24"/>
        </w:rPr>
      </w:pPr>
    </w:p>
    <w:p w:rsidR="00AB0EFC" w:rsidRPr="00891BBA" w:rsidRDefault="00AB0EFC" w:rsidP="00891BBA">
      <w:pPr>
        <w:autoSpaceDE w:val="0"/>
        <w:autoSpaceDN w:val="0"/>
        <w:adjustRightInd w:val="0"/>
        <w:spacing w:after="0" w:line="240" w:lineRule="auto"/>
        <w:jc w:val="both"/>
        <w:rPr>
          <w:rFonts w:ascii="Times New Roman" w:hAnsi="Times New Roman" w:cs="Times New Roman"/>
          <w:sz w:val="24"/>
          <w:szCs w:val="24"/>
        </w:rPr>
      </w:pPr>
    </w:p>
    <w:p w:rsidR="00AB0EFC" w:rsidRPr="00891BBA" w:rsidRDefault="004A109C" w:rsidP="004A10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A109C">
        <w:rPr>
          <w:rFonts w:ascii="Times New Roman" w:hAnsi="Times New Roman" w:cs="Times New Roman"/>
          <w:sz w:val="24"/>
          <w:szCs w:val="24"/>
        </w:rPr>
        <w:drawing>
          <wp:inline distT="0" distB="0" distL="0" distR="0">
            <wp:extent cx="3045167" cy="2201517"/>
            <wp:effectExtent l="19050" t="0" r="2833"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047542" cy="220323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4A109C">
        <w:rPr>
          <w:rFonts w:ascii="Times New Roman" w:hAnsi="Times New Roman" w:cs="Times New Roman"/>
          <w:sz w:val="24"/>
          <w:szCs w:val="24"/>
        </w:rPr>
        <w:drawing>
          <wp:inline distT="0" distB="0" distL="0" distR="0">
            <wp:extent cx="3019572" cy="2201271"/>
            <wp:effectExtent l="19050" t="0" r="9378"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25895" cy="2205880"/>
                    </a:xfrm>
                    <a:prstGeom prst="rect">
                      <a:avLst/>
                    </a:prstGeom>
                    <a:noFill/>
                    <a:ln w="9525">
                      <a:noFill/>
                      <a:miter lim="800000"/>
                      <a:headEnd/>
                      <a:tailEnd/>
                    </a:ln>
                  </pic:spPr>
                </pic:pic>
              </a:graphicData>
            </a:graphic>
          </wp:inline>
        </w:drawing>
      </w:r>
    </w:p>
    <w:p w:rsidR="0060422C" w:rsidRPr="00891BBA" w:rsidRDefault="0060422C" w:rsidP="00891BBA">
      <w:pPr>
        <w:autoSpaceDE w:val="0"/>
        <w:autoSpaceDN w:val="0"/>
        <w:adjustRightInd w:val="0"/>
        <w:spacing w:after="0" w:line="240" w:lineRule="auto"/>
        <w:jc w:val="both"/>
        <w:rPr>
          <w:rFonts w:ascii="Times New Roman" w:hAnsi="Times New Roman" w:cs="Times New Roman"/>
          <w:sz w:val="24"/>
          <w:szCs w:val="24"/>
        </w:rPr>
      </w:pPr>
    </w:p>
    <w:p w:rsidR="00AB0EFC" w:rsidRPr="00891BBA" w:rsidRDefault="008A7FF1" w:rsidP="008A7FF1">
      <w:pPr>
        <w:pStyle w:val="Default"/>
        <w:jc w:val="center"/>
        <w:rPr>
          <w:color w:val="auto"/>
        </w:rPr>
      </w:pPr>
      <w:r>
        <w:rPr>
          <w:b/>
          <w:bCs/>
          <w:color w:val="auto"/>
        </w:rPr>
        <w:t>Figure 02</w:t>
      </w:r>
      <w:r w:rsidR="00AB0EFC" w:rsidRPr="00891BBA">
        <w:rPr>
          <w:b/>
          <w:bCs/>
          <w:color w:val="auto"/>
        </w:rPr>
        <w:t xml:space="preserve"> :</w:t>
      </w:r>
      <w:r w:rsidR="006D3F01" w:rsidRPr="00891BBA">
        <w:rPr>
          <w:color w:val="auto"/>
        </w:rPr>
        <w:t xml:space="preserve"> Antibiogramme par méthode de</w:t>
      </w:r>
      <w:r w:rsidR="00AB0EFC" w:rsidRPr="00891BBA">
        <w:rPr>
          <w:color w:val="auto"/>
        </w:rPr>
        <w:t xml:space="preserve"> diffusion sur gélose MULLER-HINTON</w:t>
      </w:r>
    </w:p>
    <w:p w:rsidR="00236A0B" w:rsidRPr="00891BBA" w:rsidRDefault="00236A0B" w:rsidP="00891BBA">
      <w:pPr>
        <w:pStyle w:val="Default"/>
        <w:jc w:val="both"/>
        <w:rPr>
          <w:color w:val="auto"/>
        </w:rPr>
      </w:pPr>
    </w:p>
    <w:p w:rsidR="00AB0EFC" w:rsidRPr="00891BBA" w:rsidRDefault="002E2661" w:rsidP="0061773D">
      <w:pPr>
        <w:autoSpaceDE w:val="0"/>
        <w:autoSpaceDN w:val="0"/>
        <w:adjustRightInd w:val="0"/>
        <w:spacing w:after="0" w:line="240" w:lineRule="auto"/>
        <w:jc w:val="center"/>
        <w:rPr>
          <w:rFonts w:ascii="Times New Roman" w:hAnsi="Times New Roman" w:cs="Times New Roman"/>
          <w:sz w:val="24"/>
          <w:szCs w:val="24"/>
        </w:rPr>
      </w:pPr>
      <w:r w:rsidRPr="00891BBA">
        <w:rPr>
          <w:rFonts w:ascii="Times New Roman" w:hAnsi="Times New Roman" w:cs="Times New Roman"/>
          <w:b/>
          <w:bCs/>
          <w:sz w:val="24"/>
          <w:szCs w:val="24"/>
        </w:rPr>
        <w:t>Tableau 1</w:t>
      </w:r>
      <w:r w:rsidR="00AB0EFC" w:rsidRPr="00891BBA">
        <w:rPr>
          <w:rFonts w:ascii="Times New Roman" w:hAnsi="Times New Roman" w:cs="Times New Roman"/>
          <w:b/>
          <w:bCs/>
          <w:sz w:val="24"/>
          <w:szCs w:val="24"/>
        </w:rPr>
        <w:t xml:space="preserve"> : </w:t>
      </w:r>
      <w:r w:rsidR="00AB0EFC" w:rsidRPr="00891BBA">
        <w:rPr>
          <w:rFonts w:ascii="Times New Roman" w:hAnsi="Times New Roman" w:cs="Times New Roman"/>
          <w:sz w:val="24"/>
          <w:szCs w:val="24"/>
        </w:rPr>
        <w:t>interprétation de taille de zones d’inhibition selon CLSI:</w:t>
      </w:r>
    </w:p>
    <w:p w:rsidR="00AB0EFC" w:rsidRDefault="0060422C" w:rsidP="0061773D">
      <w:pPr>
        <w:autoSpaceDE w:val="0"/>
        <w:autoSpaceDN w:val="0"/>
        <w:adjustRightInd w:val="0"/>
        <w:spacing w:after="0" w:line="240" w:lineRule="auto"/>
        <w:jc w:val="center"/>
        <w:rPr>
          <w:rFonts w:ascii="Times New Roman" w:hAnsi="Times New Roman" w:cs="Times New Roman"/>
          <w:sz w:val="24"/>
          <w:szCs w:val="24"/>
        </w:rPr>
      </w:pPr>
      <w:r w:rsidRPr="00891BBA">
        <w:rPr>
          <w:rFonts w:ascii="Times New Roman" w:hAnsi="Times New Roman" w:cs="Times New Roman"/>
          <w:noProof/>
          <w:sz w:val="24"/>
          <w:szCs w:val="24"/>
          <w:lang w:eastAsia="fr-FR"/>
        </w:rPr>
        <w:drawing>
          <wp:inline distT="0" distB="0" distL="0" distR="0">
            <wp:extent cx="5206119" cy="3563007"/>
            <wp:effectExtent l="19050" t="0" r="0"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15093" cy="3569149"/>
                    </a:xfrm>
                    <a:prstGeom prst="rect">
                      <a:avLst/>
                    </a:prstGeom>
                    <a:noFill/>
                    <a:ln w="9525">
                      <a:noFill/>
                      <a:miter lim="800000"/>
                      <a:headEnd/>
                      <a:tailEnd/>
                    </a:ln>
                  </pic:spPr>
                </pic:pic>
              </a:graphicData>
            </a:graphic>
          </wp:inline>
        </w:drawing>
      </w:r>
    </w:p>
    <w:p w:rsidR="00B305F6" w:rsidRDefault="00B305F6" w:rsidP="0061773D">
      <w:pPr>
        <w:autoSpaceDE w:val="0"/>
        <w:autoSpaceDN w:val="0"/>
        <w:adjustRightInd w:val="0"/>
        <w:spacing w:after="0" w:line="240" w:lineRule="auto"/>
        <w:jc w:val="center"/>
        <w:rPr>
          <w:rFonts w:ascii="Times New Roman" w:hAnsi="Times New Roman" w:cs="Times New Roman"/>
          <w:sz w:val="24"/>
          <w:szCs w:val="24"/>
        </w:rPr>
      </w:pPr>
    </w:p>
    <w:p w:rsidR="00B305F6" w:rsidRPr="004A109C" w:rsidRDefault="00B305F6" w:rsidP="004A109C">
      <w:pPr>
        <w:autoSpaceDE w:val="0"/>
        <w:autoSpaceDN w:val="0"/>
        <w:adjustRightInd w:val="0"/>
        <w:spacing w:after="0" w:line="240" w:lineRule="auto"/>
        <w:jc w:val="both"/>
        <w:rPr>
          <w:rFonts w:ascii="Times New Roman" w:hAnsi="Times New Roman" w:cs="Times New Roman"/>
          <w:b/>
          <w:bCs/>
          <w:sz w:val="24"/>
          <w:szCs w:val="24"/>
        </w:rPr>
      </w:pPr>
      <w:r w:rsidRPr="004A109C">
        <w:rPr>
          <w:rFonts w:ascii="Times New Roman" w:hAnsi="Times New Roman" w:cs="Times New Roman"/>
          <w:b/>
          <w:bCs/>
          <w:sz w:val="24"/>
          <w:szCs w:val="24"/>
        </w:rPr>
        <w:t>5/La Concentration Minimale Inhibitrice (CMI)</w:t>
      </w:r>
    </w:p>
    <w:p w:rsidR="00B305F6" w:rsidRPr="004A109C" w:rsidRDefault="00B305F6" w:rsidP="004A109C">
      <w:pPr>
        <w:pStyle w:val="Default"/>
        <w:jc w:val="both"/>
      </w:pPr>
      <w:r w:rsidRPr="004A109C">
        <w:t xml:space="preserve">La CMI est définie comme la concentration minimale d’un antibiotique qui inhibe la croissance </w:t>
      </w:r>
      <w:r w:rsidRPr="004A109C">
        <w:rPr>
          <w:i/>
          <w:iCs/>
        </w:rPr>
        <w:t xml:space="preserve">in vitro </w:t>
      </w:r>
      <w:r w:rsidRPr="004A109C">
        <w:t>de 99% de la population bactérienne testée. En pratique, la CMI est la plus faible concentration d’une gamme de dilutions d’antibiotique de demi en demi qui entraîne l’inhibition de toute croissance bactérienne visible. Elle explore donc l’e</w:t>
      </w:r>
      <w:r w:rsidR="00D53813" w:rsidRPr="004A109C">
        <w:t>ffet bactériostatique seulement.</w:t>
      </w:r>
    </w:p>
    <w:p w:rsidR="00D53813" w:rsidRPr="004A109C" w:rsidRDefault="00D53813" w:rsidP="004A109C">
      <w:pPr>
        <w:pStyle w:val="Default"/>
        <w:jc w:val="both"/>
      </w:pPr>
      <w:r w:rsidRPr="004A109C">
        <w:t>Elle s’exprime en général en μg/ml et peut être réalisée par différentes méthodes et sur différents milieux de croissance.</w:t>
      </w:r>
    </w:p>
    <w:p w:rsidR="00D53813" w:rsidRPr="004A109C" w:rsidRDefault="00D53813" w:rsidP="004A109C">
      <w:pPr>
        <w:pStyle w:val="Default"/>
        <w:jc w:val="both"/>
      </w:pPr>
    </w:p>
    <w:p w:rsidR="00D53813" w:rsidRPr="004A109C" w:rsidRDefault="00C2793A" w:rsidP="004A109C">
      <w:pPr>
        <w:pStyle w:val="Default"/>
        <w:jc w:val="both"/>
      </w:pPr>
      <w:r>
        <w:rPr>
          <w:b/>
          <w:bCs/>
        </w:rPr>
        <w:t>5.</w:t>
      </w:r>
      <w:r w:rsidR="00D53813" w:rsidRPr="004A109C">
        <w:rPr>
          <w:b/>
          <w:bCs/>
        </w:rPr>
        <w:t>2</w:t>
      </w:r>
      <w:r>
        <w:rPr>
          <w:b/>
          <w:bCs/>
        </w:rPr>
        <w:t>.</w:t>
      </w:r>
      <w:r w:rsidR="00D53813" w:rsidRPr="004A109C">
        <w:rPr>
          <w:b/>
          <w:bCs/>
        </w:rPr>
        <w:t xml:space="preserve"> Techniques de la détermination de la CMI </w:t>
      </w:r>
    </w:p>
    <w:p w:rsidR="00D53813" w:rsidRPr="004A109C" w:rsidRDefault="00C2793A" w:rsidP="004A109C">
      <w:pPr>
        <w:pStyle w:val="Default"/>
        <w:jc w:val="both"/>
      </w:pPr>
      <w:r>
        <w:rPr>
          <w:b/>
          <w:bCs/>
        </w:rPr>
        <w:t>5.2.</w:t>
      </w:r>
      <w:r w:rsidR="00D53813" w:rsidRPr="004A109C">
        <w:rPr>
          <w:b/>
          <w:bCs/>
        </w:rPr>
        <w:t>1</w:t>
      </w:r>
      <w:r>
        <w:rPr>
          <w:b/>
          <w:bCs/>
        </w:rPr>
        <w:t>.</w:t>
      </w:r>
      <w:r w:rsidR="00D53813" w:rsidRPr="004A109C">
        <w:rPr>
          <w:b/>
          <w:bCs/>
        </w:rPr>
        <w:t xml:space="preserve"> Méthodes de dilution </w:t>
      </w:r>
    </w:p>
    <w:p w:rsidR="00D53813" w:rsidRPr="004A109C" w:rsidRDefault="00D53813" w:rsidP="00C2793A">
      <w:pPr>
        <w:pStyle w:val="Default"/>
        <w:ind w:firstLine="708"/>
        <w:jc w:val="both"/>
      </w:pPr>
      <w:r w:rsidRPr="004A109C">
        <w:t>Les méthodes de dilution sont effectuées en milieu liquide ou en milieu solide. Elles consistent à mettre un inoculum bactérien standardisé au contact de concentrations croissantes d'antibiotiques selon une pro</w:t>
      </w:r>
      <w:r w:rsidR="00C2793A">
        <w:t>gression géométrique</w:t>
      </w:r>
      <w:r w:rsidRPr="004A109C">
        <w:t xml:space="preserve">. </w:t>
      </w:r>
    </w:p>
    <w:p w:rsidR="00D53813" w:rsidRPr="004A109C" w:rsidRDefault="004A109C" w:rsidP="004A109C">
      <w:pPr>
        <w:pStyle w:val="Default"/>
        <w:jc w:val="both"/>
      </w:pPr>
      <w:r>
        <w:t>- En milieu liquide (figure 3</w:t>
      </w:r>
      <w:r w:rsidR="00D53813" w:rsidRPr="004A109C">
        <w:t xml:space="preserve">), l'inoculum bactérien est distribué dans une série de tubes (méthode de macrodilution) ou de cupules (méthode de microdilution) contenant l'antibiotique. Après incubation, la CMI est indiquée par le tube ou la cupule qui contient la plus faible concentration d'antibiotique où aucune croissance n'est visible. </w:t>
      </w:r>
    </w:p>
    <w:p w:rsidR="00D53813" w:rsidRPr="004A109C" w:rsidRDefault="00D53813" w:rsidP="004A109C">
      <w:pPr>
        <w:pStyle w:val="Default"/>
        <w:jc w:val="both"/>
      </w:pPr>
    </w:p>
    <w:p w:rsidR="00907CAB" w:rsidRPr="004A109C" w:rsidRDefault="00907CAB" w:rsidP="004A109C">
      <w:pPr>
        <w:autoSpaceDE w:val="0"/>
        <w:autoSpaceDN w:val="0"/>
        <w:adjustRightInd w:val="0"/>
        <w:spacing w:after="0" w:line="240" w:lineRule="auto"/>
        <w:jc w:val="both"/>
        <w:rPr>
          <w:rFonts w:ascii="Times New Roman" w:hAnsi="Times New Roman" w:cs="Times New Roman"/>
          <w:sz w:val="24"/>
          <w:szCs w:val="24"/>
        </w:rPr>
      </w:pPr>
    </w:p>
    <w:p w:rsidR="00236A0B" w:rsidRPr="004A109C" w:rsidRDefault="00236A0B" w:rsidP="004A109C">
      <w:pPr>
        <w:pStyle w:val="Default"/>
        <w:jc w:val="center"/>
        <w:rPr>
          <w:color w:val="auto"/>
        </w:rPr>
      </w:pPr>
      <w:r w:rsidRPr="004A109C">
        <w:rPr>
          <w:noProof/>
          <w:color w:val="auto"/>
          <w:lang w:eastAsia="fr-FR"/>
        </w:rPr>
        <w:drawing>
          <wp:inline distT="0" distB="0" distL="0" distR="0">
            <wp:extent cx="4771942" cy="2191407"/>
            <wp:effectExtent l="19050" t="0" r="0" b="0"/>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783492" cy="2196711"/>
                    </a:xfrm>
                    <a:prstGeom prst="rect">
                      <a:avLst/>
                    </a:prstGeom>
                    <a:noFill/>
                    <a:ln w="9525">
                      <a:noFill/>
                      <a:miter lim="800000"/>
                      <a:headEnd/>
                      <a:tailEnd/>
                    </a:ln>
                  </pic:spPr>
                </pic:pic>
              </a:graphicData>
            </a:graphic>
          </wp:inline>
        </w:drawing>
      </w:r>
    </w:p>
    <w:p w:rsidR="0060422C" w:rsidRPr="004A109C" w:rsidRDefault="00236A0B" w:rsidP="004A109C">
      <w:pPr>
        <w:pStyle w:val="Paragraphedeliste"/>
        <w:autoSpaceDE w:val="0"/>
        <w:autoSpaceDN w:val="0"/>
        <w:adjustRightInd w:val="0"/>
        <w:spacing w:after="0" w:line="240" w:lineRule="auto"/>
        <w:ind w:left="0"/>
        <w:contextualSpacing w:val="0"/>
        <w:jc w:val="center"/>
        <w:rPr>
          <w:rFonts w:ascii="Times New Roman" w:hAnsi="Times New Roman" w:cs="Times New Roman"/>
          <w:b/>
          <w:bCs/>
          <w:sz w:val="24"/>
          <w:szCs w:val="24"/>
        </w:rPr>
      </w:pPr>
      <w:r w:rsidRPr="004A109C">
        <w:rPr>
          <w:rFonts w:ascii="Times New Roman" w:hAnsi="Times New Roman" w:cs="Times New Roman"/>
          <w:b/>
          <w:bCs/>
          <w:sz w:val="24"/>
          <w:szCs w:val="24"/>
        </w:rPr>
        <w:t>Figure 0</w:t>
      </w:r>
      <w:r w:rsidR="004A109C">
        <w:rPr>
          <w:rFonts w:ascii="Times New Roman" w:hAnsi="Times New Roman" w:cs="Times New Roman"/>
          <w:b/>
          <w:bCs/>
          <w:sz w:val="24"/>
          <w:szCs w:val="24"/>
        </w:rPr>
        <w:t>3</w:t>
      </w:r>
      <w:r w:rsidRPr="004A109C">
        <w:rPr>
          <w:rFonts w:ascii="Times New Roman" w:hAnsi="Times New Roman" w:cs="Times New Roman"/>
          <w:sz w:val="24"/>
          <w:szCs w:val="24"/>
        </w:rPr>
        <w:t xml:space="preserve"> : La concentration minimale inhibitrice</w:t>
      </w:r>
    </w:p>
    <w:p w:rsidR="0060422C" w:rsidRPr="004A109C" w:rsidRDefault="0060422C" w:rsidP="004A109C">
      <w:pPr>
        <w:autoSpaceDE w:val="0"/>
        <w:autoSpaceDN w:val="0"/>
        <w:adjustRightInd w:val="0"/>
        <w:spacing w:after="0" w:line="240" w:lineRule="auto"/>
        <w:jc w:val="both"/>
        <w:rPr>
          <w:rFonts w:ascii="Times New Roman" w:hAnsi="Times New Roman" w:cs="Times New Roman"/>
          <w:b/>
          <w:bCs/>
          <w:sz w:val="24"/>
          <w:szCs w:val="24"/>
        </w:rPr>
      </w:pPr>
    </w:p>
    <w:p w:rsidR="0060422C" w:rsidRPr="004A109C" w:rsidRDefault="004A109C" w:rsidP="004A109C">
      <w:pPr>
        <w:autoSpaceDE w:val="0"/>
        <w:autoSpaceDN w:val="0"/>
        <w:adjustRightInd w:val="0"/>
        <w:spacing w:after="0" w:line="240" w:lineRule="auto"/>
        <w:jc w:val="both"/>
        <w:rPr>
          <w:rFonts w:ascii="Times New Roman" w:hAnsi="Times New Roman" w:cs="Times New Roman"/>
          <w:sz w:val="24"/>
          <w:szCs w:val="24"/>
        </w:rPr>
      </w:pPr>
      <w:r w:rsidRPr="004A109C">
        <w:rPr>
          <w:rFonts w:ascii="Times New Roman" w:hAnsi="Times New Roman" w:cs="Times New Roman"/>
          <w:sz w:val="24"/>
          <w:szCs w:val="24"/>
        </w:rPr>
        <w:t>La CMI de la souche testée est de 2 μg/mL (premier tube dans lequel aucune croissance n'est visible à l'oeil nu).</w:t>
      </w:r>
    </w:p>
    <w:p w:rsidR="004A109C" w:rsidRPr="004A109C" w:rsidRDefault="004A109C" w:rsidP="004A109C">
      <w:pPr>
        <w:autoSpaceDE w:val="0"/>
        <w:autoSpaceDN w:val="0"/>
        <w:adjustRightInd w:val="0"/>
        <w:spacing w:after="0" w:line="240" w:lineRule="auto"/>
        <w:jc w:val="both"/>
        <w:rPr>
          <w:rFonts w:ascii="Times New Roman" w:hAnsi="Times New Roman" w:cs="Times New Roman"/>
          <w:sz w:val="24"/>
          <w:szCs w:val="24"/>
        </w:rPr>
      </w:pPr>
    </w:p>
    <w:p w:rsidR="004A109C" w:rsidRPr="004A109C" w:rsidRDefault="004A109C" w:rsidP="004A109C">
      <w:pPr>
        <w:pStyle w:val="Default"/>
        <w:jc w:val="both"/>
      </w:pPr>
    </w:p>
    <w:p w:rsidR="004A109C" w:rsidRPr="004A109C" w:rsidRDefault="004A109C" w:rsidP="004A109C">
      <w:pPr>
        <w:pStyle w:val="Default"/>
        <w:jc w:val="both"/>
      </w:pPr>
      <w:r>
        <w:t>- En milieu solide (figure 4</w:t>
      </w:r>
      <w:r w:rsidRPr="004A109C">
        <w:t>), l'antibiotique est incorporé dans un milieu gélosé coulé en boîtes de P</w:t>
      </w:r>
      <w:r>
        <w:t>é</w:t>
      </w:r>
      <w:r w:rsidRPr="004A109C">
        <w:t xml:space="preserve">tri. La surface de la gélose est ensemencée avec un inoculum des souches à étudier. Après incubation, la CMI de chaque souche est déterminée par l'inhibition de la croissance sur le milieu contenant la plus faible concentration d'antibiotique. </w:t>
      </w:r>
    </w:p>
    <w:p w:rsidR="004A109C" w:rsidRPr="004A109C" w:rsidRDefault="00C2793A" w:rsidP="00C2793A">
      <w:pPr>
        <w:autoSpaceDE w:val="0"/>
        <w:autoSpaceDN w:val="0"/>
        <w:adjustRightInd w:val="0"/>
        <w:spacing w:after="0" w:line="240" w:lineRule="auto"/>
        <w:ind w:firstLine="708"/>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drawing>
          <wp:anchor distT="0" distB="0" distL="0" distR="0" simplePos="0" relativeHeight="251661312" behindDoc="1" locked="0" layoutInCell="1" allowOverlap="1">
            <wp:simplePos x="0" y="0"/>
            <wp:positionH relativeFrom="page">
              <wp:posOffset>1059180</wp:posOffset>
            </wp:positionH>
            <wp:positionV relativeFrom="paragraph">
              <wp:posOffset>622300</wp:posOffset>
            </wp:positionV>
            <wp:extent cx="5306060" cy="1859915"/>
            <wp:effectExtent l="19050" t="0" r="8890" b="0"/>
            <wp:wrapTopAndBottom/>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306060" cy="1859915"/>
                    </a:xfrm>
                    <a:prstGeom prst="rect">
                      <a:avLst/>
                    </a:prstGeom>
                  </pic:spPr>
                </pic:pic>
              </a:graphicData>
            </a:graphic>
          </wp:anchor>
        </w:drawing>
      </w:r>
      <w:r w:rsidR="004A109C" w:rsidRPr="004A109C">
        <w:rPr>
          <w:rFonts w:ascii="Times New Roman" w:hAnsi="Times New Roman" w:cs="Times New Roman"/>
          <w:sz w:val="24"/>
          <w:szCs w:val="24"/>
        </w:rPr>
        <w:t>La méthode de dilution en milieu gélosé, réalisée avec une gamme de concentrations en progression géométrique. Elle permet également de mesurer la concentration inhibitrice 99% (concentration qui inhibe la croissance de 99% des cellules d'une souche bactérienne)</w:t>
      </w:r>
      <w:r>
        <w:rPr>
          <w:rFonts w:ascii="Times New Roman" w:hAnsi="Times New Roman" w:cs="Times New Roman"/>
          <w:sz w:val="24"/>
          <w:szCs w:val="24"/>
        </w:rPr>
        <w:t>.</w:t>
      </w:r>
    </w:p>
    <w:p w:rsidR="004A109C" w:rsidRPr="004A109C" w:rsidRDefault="004A109C" w:rsidP="004A109C">
      <w:pPr>
        <w:autoSpaceDE w:val="0"/>
        <w:autoSpaceDN w:val="0"/>
        <w:adjustRightInd w:val="0"/>
        <w:spacing w:after="0" w:line="240" w:lineRule="auto"/>
        <w:jc w:val="center"/>
        <w:rPr>
          <w:rFonts w:ascii="Times New Roman" w:hAnsi="Times New Roman" w:cs="Times New Roman"/>
          <w:noProof/>
          <w:sz w:val="24"/>
          <w:szCs w:val="24"/>
          <w:lang w:eastAsia="fr-FR"/>
        </w:rPr>
      </w:pPr>
      <w:r w:rsidRPr="004A109C">
        <w:rPr>
          <w:rFonts w:ascii="Times New Roman" w:hAnsi="Times New Roman" w:cs="Times New Roman"/>
          <w:b/>
          <w:sz w:val="24"/>
          <w:szCs w:val="24"/>
        </w:rPr>
        <w:t xml:space="preserve">Figure 4: </w:t>
      </w:r>
      <w:r w:rsidRPr="004A109C">
        <w:rPr>
          <w:rFonts w:ascii="Times New Roman" w:hAnsi="Times New Roman" w:cs="Times New Roman"/>
          <w:sz w:val="24"/>
          <w:szCs w:val="24"/>
        </w:rPr>
        <w:t>Détermination de la CMI par dilution en milieu gélosé</w:t>
      </w:r>
    </w:p>
    <w:p w:rsidR="004A109C" w:rsidRPr="004A109C" w:rsidRDefault="004A109C" w:rsidP="004A109C">
      <w:pPr>
        <w:autoSpaceDE w:val="0"/>
        <w:autoSpaceDN w:val="0"/>
        <w:adjustRightInd w:val="0"/>
        <w:spacing w:after="0" w:line="240" w:lineRule="auto"/>
        <w:jc w:val="both"/>
        <w:rPr>
          <w:rFonts w:ascii="Times New Roman" w:hAnsi="Times New Roman" w:cs="Times New Roman"/>
          <w:noProof/>
          <w:sz w:val="24"/>
          <w:szCs w:val="24"/>
          <w:lang w:eastAsia="fr-FR"/>
        </w:rPr>
      </w:pPr>
    </w:p>
    <w:p w:rsidR="004A109C" w:rsidRPr="004A109C" w:rsidRDefault="004A109C" w:rsidP="004A109C">
      <w:pPr>
        <w:autoSpaceDE w:val="0"/>
        <w:autoSpaceDN w:val="0"/>
        <w:adjustRightInd w:val="0"/>
        <w:spacing w:after="0" w:line="240" w:lineRule="auto"/>
        <w:jc w:val="both"/>
        <w:rPr>
          <w:rFonts w:ascii="Times New Roman" w:hAnsi="Times New Roman" w:cs="Times New Roman"/>
          <w:noProof/>
          <w:sz w:val="24"/>
          <w:szCs w:val="24"/>
          <w:lang w:eastAsia="fr-FR"/>
        </w:rPr>
      </w:pPr>
    </w:p>
    <w:p w:rsidR="004A109C" w:rsidRPr="004A109C" w:rsidRDefault="004A109C" w:rsidP="004A109C">
      <w:pPr>
        <w:pStyle w:val="Default"/>
        <w:jc w:val="both"/>
      </w:pPr>
      <w:r w:rsidRPr="004A109C">
        <w:t>Une boî</w:t>
      </w:r>
      <w:r>
        <w:t>te de Pé</w:t>
      </w:r>
      <w:r w:rsidRPr="004A109C">
        <w:t xml:space="preserve">tri permet de tester jusqu’à 30 souches différentes. Dans l'exemple présenté ci-dessus, le nombre de souches est limité à quatre. </w:t>
      </w:r>
    </w:p>
    <w:p w:rsidR="004A109C" w:rsidRDefault="004A109C" w:rsidP="004A109C">
      <w:pPr>
        <w:autoSpaceDE w:val="0"/>
        <w:autoSpaceDN w:val="0"/>
        <w:adjustRightInd w:val="0"/>
        <w:spacing w:after="0" w:line="240" w:lineRule="auto"/>
        <w:jc w:val="both"/>
        <w:rPr>
          <w:rFonts w:ascii="Times New Roman" w:hAnsi="Times New Roman" w:cs="Times New Roman"/>
          <w:sz w:val="24"/>
          <w:szCs w:val="24"/>
        </w:rPr>
      </w:pPr>
      <w:r w:rsidRPr="004A109C">
        <w:rPr>
          <w:rFonts w:ascii="Times New Roman" w:hAnsi="Times New Roman" w:cs="Times New Roman"/>
          <w:sz w:val="24"/>
          <w:szCs w:val="24"/>
        </w:rPr>
        <w:t xml:space="preserve">La CMI de la souche 3 </w:t>
      </w:r>
      <w:r w:rsidRPr="004A109C">
        <w:rPr>
          <w:rFonts w:ascii="Times New Roman" w:hAnsi="Times New Roman" w:cs="Times New Roman"/>
          <w:i/>
          <w:sz w:val="24"/>
          <w:szCs w:val="24"/>
        </w:rPr>
        <w:t>vis-à-vis</w:t>
      </w:r>
      <w:r w:rsidRPr="004A109C">
        <w:rPr>
          <w:rFonts w:ascii="Times New Roman" w:hAnsi="Times New Roman" w:cs="Times New Roman"/>
          <w:sz w:val="24"/>
          <w:szCs w:val="24"/>
        </w:rPr>
        <w:t xml:space="preserve"> de l'antibiotique incorporé à la gélose est de 1μg/mL. </w:t>
      </w:r>
    </w:p>
    <w:p w:rsidR="004A109C" w:rsidRDefault="004A109C" w:rsidP="004A109C">
      <w:pPr>
        <w:autoSpaceDE w:val="0"/>
        <w:autoSpaceDN w:val="0"/>
        <w:adjustRightInd w:val="0"/>
        <w:spacing w:after="0" w:line="240" w:lineRule="auto"/>
        <w:jc w:val="both"/>
        <w:rPr>
          <w:rFonts w:ascii="Times New Roman" w:hAnsi="Times New Roman" w:cs="Times New Roman"/>
          <w:sz w:val="24"/>
          <w:szCs w:val="24"/>
        </w:rPr>
      </w:pPr>
      <w:r w:rsidRPr="004A109C">
        <w:rPr>
          <w:rFonts w:ascii="Times New Roman" w:hAnsi="Times New Roman" w:cs="Times New Roman"/>
          <w:sz w:val="24"/>
          <w:szCs w:val="24"/>
        </w:rPr>
        <w:t xml:space="preserve">La CMI de la souche 2 est de 2 μg/mL. </w:t>
      </w:r>
    </w:p>
    <w:p w:rsidR="004A109C" w:rsidRPr="004A109C" w:rsidRDefault="004A109C" w:rsidP="004A109C">
      <w:pPr>
        <w:autoSpaceDE w:val="0"/>
        <w:autoSpaceDN w:val="0"/>
        <w:adjustRightInd w:val="0"/>
        <w:spacing w:after="0" w:line="240" w:lineRule="auto"/>
        <w:jc w:val="both"/>
        <w:rPr>
          <w:rFonts w:ascii="Times New Roman" w:hAnsi="Times New Roman" w:cs="Times New Roman"/>
          <w:noProof/>
          <w:sz w:val="24"/>
          <w:szCs w:val="24"/>
          <w:lang w:eastAsia="fr-FR"/>
        </w:rPr>
      </w:pPr>
      <w:r w:rsidRPr="004A109C">
        <w:rPr>
          <w:rFonts w:ascii="Times New Roman" w:hAnsi="Times New Roman" w:cs="Times New Roman"/>
          <w:sz w:val="24"/>
          <w:szCs w:val="24"/>
        </w:rPr>
        <w:t>Les déterminations des CMI des souches 1 et 4 nécessiteraient de tester des concentrations plus fortes en antibiotique.</w:t>
      </w:r>
    </w:p>
    <w:p w:rsidR="004A109C" w:rsidRPr="004A109C" w:rsidRDefault="004A109C" w:rsidP="004A109C">
      <w:pPr>
        <w:autoSpaceDE w:val="0"/>
        <w:autoSpaceDN w:val="0"/>
        <w:adjustRightInd w:val="0"/>
        <w:spacing w:after="0" w:line="240" w:lineRule="auto"/>
        <w:jc w:val="both"/>
        <w:rPr>
          <w:rFonts w:ascii="Times New Roman" w:hAnsi="Times New Roman" w:cs="Times New Roman"/>
          <w:noProof/>
          <w:sz w:val="24"/>
          <w:szCs w:val="24"/>
          <w:lang w:eastAsia="fr-FR"/>
        </w:rPr>
      </w:pPr>
    </w:p>
    <w:sectPr w:rsidR="004A109C" w:rsidRPr="004A109C" w:rsidSect="00110A6D">
      <w:headerReference w:type="first" r:id="rId13"/>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30D" w:rsidRDefault="0008230D" w:rsidP="00110A6D">
      <w:pPr>
        <w:spacing w:after="0" w:line="240" w:lineRule="auto"/>
      </w:pPr>
      <w:r>
        <w:separator/>
      </w:r>
    </w:p>
  </w:endnote>
  <w:endnote w:type="continuationSeparator" w:id="1">
    <w:p w:rsidR="0008230D" w:rsidRDefault="0008230D" w:rsidP="00110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30D" w:rsidRDefault="0008230D" w:rsidP="00110A6D">
      <w:pPr>
        <w:spacing w:after="0" w:line="240" w:lineRule="auto"/>
      </w:pPr>
      <w:r>
        <w:separator/>
      </w:r>
    </w:p>
  </w:footnote>
  <w:footnote w:type="continuationSeparator" w:id="1">
    <w:p w:rsidR="0008230D" w:rsidRDefault="0008230D" w:rsidP="00110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B89" w:rsidRPr="00EC215C" w:rsidRDefault="00891BBA" w:rsidP="00086B89">
    <w:pPr>
      <w:pStyle w:val="En-tte"/>
      <w:rPr>
        <w:rFonts w:asciiTheme="majorBidi" w:hAnsiTheme="majorBidi" w:cstheme="majorBidi"/>
        <w:b/>
        <w:bCs/>
        <w:sz w:val="20"/>
        <w:szCs w:val="20"/>
      </w:rPr>
    </w:pPr>
    <w:r>
      <w:rPr>
        <w:rFonts w:asciiTheme="majorBidi" w:hAnsiTheme="majorBidi" w:cstheme="majorBidi"/>
        <w:b/>
        <w:bCs/>
        <w:sz w:val="20"/>
        <w:szCs w:val="20"/>
      </w:rPr>
      <w:t xml:space="preserve">TD </w:t>
    </w:r>
    <w:r w:rsidR="00086B89" w:rsidRPr="00EC215C">
      <w:rPr>
        <w:rFonts w:asciiTheme="majorBidi" w:hAnsiTheme="majorBidi" w:cstheme="majorBidi"/>
        <w:b/>
        <w:bCs/>
        <w:sz w:val="20"/>
        <w:szCs w:val="20"/>
      </w:rPr>
      <w:t xml:space="preserve">de Microbiologie Générale                  </w:t>
    </w:r>
    <w:r w:rsidR="00086B89">
      <w:rPr>
        <w:rFonts w:asciiTheme="majorBidi" w:hAnsiTheme="majorBidi" w:cstheme="majorBidi"/>
        <w:b/>
        <w:bCs/>
        <w:sz w:val="20"/>
        <w:szCs w:val="20"/>
      </w:rPr>
      <w:t xml:space="preserve">                                        </w:t>
    </w:r>
    <w:r w:rsidR="00086B89" w:rsidRPr="00EC215C">
      <w:rPr>
        <w:rFonts w:asciiTheme="majorBidi" w:hAnsiTheme="majorBidi" w:cstheme="majorBidi"/>
        <w:b/>
        <w:bCs/>
        <w:sz w:val="20"/>
        <w:szCs w:val="20"/>
      </w:rPr>
      <w:t xml:space="preserve">               Centre universitaire Abdelhafid Boussouf-mila</w:t>
    </w:r>
  </w:p>
  <w:p w:rsidR="00110A6D" w:rsidRPr="00086B89" w:rsidRDefault="00086B89">
    <w:pPr>
      <w:pStyle w:val="En-tte"/>
      <w:rPr>
        <w:rFonts w:asciiTheme="majorBidi" w:hAnsiTheme="majorBidi" w:cstheme="majorBidi"/>
        <w:b/>
        <w:bCs/>
        <w:sz w:val="20"/>
        <w:szCs w:val="20"/>
      </w:rPr>
    </w:pPr>
    <w:r w:rsidRPr="00EC215C">
      <w:rPr>
        <w:rFonts w:asciiTheme="majorBidi" w:hAnsiTheme="majorBidi" w:cstheme="majorBidi"/>
        <w:b/>
        <w:bCs/>
        <w:sz w:val="20"/>
        <w:szCs w:val="20"/>
      </w:rPr>
      <w:t>2</w:t>
    </w:r>
    <w:r w:rsidRPr="00EC215C">
      <w:rPr>
        <w:rFonts w:asciiTheme="majorBidi" w:hAnsiTheme="majorBidi" w:cstheme="majorBidi"/>
        <w:b/>
        <w:bCs/>
        <w:sz w:val="20"/>
        <w:szCs w:val="20"/>
        <w:vertAlign w:val="superscript"/>
      </w:rPr>
      <w:t>ème</w:t>
    </w:r>
    <w:r w:rsidRPr="00EC215C">
      <w:rPr>
        <w:rFonts w:asciiTheme="majorBidi" w:hAnsiTheme="majorBidi" w:cstheme="majorBidi"/>
        <w:b/>
        <w:bCs/>
        <w:sz w:val="20"/>
        <w:szCs w:val="20"/>
      </w:rPr>
      <w:t xml:space="preserve"> Année Sciences Biologiques et Agricoles            </w:t>
    </w:r>
    <w:r>
      <w:rPr>
        <w:rFonts w:asciiTheme="majorBidi" w:hAnsiTheme="majorBidi" w:cstheme="majorBidi"/>
        <w:b/>
        <w:bCs/>
        <w:sz w:val="20"/>
        <w:szCs w:val="20"/>
      </w:rPr>
      <w:t xml:space="preserve">                                                                                    </w:t>
    </w:r>
    <w:r w:rsidRPr="00EC215C">
      <w:rPr>
        <w:rFonts w:asciiTheme="majorBidi" w:hAnsiTheme="majorBidi" w:cstheme="majorBidi"/>
        <w:b/>
        <w:bCs/>
        <w:sz w:val="20"/>
        <w:szCs w:val="20"/>
      </w:rPr>
      <w:t xml:space="preserve">  Département SNV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3EF0"/>
    <w:multiLevelType w:val="hybridMultilevel"/>
    <w:tmpl w:val="F3104BE8"/>
    <w:lvl w:ilvl="0" w:tplc="040C000B">
      <w:start w:val="1"/>
      <w:numFmt w:val="bullet"/>
      <w:lvlText w:val=""/>
      <w:lvlJc w:val="left"/>
      <w:pPr>
        <w:ind w:left="789" w:hanging="360"/>
      </w:pPr>
      <w:rPr>
        <w:rFonts w:ascii="Wingdings" w:hAnsi="Wingdings"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
    <w:nsid w:val="16ED24AE"/>
    <w:multiLevelType w:val="hybridMultilevel"/>
    <w:tmpl w:val="88A0E8F2"/>
    <w:lvl w:ilvl="0" w:tplc="526E9E6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DC3F59"/>
    <w:multiLevelType w:val="hybridMultilevel"/>
    <w:tmpl w:val="0EECD6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D07941"/>
    <w:multiLevelType w:val="hybridMultilevel"/>
    <w:tmpl w:val="0ADE429E"/>
    <w:lvl w:ilvl="0" w:tplc="6386A9A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5D1124"/>
    <w:multiLevelType w:val="hybridMultilevel"/>
    <w:tmpl w:val="FE04837E"/>
    <w:lvl w:ilvl="0" w:tplc="6386A9A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F8355E"/>
    <w:multiLevelType w:val="hybridMultilevel"/>
    <w:tmpl w:val="D1C0703C"/>
    <w:lvl w:ilvl="0" w:tplc="0C382AB6">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6">
    <w:nsid w:val="30F14BE5"/>
    <w:multiLevelType w:val="hybridMultilevel"/>
    <w:tmpl w:val="AFEA1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A72D6D"/>
    <w:multiLevelType w:val="multilevel"/>
    <w:tmpl w:val="B992C8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A7D0BF6"/>
    <w:multiLevelType w:val="hybridMultilevel"/>
    <w:tmpl w:val="D2CEDD78"/>
    <w:lvl w:ilvl="0" w:tplc="0C7C6DC0">
      <w:start w:val="1"/>
      <w:numFmt w:val="upperLetter"/>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nsid w:val="40D034C0"/>
    <w:multiLevelType w:val="hybridMultilevel"/>
    <w:tmpl w:val="8C8EAF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43E4EFF"/>
    <w:multiLevelType w:val="hybridMultilevel"/>
    <w:tmpl w:val="D35AC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2721C0"/>
    <w:multiLevelType w:val="hybridMultilevel"/>
    <w:tmpl w:val="72CEC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92510C"/>
    <w:multiLevelType w:val="multilevel"/>
    <w:tmpl w:val="6E3A13B0"/>
    <w:lvl w:ilvl="0">
      <w:start w:val="1"/>
      <w:numFmt w:val="decimal"/>
      <w:lvlText w:val="%1."/>
      <w:lvlJc w:val="left"/>
      <w:pPr>
        <w:ind w:left="720" w:hanging="360"/>
      </w:pPr>
      <w:rPr>
        <w:rFonts w:hint="default"/>
        <w:b/>
        <w:bCs/>
        <w:sz w:val="24"/>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nsid w:val="6D3C5890"/>
    <w:multiLevelType w:val="hybridMultilevel"/>
    <w:tmpl w:val="8D1E4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2820FB"/>
    <w:multiLevelType w:val="hybridMultilevel"/>
    <w:tmpl w:val="E3F6E6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42073A"/>
    <w:multiLevelType w:val="multilevel"/>
    <w:tmpl w:val="CCA6B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0"/>
  </w:num>
  <w:num w:numId="3">
    <w:abstractNumId w:val="4"/>
  </w:num>
  <w:num w:numId="4">
    <w:abstractNumId w:val="8"/>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7"/>
  </w:num>
  <w:num w:numId="9">
    <w:abstractNumId w:val="1"/>
  </w:num>
  <w:num w:numId="10">
    <w:abstractNumId w:val="6"/>
  </w:num>
  <w:num w:numId="11">
    <w:abstractNumId w:val="5"/>
  </w:num>
  <w:num w:numId="12">
    <w:abstractNumId w:val="12"/>
  </w:num>
  <w:num w:numId="13">
    <w:abstractNumId w:val="11"/>
  </w:num>
  <w:num w:numId="14">
    <w:abstractNumId w:val="14"/>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6495F"/>
    <w:rsid w:val="00000C0B"/>
    <w:rsid w:val="0001367E"/>
    <w:rsid w:val="000575A2"/>
    <w:rsid w:val="0008230D"/>
    <w:rsid w:val="00086B89"/>
    <w:rsid w:val="000B0EC7"/>
    <w:rsid w:val="000F3E05"/>
    <w:rsid w:val="000F5137"/>
    <w:rsid w:val="001003A6"/>
    <w:rsid w:val="001026C6"/>
    <w:rsid w:val="00110A6D"/>
    <w:rsid w:val="001629EA"/>
    <w:rsid w:val="00165B33"/>
    <w:rsid w:val="001A165D"/>
    <w:rsid w:val="001A46BF"/>
    <w:rsid w:val="001C15AB"/>
    <w:rsid w:val="001C2C1A"/>
    <w:rsid w:val="0021138D"/>
    <w:rsid w:val="00236A0B"/>
    <w:rsid w:val="0025471B"/>
    <w:rsid w:val="002813A8"/>
    <w:rsid w:val="002C4013"/>
    <w:rsid w:val="002D7982"/>
    <w:rsid w:val="002E2661"/>
    <w:rsid w:val="00336C9E"/>
    <w:rsid w:val="00364F12"/>
    <w:rsid w:val="003A214E"/>
    <w:rsid w:val="003D249A"/>
    <w:rsid w:val="00461CB8"/>
    <w:rsid w:val="004A109C"/>
    <w:rsid w:val="00586028"/>
    <w:rsid w:val="00596A62"/>
    <w:rsid w:val="00597C95"/>
    <w:rsid w:val="005A7D96"/>
    <w:rsid w:val="005C7C4B"/>
    <w:rsid w:val="0060422C"/>
    <w:rsid w:val="0061773D"/>
    <w:rsid w:val="006D3F01"/>
    <w:rsid w:val="006E49FA"/>
    <w:rsid w:val="00724E18"/>
    <w:rsid w:val="007B64A2"/>
    <w:rsid w:val="007C53D4"/>
    <w:rsid w:val="007F4959"/>
    <w:rsid w:val="008018BF"/>
    <w:rsid w:val="00843FE3"/>
    <w:rsid w:val="00844962"/>
    <w:rsid w:val="008638DF"/>
    <w:rsid w:val="008918BB"/>
    <w:rsid w:val="00891BBA"/>
    <w:rsid w:val="008A6BF2"/>
    <w:rsid w:val="008A7FF1"/>
    <w:rsid w:val="00907CAB"/>
    <w:rsid w:val="00956431"/>
    <w:rsid w:val="009722AD"/>
    <w:rsid w:val="009869D0"/>
    <w:rsid w:val="009B478C"/>
    <w:rsid w:val="009D6632"/>
    <w:rsid w:val="009F1F93"/>
    <w:rsid w:val="009F5D00"/>
    <w:rsid w:val="00A01741"/>
    <w:rsid w:val="00A21809"/>
    <w:rsid w:val="00A558B6"/>
    <w:rsid w:val="00AB0EFC"/>
    <w:rsid w:val="00AC4CA3"/>
    <w:rsid w:val="00AD04A0"/>
    <w:rsid w:val="00AF073D"/>
    <w:rsid w:val="00B305F6"/>
    <w:rsid w:val="00B47353"/>
    <w:rsid w:val="00B63BC5"/>
    <w:rsid w:val="00B64143"/>
    <w:rsid w:val="00B764F8"/>
    <w:rsid w:val="00BA3C03"/>
    <w:rsid w:val="00BB0E0A"/>
    <w:rsid w:val="00C2793A"/>
    <w:rsid w:val="00C64873"/>
    <w:rsid w:val="00C706C9"/>
    <w:rsid w:val="00C778AC"/>
    <w:rsid w:val="00CE5372"/>
    <w:rsid w:val="00D37B3E"/>
    <w:rsid w:val="00D53813"/>
    <w:rsid w:val="00D57627"/>
    <w:rsid w:val="00D64F0F"/>
    <w:rsid w:val="00D8392D"/>
    <w:rsid w:val="00DE06D5"/>
    <w:rsid w:val="00E0584E"/>
    <w:rsid w:val="00E32FA3"/>
    <w:rsid w:val="00E6495F"/>
    <w:rsid w:val="00E76023"/>
    <w:rsid w:val="00ED4421"/>
    <w:rsid w:val="00F217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6495F"/>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E6495F"/>
    <w:pPr>
      <w:ind w:left="720"/>
      <w:contextualSpacing/>
    </w:pPr>
  </w:style>
  <w:style w:type="paragraph" w:styleId="Textedebulles">
    <w:name w:val="Balloon Text"/>
    <w:basedOn w:val="Normal"/>
    <w:link w:val="TextedebullesCar"/>
    <w:uiPriority w:val="99"/>
    <w:semiHidden/>
    <w:unhideWhenUsed/>
    <w:rsid w:val="00956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6431"/>
    <w:rPr>
      <w:rFonts w:ascii="Tahoma" w:hAnsi="Tahoma" w:cs="Tahoma"/>
      <w:sz w:val="16"/>
      <w:szCs w:val="16"/>
    </w:rPr>
  </w:style>
  <w:style w:type="character" w:customStyle="1" w:styleId="apple-style-span">
    <w:name w:val="apple-style-span"/>
    <w:basedOn w:val="Policepardfaut"/>
    <w:rsid w:val="002813A8"/>
  </w:style>
  <w:style w:type="paragraph" w:styleId="En-tte">
    <w:name w:val="header"/>
    <w:basedOn w:val="Normal"/>
    <w:link w:val="En-tteCar"/>
    <w:uiPriority w:val="99"/>
    <w:unhideWhenUsed/>
    <w:rsid w:val="00110A6D"/>
    <w:pPr>
      <w:tabs>
        <w:tab w:val="center" w:pos="4153"/>
        <w:tab w:val="right" w:pos="8306"/>
      </w:tabs>
      <w:spacing w:after="0" w:line="240" w:lineRule="auto"/>
    </w:pPr>
  </w:style>
  <w:style w:type="character" w:customStyle="1" w:styleId="En-tteCar">
    <w:name w:val="En-tête Car"/>
    <w:basedOn w:val="Policepardfaut"/>
    <w:link w:val="En-tte"/>
    <w:uiPriority w:val="99"/>
    <w:rsid w:val="00110A6D"/>
  </w:style>
  <w:style w:type="paragraph" w:styleId="Pieddepage">
    <w:name w:val="footer"/>
    <w:basedOn w:val="Normal"/>
    <w:link w:val="PieddepageCar"/>
    <w:uiPriority w:val="99"/>
    <w:semiHidden/>
    <w:unhideWhenUsed/>
    <w:rsid w:val="00110A6D"/>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10A6D"/>
  </w:style>
  <w:style w:type="table" w:customStyle="1" w:styleId="TableNormal">
    <w:name w:val="Table Normal"/>
    <w:uiPriority w:val="2"/>
    <w:semiHidden/>
    <w:unhideWhenUsed/>
    <w:qFormat/>
    <w:rsid w:val="009D66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6632"/>
    <w:pPr>
      <w:widowControl w:val="0"/>
      <w:autoSpaceDE w:val="0"/>
      <w:autoSpaceDN w:val="0"/>
      <w:spacing w:after="0" w:line="256" w:lineRule="exact"/>
      <w:ind w:left="9"/>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05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4</Pages>
  <Words>1366</Words>
  <Characters>7516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33</cp:revision>
  <dcterms:created xsi:type="dcterms:W3CDTF">2024-04-17T21:07:00Z</dcterms:created>
  <dcterms:modified xsi:type="dcterms:W3CDTF">2024-04-20T14:44:00Z</dcterms:modified>
</cp:coreProperties>
</file>