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F0" w:rsidRPr="00B60B6A" w:rsidRDefault="00E25BF0" w:rsidP="000B352A">
      <w:pPr>
        <w:jc w:val="center"/>
        <w:rPr>
          <w:rFonts w:asciiTheme="majorBidi" w:hAnsiTheme="majorBidi" w:cstheme="majorBidi"/>
          <w:b/>
          <w:bCs/>
          <w:sz w:val="28"/>
          <w:szCs w:val="28"/>
        </w:rPr>
      </w:pPr>
      <w:r w:rsidRPr="00EF1B4C">
        <w:rPr>
          <w:rFonts w:asciiTheme="majorBidi" w:hAnsiTheme="majorBidi" w:cstheme="majorBidi"/>
          <w:b/>
          <w:bCs/>
          <w:sz w:val="28"/>
          <w:szCs w:val="28"/>
        </w:rPr>
        <w:t>TD</w:t>
      </w:r>
      <w:r w:rsidR="00F17156">
        <w:rPr>
          <w:rFonts w:asciiTheme="majorBidi" w:hAnsiTheme="majorBidi" w:cstheme="majorBidi"/>
          <w:b/>
          <w:bCs/>
          <w:sz w:val="28"/>
          <w:szCs w:val="28"/>
        </w:rPr>
        <w:t xml:space="preserve"> </w:t>
      </w:r>
      <w:r w:rsidR="008F2A3D">
        <w:rPr>
          <w:rFonts w:asciiTheme="majorBidi" w:hAnsiTheme="majorBidi" w:cstheme="majorBidi"/>
          <w:b/>
          <w:bCs/>
          <w:sz w:val="28"/>
          <w:szCs w:val="28"/>
        </w:rPr>
        <w:t>03</w:t>
      </w:r>
      <w:r w:rsidRPr="00EF1B4C">
        <w:rPr>
          <w:rFonts w:asciiTheme="majorBidi" w:hAnsiTheme="majorBidi" w:cstheme="majorBidi"/>
          <w:b/>
          <w:bCs/>
          <w:sz w:val="28"/>
          <w:szCs w:val="28"/>
        </w:rPr>
        <w:t xml:space="preserve"> : </w:t>
      </w:r>
      <w:r w:rsidR="00B60B6A" w:rsidRPr="00B60B6A">
        <w:rPr>
          <w:rFonts w:asciiTheme="majorBidi" w:hAnsiTheme="majorBidi" w:cstheme="majorBidi"/>
          <w:b/>
          <w:bCs/>
          <w:sz w:val="28"/>
          <w:szCs w:val="28"/>
        </w:rPr>
        <w:t xml:space="preserve">Techniques d’ensemencement </w:t>
      </w:r>
      <w:r w:rsidR="005503CF">
        <w:rPr>
          <w:rFonts w:asciiTheme="majorBidi" w:hAnsiTheme="majorBidi" w:cstheme="majorBidi"/>
          <w:b/>
          <w:bCs/>
          <w:sz w:val="28"/>
          <w:szCs w:val="28"/>
        </w:rPr>
        <w:t xml:space="preserve">et d’isolement </w:t>
      </w:r>
      <w:r w:rsidR="008100AB">
        <w:rPr>
          <w:rFonts w:asciiTheme="majorBidi" w:hAnsiTheme="majorBidi" w:cstheme="majorBidi"/>
          <w:b/>
          <w:bCs/>
          <w:sz w:val="28"/>
          <w:szCs w:val="28"/>
        </w:rPr>
        <w:t>des bactéries</w:t>
      </w:r>
    </w:p>
    <w:p w:rsidR="00B60B6A" w:rsidRPr="003C545F" w:rsidRDefault="00B60B6A" w:rsidP="000B352A">
      <w:pPr>
        <w:pStyle w:val="Paragraphedeliste"/>
        <w:numPr>
          <w:ilvl w:val="0"/>
          <w:numId w:val="21"/>
        </w:numPr>
        <w:spacing w:after="0"/>
        <w:jc w:val="both"/>
        <w:rPr>
          <w:rFonts w:asciiTheme="majorBidi" w:hAnsiTheme="majorBidi" w:cstheme="majorBidi"/>
          <w:b/>
          <w:bCs/>
          <w:sz w:val="28"/>
          <w:szCs w:val="28"/>
        </w:rPr>
      </w:pPr>
      <w:r w:rsidRPr="003C545F">
        <w:rPr>
          <w:rFonts w:asciiTheme="majorBidi" w:hAnsiTheme="majorBidi" w:cstheme="majorBidi"/>
          <w:b/>
          <w:bCs/>
          <w:sz w:val="28"/>
          <w:szCs w:val="28"/>
        </w:rPr>
        <w:t>Introduction</w:t>
      </w:r>
    </w:p>
    <w:p w:rsidR="003C545F" w:rsidRPr="003C545F" w:rsidRDefault="00B60B6A" w:rsidP="000B352A">
      <w:pPr>
        <w:spacing w:after="0"/>
        <w:jc w:val="both"/>
        <w:rPr>
          <w:rFonts w:asciiTheme="majorBidi" w:hAnsiTheme="majorBidi" w:cstheme="majorBidi"/>
          <w:sz w:val="24"/>
          <w:szCs w:val="24"/>
        </w:rPr>
      </w:pPr>
      <w:r w:rsidRPr="00B60B6A">
        <w:rPr>
          <w:rFonts w:asciiTheme="majorBidi" w:hAnsiTheme="majorBidi" w:cstheme="majorBidi"/>
          <w:sz w:val="24"/>
          <w:szCs w:val="24"/>
        </w:rPr>
        <w:t>Les microorganismes coexistent en populations mélangées dans les différents environnements (naturelles, hospitaliers, commensales,</w:t>
      </w:r>
      <w:r w:rsidR="003D77D7">
        <w:rPr>
          <w:rFonts w:asciiTheme="majorBidi" w:hAnsiTheme="majorBidi" w:cstheme="majorBidi"/>
          <w:sz w:val="24"/>
          <w:szCs w:val="24"/>
        </w:rPr>
        <w:t>…</w:t>
      </w:r>
      <w:r w:rsidRPr="00B60B6A">
        <w:rPr>
          <w:rFonts w:asciiTheme="majorBidi" w:hAnsiTheme="majorBidi" w:cstheme="majorBidi"/>
          <w:sz w:val="24"/>
          <w:szCs w:val="24"/>
        </w:rPr>
        <w:t xml:space="preserve"> </w:t>
      </w:r>
      <w:r w:rsidR="003D77D7" w:rsidRPr="00B60B6A">
        <w:rPr>
          <w:rFonts w:asciiTheme="majorBidi" w:hAnsiTheme="majorBidi" w:cstheme="majorBidi"/>
          <w:sz w:val="24"/>
          <w:szCs w:val="24"/>
        </w:rPr>
        <w:t>etc.</w:t>
      </w:r>
      <w:r w:rsidR="003D77D7">
        <w:rPr>
          <w:rFonts w:asciiTheme="majorBidi" w:hAnsiTheme="majorBidi" w:cstheme="majorBidi"/>
          <w:sz w:val="24"/>
          <w:szCs w:val="24"/>
        </w:rPr>
        <w:t xml:space="preserve">) par exemple : </w:t>
      </w:r>
      <w:r w:rsidRPr="00B60B6A">
        <w:rPr>
          <w:rFonts w:asciiTheme="majorBidi" w:hAnsiTheme="majorBidi" w:cstheme="majorBidi"/>
          <w:sz w:val="24"/>
          <w:szCs w:val="24"/>
        </w:rPr>
        <w:t>Les analyses de prélèvements pathologiques du milieu hospitalier donnent généralement des cultures polymicrobiennes. Ceci pose un problème pour les microbiologistes, car on ne peut jamais étudier plusieurs espèces microbiennes à la fois d’où la nécessité de séparer chaque espèce microbienne des autres par des techniques d’isolement et de purification, ces techniques sont basés aussi sur la maitrise des techniques de base d’ensemencement.</w:t>
      </w:r>
    </w:p>
    <w:p w:rsidR="00B60B6A" w:rsidRPr="003C545F" w:rsidRDefault="00B60B6A" w:rsidP="000B352A">
      <w:pPr>
        <w:pStyle w:val="Paragraphedeliste"/>
        <w:numPr>
          <w:ilvl w:val="0"/>
          <w:numId w:val="24"/>
        </w:numPr>
        <w:spacing w:after="0"/>
        <w:jc w:val="both"/>
        <w:rPr>
          <w:rFonts w:asciiTheme="majorBidi" w:hAnsiTheme="majorBidi" w:cstheme="majorBidi"/>
          <w:b/>
          <w:bCs/>
          <w:sz w:val="28"/>
          <w:szCs w:val="28"/>
        </w:rPr>
      </w:pPr>
      <w:r w:rsidRPr="003C545F">
        <w:rPr>
          <w:rFonts w:asciiTheme="majorBidi" w:hAnsiTheme="majorBidi" w:cstheme="majorBidi"/>
          <w:b/>
          <w:bCs/>
          <w:sz w:val="28"/>
          <w:szCs w:val="28"/>
        </w:rPr>
        <w:t xml:space="preserve">Termes importants </w:t>
      </w:r>
    </w:p>
    <w:p w:rsidR="00B60B6A" w:rsidRPr="00B60B6A" w:rsidRDefault="006134A6" w:rsidP="000B352A">
      <w:pPr>
        <w:spacing w:after="0"/>
        <w:jc w:val="both"/>
        <w:rPr>
          <w:rFonts w:asciiTheme="majorBidi" w:hAnsiTheme="majorBidi" w:cstheme="majorBidi"/>
          <w:sz w:val="24"/>
          <w:szCs w:val="24"/>
        </w:rPr>
      </w:pPr>
      <w:r>
        <w:rPr>
          <w:rFonts w:asciiTheme="majorBidi" w:hAnsiTheme="majorBidi" w:cstheme="majorBidi"/>
          <w:b/>
          <w:bCs/>
          <w:sz w:val="24"/>
          <w:szCs w:val="24"/>
        </w:rPr>
        <w:t>-</w:t>
      </w:r>
      <w:r w:rsidR="00B60B6A" w:rsidRPr="00B60B6A">
        <w:rPr>
          <w:rFonts w:asciiTheme="majorBidi" w:hAnsiTheme="majorBidi" w:cstheme="majorBidi"/>
          <w:b/>
          <w:bCs/>
          <w:sz w:val="24"/>
          <w:szCs w:val="24"/>
        </w:rPr>
        <w:t>Ensemencement ou inoculation en microbiologie :</w:t>
      </w:r>
      <w:r w:rsidR="00B60B6A" w:rsidRPr="00B60B6A">
        <w:rPr>
          <w:rFonts w:asciiTheme="majorBidi" w:hAnsiTheme="majorBidi" w:cstheme="majorBidi"/>
          <w:sz w:val="24"/>
          <w:szCs w:val="24"/>
        </w:rPr>
        <w:t xml:space="preserve"> introduire un inoculum bactérien dans un milieu de culture stérile (bouillon ou gélose, </w:t>
      </w:r>
      <w:r w:rsidR="003D77D7" w:rsidRPr="00B60B6A">
        <w:rPr>
          <w:rFonts w:asciiTheme="majorBidi" w:hAnsiTheme="majorBidi" w:cstheme="majorBidi"/>
          <w:sz w:val="24"/>
          <w:szCs w:val="24"/>
        </w:rPr>
        <w:t>etc.</w:t>
      </w:r>
      <w:r w:rsidR="003D77D7">
        <w:rPr>
          <w:rFonts w:asciiTheme="majorBidi" w:hAnsiTheme="majorBidi" w:cstheme="majorBidi"/>
          <w:sz w:val="24"/>
          <w:szCs w:val="24"/>
        </w:rPr>
        <w:t xml:space="preserve">). </w:t>
      </w:r>
      <w:r w:rsidR="00B60B6A" w:rsidRPr="00B60B6A">
        <w:rPr>
          <w:rFonts w:asciiTheme="majorBidi" w:hAnsiTheme="majorBidi" w:cstheme="majorBidi"/>
          <w:sz w:val="24"/>
          <w:szCs w:val="24"/>
        </w:rPr>
        <w:t>À l’aide d’une pipette Paste</w:t>
      </w:r>
      <w:r w:rsidR="003D77D7">
        <w:rPr>
          <w:rFonts w:asciiTheme="majorBidi" w:hAnsiTheme="majorBidi" w:cstheme="majorBidi"/>
          <w:sz w:val="24"/>
          <w:szCs w:val="24"/>
        </w:rPr>
        <w:t>ur ou d’une anse de platine</w:t>
      </w:r>
      <w:r w:rsidR="00B60B6A" w:rsidRPr="00B60B6A">
        <w:rPr>
          <w:rFonts w:asciiTheme="majorBidi" w:hAnsiTheme="majorBidi" w:cstheme="majorBidi"/>
          <w:sz w:val="24"/>
          <w:szCs w:val="24"/>
        </w:rPr>
        <w:t xml:space="preserve">. </w:t>
      </w:r>
    </w:p>
    <w:p w:rsidR="00B60B6A" w:rsidRPr="00B60B6A" w:rsidRDefault="006134A6" w:rsidP="000B352A">
      <w:pPr>
        <w:spacing w:after="0"/>
        <w:jc w:val="both"/>
        <w:rPr>
          <w:rFonts w:asciiTheme="majorBidi" w:hAnsiTheme="majorBidi" w:cstheme="majorBidi"/>
          <w:sz w:val="24"/>
          <w:szCs w:val="24"/>
        </w:rPr>
      </w:pPr>
      <w:r>
        <w:rPr>
          <w:rFonts w:asciiTheme="majorBidi" w:hAnsiTheme="majorBidi" w:cstheme="majorBidi"/>
          <w:b/>
          <w:bCs/>
          <w:sz w:val="24"/>
          <w:szCs w:val="24"/>
        </w:rPr>
        <w:t>-</w:t>
      </w:r>
      <w:r w:rsidR="00B60B6A" w:rsidRPr="00B60B6A">
        <w:rPr>
          <w:rFonts w:asciiTheme="majorBidi" w:hAnsiTheme="majorBidi" w:cstheme="majorBidi"/>
          <w:b/>
          <w:bCs/>
          <w:sz w:val="24"/>
          <w:szCs w:val="24"/>
        </w:rPr>
        <w:t>Inoculum :</w:t>
      </w:r>
      <w:r w:rsidR="00B60B6A" w:rsidRPr="00B60B6A">
        <w:rPr>
          <w:rFonts w:asciiTheme="majorBidi" w:hAnsiTheme="majorBidi" w:cstheme="majorBidi"/>
          <w:sz w:val="24"/>
          <w:szCs w:val="24"/>
        </w:rPr>
        <w:t xml:space="preserve"> Échantillon ou bien quantité de microorganismes prélev</w:t>
      </w:r>
      <w:r w:rsidR="003D77D7">
        <w:rPr>
          <w:rFonts w:asciiTheme="majorBidi" w:hAnsiTheme="majorBidi" w:cstheme="majorBidi"/>
          <w:sz w:val="24"/>
          <w:szCs w:val="24"/>
        </w:rPr>
        <w:t xml:space="preserve">és à partir d’une culture mère, </w:t>
      </w:r>
      <w:r w:rsidR="00B60B6A" w:rsidRPr="00B60B6A">
        <w:rPr>
          <w:rFonts w:asciiTheme="majorBidi" w:hAnsiTheme="majorBidi" w:cstheme="majorBidi"/>
          <w:sz w:val="24"/>
          <w:szCs w:val="24"/>
        </w:rPr>
        <w:t>destinée à ensemencer (inoculé) au sein d’un milieu de culture favorable à sa</w:t>
      </w:r>
      <w:r w:rsidR="008233CE">
        <w:rPr>
          <w:rFonts w:asciiTheme="majorBidi" w:hAnsiTheme="majorBidi" w:cstheme="majorBidi"/>
          <w:sz w:val="24"/>
          <w:szCs w:val="24"/>
        </w:rPr>
        <w:t xml:space="preserve"> </w:t>
      </w:r>
      <w:r w:rsidR="00B60B6A" w:rsidRPr="00B60B6A">
        <w:rPr>
          <w:rFonts w:asciiTheme="majorBidi" w:hAnsiTheme="majorBidi" w:cstheme="majorBidi"/>
          <w:sz w:val="24"/>
          <w:szCs w:val="24"/>
        </w:rPr>
        <w:t>multiplication.</w:t>
      </w:r>
    </w:p>
    <w:p w:rsidR="00B60B6A" w:rsidRPr="00B60B6A" w:rsidRDefault="00B60B6A" w:rsidP="000B352A">
      <w:pPr>
        <w:spacing w:after="0"/>
        <w:jc w:val="both"/>
        <w:rPr>
          <w:rFonts w:asciiTheme="majorBidi" w:hAnsiTheme="majorBidi" w:cstheme="majorBidi"/>
          <w:sz w:val="24"/>
          <w:szCs w:val="24"/>
        </w:rPr>
      </w:pPr>
      <w:r w:rsidRPr="00B60B6A">
        <w:rPr>
          <w:rFonts w:asciiTheme="majorBidi" w:hAnsiTheme="majorBidi" w:cstheme="majorBidi"/>
          <w:sz w:val="24"/>
          <w:szCs w:val="24"/>
        </w:rPr>
        <w:t xml:space="preserve"> </w:t>
      </w:r>
      <w:r w:rsidR="006134A6">
        <w:rPr>
          <w:rFonts w:asciiTheme="majorBidi" w:hAnsiTheme="majorBidi" w:cstheme="majorBidi"/>
          <w:sz w:val="24"/>
          <w:szCs w:val="24"/>
        </w:rPr>
        <w:t>-</w:t>
      </w:r>
      <w:r w:rsidRPr="00B60B6A">
        <w:rPr>
          <w:rFonts w:asciiTheme="majorBidi" w:hAnsiTheme="majorBidi" w:cstheme="majorBidi"/>
          <w:b/>
          <w:bCs/>
          <w:sz w:val="24"/>
          <w:szCs w:val="24"/>
        </w:rPr>
        <w:t>L’isolement :</w:t>
      </w:r>
      <w:r w:rsidRPr="00B60B6A">
        <w:rPr>
          <w:rFonts w:asciiTheme="majorBidi" w:hAnsiTheme="majorBidi" w:cstheme="majorBidi"/>
          <w:sz w:val="24"/>
          <w:szCs w:val="24"/>
        </w:rPr>
        <w:t xml:space="preserve"> Consiste à des ensemencements sur des milieux de culture dans un but de séparation de façon à obtenir des colonies bien distinctes. </w:t>
      </w:r>
    </w:p>
    <w:p w:rsidR="00B60B6A" w:rsidRPr="00B60B6A" w:rsidRDefault="006134A6" w:rsidP="000B352A">
      <w:pPr>
        <w:spacing w:after="0"/>
        <w:jc w:val="both"/>
        <w:rPr>
          <w:rFonts w:asciiTheme="majorBidi" w:hAnsiTheme="majorBidi" w:cstheme="majorBidi"/>
          <w:sz w:val="24"/>
          <w:szCs w:val="24"/>
        </w:rPr>
      </w:pPr>
      <w:r>
        <w:rPr>
          <w:rFonts w:asciiTheme="majorBidi" w:hAnsiTheme="majorBidi" w:cstheme="majorBidi"/>
          <w:b/>
          <w:bCs/>
          <w:sz w:val="24"/>
          <w:szCs w:val="24"/>
        </w:rPr>
        <w:t>-</w:t>
      </w:r>
      <w:r w:rsidR="00B60B6A" w:rsidRPr="00B60B6A">
        <w:rPr>
          <w:rFonts w:asciiTheme="majorBidi" w:hAnsiTheme="majorBidi" w:cstheme="majorBidi"/>
          <w:b/>
          <w:bCs/>
          <w:sz w:val="24"/>
          <w:szCs w:val="24"/>
        </w:rPr>
        <w:t xml:space="preserve">Repiquage : </w:t>
      </w:r>
      <w:r w:rsidR="00B60B6A" w:rsidRPr="00B60B6A">
        <w:rPr>
          <w:rFonts w:asciiTheme="majorBidi" w:hAnsiTheme="majorBidi" w:cstheme="majorBidi"/>
          <w:sz w:val="24"/>
          <w:szCs w:val="24"/>
        </w:rPr>
        <w:t xml:space="preserve">réensemencement de culture pure dans un milieu de culture neuf. </w:t>
      </w:r>
    </w:p>
    <w:p w:rsidR="006A7A6A" w:rsidRPr="00B60B6A" w:rsidRDefault="006134A6" w:rsidP="000B352A">
      <w:pPr>
        <w:spacing w:after="0"/>
        <w:jc w:val="both"/>
        <w:rPr>
          <w:rFonts w:asciiTheme="majorBidi" w:hAnsiTheme="majorBidi" w:cstheme="majorBidi"/>
          <w:sz w:val="24"/>
          <w:szCs w:val="24"/>
        </w:rPr>
      </w:pPr>
      <w:r>
        <w:rPr>
          <w:rFonts w:asciiTheme="majorBidi" w:hAnsiTheme="majorBidi" w:cstheme="majorBidi"/>
          <w:b/>
          <w:bCs/>
          <w:sz w:val="24"/>
          <w:szCs w:val="24"/>
        </w:rPr>
        <w:t>-</w:t>
      </w:r>
      <w:r w:rsidR="00B60B6A" w:rsidRPr="00B60B6A">
        <w:rPr>
          <w:rFonts w:asciiTheme="majorBidi" w:hAnsiTheme="majorBidi" w:cstheme="majorBidi"/>
          <w:b/>
          <w:bCs/>
          <w:sz w:val="24"/>
          <w:szCs w:val="24"/>
        </w:rPr>
        <w:t>La différence entre « Espèce » et « souche » :</w:t>
      </w:r>
      <w:r w:rsidR="00B60B6A" w:rsidRPr="00B60B6A">
        <w:rPr>
          <w:rFonts w:asciiTheme="majorBidi" w:hAnsiTheme="majorBidi" w:cstheme="majorBidi"/>
          <w:sz w:val="24"/>
          <w:szCs w:val="24"/>
        </w:rPr>
        <w:t xml:space="preserve"> Une souche est une partie d'une espèce bactérienne, mais elle est différente des autres bactéries de la même espèce par une différence mineure, mais identifiable.</w:t>
      </w:r>
    </w:p>
    <w:p w:rsidR="00FD0B99" w:rsidRPr="003C545F" w:rsidRDefault="00C2473E" w:rsidP="000B352A">
      <w:pPr>
        <w:pStyle w:val="Paragraphedeliste"/>
        <w:numPr>
          <w:ilvl w:val="0"/>
          <w:numId w:val="24"/>
        </w:numPr>
        <w:spacing w:after="0"/>
        <w:jc w:val="both"/>
        <w:rPr>
          <w:rFonts w:asciiTheme="majorBidi" w:hAnsiTheme="majorBidi" w:cstheme="majorBidi"/>
          <w:b/>
          <w:bCs/>
          <w:sz w:val="32"/>
          <w:szCs w:val="32"/>
        </w:rPr>
      </w:pPr>
      <w:r w:rsidRPr="003C545F">
        <w:rPr>
          <w:rFonts w:asciiTheme="majorBidi" w:hAnsiTheme="majorBidi" w:cstheme="majorBidi"/>
          <w:b/>
          <w:bCs/>
          <w:sz w:val="28"/>
          <w:szCs w:val="28"/>
        </w:rPr>
        <w:t>Techniques d’ensemencement</w:t>
      </w:r>
    </w:p>
    <w:p w:rsidR="001336B1" w:rsidRDefault="006A7A6A" w:rsidP="000B352A">
      <w:pPr>
        <w:spacing w:after="0"/>
        <w:jc w:val="both"/>
        <w:rPr>
          <w:rStyle w:val="markedcontent"/>
          <w:rFonts w:asciiTheme="majorBidi" w:hAnsiTheme="majorBidi" w:cstheme="majorBidi"/>
          <w:sz w:val="24"/>
          <w:szCs w:val="24"/>
        </w:rPr>
      </w:pPr>
      <w:r w:rsidRPr="006A7A6A">
        <w:rPr>
          <w:rStyle w:val="markedcontent"/>
          <w:rFonts w:asciiTheme="majorBidi" w:hAnsiTheme="majorBidi" w:cstheme="majorBidi"/>
          <w:sz w:val="24"/>
          <w:szCs w:val="24"/>
        </w:rPr>
        <w:t>Selon l’objectif visé, on utilisera différentes techniques :</w:t>
      </w:r>
    </w:p>
    <w:p w:rsidR="006134A6" w:rsidRPr="003C545F" w:rsidRDefault="003C545F" w:rsidP="000B352A">
      <w:pPr>
        <w:pStyle w:val="Paragraphedeliste"/>
        <w:numPr>
          <w:ilvl w:val="1"/>
          <w:numId w:val="26"/>
        </w:numPr>
        <w:spacing w:after="0"/>
        <w:jc w:val="both"/>
        <w:rPr>
          <w:rStyle w:val="markedcontent"/>
          <w:rFonts w:asciiTheme="majorBidi" w:hAnsiTheme="majorBidi" w:cstheme="majorBidi"/>
          <w:b/>
          <w:bCs/>
          <w:sz w:val="18"/>
          <w:szCs w:val="18"/>
        </w:rPr>
      </w:pPr>
      <w:r>
        <w:rPr>
          <w:rStyle w:val="markedcontent"/>
          <w:rFonts w:asciiTheme="majorBidi" w:hAnsiTheme="majorBidi" w:cstheme="majorBidi"/>
          <w:b/>
          <w:bCs/>
          <w:sz w:val="24"/>
          <w:szCs w:val="24"/>
        </w:rPr>
        <w:t xml:space="preserve"> </w:t>
      </w:r>
      <w:r w:rsidR="006A7A6A" w:rsidRPr="003C545F">
        <w:rPr>
          <w:rStyle w:val="markedcontent"/>
          <w:rFonts w:asciiTheme="majorBidi" w:hAnsiTheme="majorBidi" w:cstheme="majorBidi"/>
          <w:b/>
          <w:bCs/>
          <w:sz w:val="24"/>
          <w:szCs w:val="24"/>
        </w:rPr>
        <w:t>Ensemencement dans le tube</w:t>
      </w:r>
    </w:p>
    <w:p w:rsidR="006134A6" w:rsidRPr="006134A6" w:rsidRDefault="006134A6" w:rsidP="000B352A">
      <w:pPr>
        <w:pStyle w:val="Paragraphedeliste"/>
        <w:numPr>
          <w:ilvl w:val="0"/>
          <w:numId w:val="23"/>
        </w:numPr>
        <w:spacing w:after="0"/>
        <w:jc w:val="both"/>
        <w:rPr>
          <w:rFonts w:asciiTheme="majorBidi" w:hAnsiTheme="majorBidi" w:cstheme="majorBidi"/>
          <w:b/>
          <w:bCs/>
          <w:sz w:val="18"/>
          <w:szCs w:val="18"/>
        </w:rPr>
      </w:pPr>
      <w:r w:rsidRPr="006134A6">
        <w:rPr>
          <w:rFonts w:ascii="Times New Roman" w:hAnsi="Times New Roman" w:cs="Times New Roman"/>
          <w:b/>
          <w:bCs/>
          <w:sz w:val="24"/>
          <w:szCs w:val="24"/>
        </w:rPr>
        <w:t>Ensemencement sur milieu liquide</w:t>
      </w:r>
      <w:r w:rsidRPr="006134A6">
        <w:rPr>
          <w:rFonts w:ascii="Times New Roman" w:hAnsi="Times New Roman" w:cs="Times New Roman"/>
          <w:sz w:val="24"/>
          <w:szCs w:val="24"/>
        </w:rPr>
        <w:t xml:space="preserve"> : On peut ensemencer un milieu liquide : </w:t>
      </w:r>
    </w:p>
    <w:p w:rsidR="006134A6" w:rsidRDefault="006134A6" w:rsidP="000B352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w:t>
      </w:r>
      <w:r w:rsidRPr="00FC38BB">
        <w:rPr>
          <w:rFonts w:ascii="Times New Roman" w:hAnsi="Times New Roman" w:cs="Times New Roman"/>
          <w:sz w:val="24"/>
          <w:szCs w:val="24"/>
        </w:rPr>
        <w:t>oit à partir d’un produit liquide, on met quelques gouttes dans le milieu à ens</w:t>
      </w:r>
      <w:r>
        <w:rPr>
          <w:rFonts w:ascii="Times New Roman" w:hAnsi="Times New Roman" w:cs="Times New Roman"/>
          <w:sz w:val="24"/>
          <w:szCs w:val="24"/>
        </w:rPr>
        <w:t>emencer avec pipette de pasteur.</w:t>
      </w:r>
    </w:p>
    <w:p w:rsidR="006134A6" w:rsidRDefault="006134A6" w:rsidP="000B352A">
      <w:pPr>
        <w:autoSpaceDE w:val="0"/>
        <w:autoSpaceDN w:val="0"/>
        <w:adjustRightInd w:val="0"/>
        <w:spacing w:after="0"/>
        <w:jc w:val="both"/>
        <w:rPr>
          <w:rFonts w:ascii="Times New Roman" w:hAnsi="Times New Roman" w:cs="Times New Roman"/>
          <w:sz w:val="24"/>
          <w:szCs w:val="24"/>
        </w:rPr>
      </w:pPr>
    </w:p>
    <w:p w:rsidR="006134A6" w:rsidRPr="00021D7C" w:rsidRDefault="006134A6" w:rsidP="000B352A">
      <w:pPr>
        <w:pStyle w:val="Paragraphedeliste"/>
        <w:autoSpaceDE w:val="0"/>
        <w:autoSpaceDN w:val="0"/>
        <w:adjustRightInd w:val="0"/>
        <w:spacing w:after="0"/>
        <w:jc w:val="both"/>
        <w:rPr>
          <w:rFonts w:ascii="Times New Roman" w:hAnsi="Times New Roman" w:cs="Times New Roman"/>
          <w:sz w:val="24"/>
          <w:szCs w:val="24"/>
        </w:rPr>
      </w:pPr>
      <w:r w:rsidRPr="00FC38BB">
        <w:rPr>
          <w:rFonts w:ascii="Times New Roman" w:hAnsi="Times New Roman" w:cs="Times New Roman"/>
          <w:noProof/>
          <w:sz w:val="24"/>
          <w:szCs w:val="24"/>
          <w:lang w:eastAsia="fr-FR"/>
        </w:rPr>
        <w:drawing>
          <wp:inline distT="0" distB="0" distL="0" distR="0">
            <wp:extent cx="5881370" cy="1790700"/>
            <wp:effectExtent l="0" t="0" r="5080" b="0"/>
            <wp:docPr id="6" name="Image 6" descr="C:\Users\SONY\Desktop\ki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NY\Desktop\kiut.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81370" cy="1790700"/>
                    </a:xfrm>
                    <a:prstGeom prst="rect">
                      <a:avLst/>
                    </a:prstGeom>
                    <a:noFill/>
                    <a:ln>
                      <a:noFill/>
                    </a:ln>
                  </pic:spPr>
                </pic:pic>
              </a:graphicData>
            </a:graphic>
          </wp:inline>
        </w:drawing>
      </w:r>
    </w:p>
    <w:p w:rsidR="006134A6" w:rsidRDefault="006134A6" w:rsidP="000B352A">
      <w:pPr>
        <w:pStyle w:val="Paragraphedeliste"/>
        <w:autoSpaceDE w:val="0"/>
        <w:autoSpaceDN w:val="0"/>
        <w:adjustRightInd w:val="0"/>
        <w:spacing w:after="0"/>
        <w:jc w:val="both"/>
        <w:rPr>
          <w:rFonts w:ascii="Times New Roman" w:hAnsi="Times New Roman" w:cs="Times New Roman"/>
          <w:sz w:val="24"/>
          <w:szCs w:val="24"/>
        </w:rPr>
      </w:pPr>
    </w:p>
    <w:p w:rsidR="006134A6" w:rsidRDefault="006134A6" w:rsidP="000B352A">
      <w:pPr>
        <w:pStyle w:val="Paragraphedeliste"/>
        <w:numPr>
          <w:ilvl w:val="0"/>
          <w:numId w:val="22"/>
        </w:numPr>
        <w:autoSpaceDE w:val="0"/>
        <w:autoSpaceDN w:val="0"/>
        <w:adjustRightInd w:val="0"/>
        <w:spacing w:after="0"/>
        <w:jc w:val="both"/>
      </w:pPr>
      <w:r>
        <w:rPr>
          <w:rFonts w:ascii="Times New Roman" w:hAnsi="Times New Roman" w:cs="Times New Roman"/>
          <w:sz w:val="24"/>
          <w:szCs w:val="24"/>
        </w:rPr>
        <w:t>S</w:t>
      </w:r>
      <w:r w:rsidRPr="00FC38BB">
        <w:rPr>
          <w:rFonts w:ascii="Times New Roman" w:hAnsi="Times New Roman" w:cs="Times New Roman"/>
          <w:sz w:val="24"/>
          <w:szCs w:val="24"/>
        </w:rPr>
        <w:t>oit à partir d’un produit solide, écraser la colonie prélevée à l’aide d’une anse de platine ou pipette de pasteur sur la paroi du tube, pour obtenir une suspension homogène.</w:t>
      </w:r>
      <w:r>
        <w:tab/>
      </w:r>
    </w:p>
    <w:p w:rsidR="006134A6" w:rsidRPr="00264AF8" w:rsidRDefault="006134A6" w:rsidP="000B352A">
      <w:pPr>
        <w:pStyle w:val="Paragraphedeliste"/>
        <w:autoSpaceDE w:val="0"/>
        <w:autoSpaceDN w:val="0"/>
        <w:adjustRightInd w:val="0"/>
        <w:spacing w:after="0"/>
        <w:jc w:val="both"/>
        <w:rPr>
          <w:rFonts w:ascii="Times New Roman" w:hAnsi="Times New Roman" w:cs="Times New Roman"/>
          <w:sz w:val="24"/>
          <w:szCs w:val="24"/>
        </w:rPr>
      </w:pPr>
    </w:p>
    <w:p w:rsidR="006134A6" w:rsidRDefault="006134A6" w:rsidP="000B352A">
      <w:pPr>
        <w:pStyle w:val="Paragraphedeliste"/>
        <w:autoSpaceDE w:val="0"/>
        <w:autoSpaceDN w:val="0"/>
        <w:adjustRightInd w:val="0"/>
        <w:spacing w:after="0"/>
        <w:jc w:val="both"/>
        <w:rPr>
          <w:rFonts w:ascii="Times New Roman" w:hAnsi="Times New Roman" w:cs="Times New Roman"/>
          <w:sz w:val="24"/>
          <w:szCs w:val="24"/>
        </w:rPr>
      </w:pPr>
      <w:r w:rsidRPr="00FC38BB">
        <w:rPr>
          <w:rFonts w:ascii="Times New Roman" w:hAnsi="Times New Roman" w:cs="Times New Roman"/>
          <w:noProof/>
          <w:sz w:val="24"/>
          <w:szCs w:val="24"/>
          <w:lang w:eastAsia="fr-FR"/>
        </w:rPr>
        <w:lastRenderedPageBreak/>
        <w:drawing>
          <wp:inline distT="0" distB="0" distL="0" distR="0">
            <wp:extent cx="5876570" cy="1733550"/>
            <wp:effectExtent l="19050" t="19050" r="10160" b="19050"/>
            <wp:docPr id="7" name="Image 7" descr="C:\Users\SONY\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NY\Desktop\Capture.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13549" cy="1744458"/>
                    </a:xfrm>
                    <a:prstGeom prst="rect">
                      <a:avLst/>
                    </a:prstGeom>
                    <a:noFill/>
                    <a:ln>
                      <a:solidFill>
                        <a:schemeClr val="tx1"/>
                      </a:solidFill>
                    </a:ln>
                  </pic:spPr>
                </pic:pic>
              </a:graphicData>
            </a:graphic>
          </wp:inline>
        </w:drawing>
      </w:r>
    </w:p>
    <w:p w:rsidR="006134A6" w:rsidRDefault="006134A6" w:rsidP="000B352A">
      <w:pPr>
        <w:pStyle w:val="Paragraphedeliste"/>
        <w:autoSpaceDE w:val="0"/>
        <w:autoSpaceDN w:val="0"/>
        <w:adjustRightInd w:val="0"/>
        <w:spacing w:after="0"/>
        <w:jc w:val="both"/>
        <w:rPr>
          <w:rFonts w:ascii="Times New Roman" w:hAnsi="Times New Roman" w:cs="Times New Roman"/>
          <w:sz w:val="24"/>
          <w:szCs w:val="24"/>
        </w:rPr>
      </w:pPr>
    </w:p>
    <w:p w:rsidR="001336B1" w:rsidRPr="006134A6" w:rsidRDefault="006134A6" w:rsidP="000B352A">
      <w:pPr>
        <w:pStyle w:val="Paragraphedeliste"/>
        <w:numPr>
          <w:ilvl w:val="0"/>
          <w:numId w:val="23"/>
        </w:numPr>
        <w:autoSpaceDE w:val="0"/>
        <w:autoSpaceDN w:val="0"/>
        <w:adjustRightInd w:val="0"/>
        <w:spacing w:after="0"/>
        <w:jc w:val="both"/>
        <w:rPr>
          <w:rFonts w:asciiTheme="majorBidi" w:hAnsiTheme="majorBidi" w:cstheme="majorBidi"/>
          <w:b/>
          <w:bCs/>
          <w:sz w:val="24"/>
          <w:szCs w:val="24"/>
        </w:rPr>
      </w:pPr>
      <w:r w:rsidRPr="006134A6">
        <w:rPr>
          <w:rFonts w:ascii="Times New Roman" w:hAnsi="Times New Roman" w:cs="Times New Roman"/>
          <w:b/>
          <w:bCs/>
          <w:sz w:val="24"/>
          <w:szCs w:val="24"/>
        </w:rPr>
        <w:t>Ensemencement sur milieu solide</w:t>
      </w:r>
    </w:p>
    <w:p w:rsidR="00F775BB" w:rsidRDefault="00F775BB" w:rsidP="000B352A">
      <w:pPr>
        <w:pStyle w:val="Paragraphedeliste"/>
        <w:numPr>
          <w:ilvl w:val="0"/>
          <w:numId w:val="20"/>
        </w:numPr>
        <w:spacing w:after="0"/>
        <w:jc w:val="both"/>
        <w:rPr>
          <w:rFonts w:asciiTheme="majorBidi" w:hAnsiTheme="majorBidi" w:cstheme="majorBidi"/>
          <w:sz w:val="24"/>
          <w:szCs w:val="24"/>
        </w:rPr>
      </w:pPr>
      <w:r w:rsidRPr="00F775BB">
        <w:rPr>
          <w:rStyle w:val="markedcontent"/>
          <w:rFonts w:asciiTheme="majorBidi" w:hAnsiTheme="majorBidi" w:cstheme="majorBidi"/>
          <w:b/>
          <w:bCs/>
          <w:sz w:val="24"/>
          <w:szCs w:val="24"/>
        </w:rPr>
        <w:t xml:space="preserve">Ensemencement dans </w:t>
      </w:r>
      <w:r w:rsidR="0005560C">
        <w:rPr>
          <w:rStyle w:val="markedcontent"/>
          <w:rFonts w:asciiTheme="majorBidi" w:hAnsiTheme="majorBidi" w:cstheme="majorBidi"/>
          <w:b/>
          <w:bCs/>
          <w:sz w:val="24"/>
          <w:szCs w:val="24"/>
        </w:rPr>
        <w:t xml:space="preserve">un </w:t>
      </w:r>
      <w:r w:rsidR="0005560C">
        <w:rPr>
          <w:rFonts w:asciiTheme="majorBidi" w:hAnsiTheme="majorBidi" w:cstheme="majorBidi"/>
          <w:b/>
          <w:bCs/>
          <w:sz w:val="24"/>
          <w:szCs w:val="24"/>
        </w:rPr>
        <w:t>m</w:t>
      </w:r>
      <w:r w:rsidR="0005560C" w:rsidRPr="00747640">
        <w:rPr>
          <w:rFonts w:asciiTheme="majorBidi" w:hAnsiTheme="majorBidi" w:cstheme="majorBidi"/>
          <w:b/>
          <w:bCs/>
          <w:sz w:val="24"/>
          <w:szCs w:val="24"/>
        </w:rPr>
        <w:t xml:space="preserve">ilieu </w:t>
      </w:r>
      <w:r w:rsidRPr="00F775BB">
        <w:rPr>
          <w:rStyle w:val="markedcontent"/>
          <w:rFonts w:asciiTheme="majorBidi" w:hAnsiTheme="majorBidi" w:cstheme="majorBidi"/>
          <w:b/>
          <w:bCs/>
          <w:sz w:val="24"/>
          <w:szCs w:val="24"/>
        </w:rPr>
        <w:t>en culot</w:t>
      </w:r>
      <w:r w:rsidRPr="00F775BB">
        <w:rPr>
          <w:rFonts w:asciiTheme="majorBidi" w:hAnsiTheme="majorBidi" w:cstheme="majorBidi"/>
          <w:b/>
          <w:bCs/>
          <w:sz w:val="18"/>
          <w:szCs w:val="18"/>
        </w:rPr>
        <w:t> :</w:t>
      </w:r>
      <w:r w:rsidRPr="00F775BB">
        <w:rPr>
          <w:rFonts w:asciiTheme="majorBidi" w:hAnsiTheme="majorBidi" w:cstheme="majorBidi"/>
          <w:sz w:val="18"/>
          <w:szCs w:val="18"/>
        </w:rPr>
        <w:t xml:space="preserve"> </w:t>
      </w:r>
      <w:r w:rsidRPr="00F775BB">
        <w:rPr>
          <w:rStyle w:val="markedcontent"/>
          <w:rFonts w:asciiTheme="majorBidi" w:hAnsiTheme="majorBidi" w:cstheme="majorBidi"/>
          <w:sz w:val="24"/>
          <w:szCs w:val="24"/>
        </w:rPr>
        <w:t>L’ensemencement se fait par piqure centrale</w:t>
      </w:r>
      <w:r>
        <w:rPr>
          <w:rFonts w:asciiTheme="majorBidi" w:hAnsiTheme="majorBidi" w:cstheme="majorBidi"/>
          <w:sz w:val="24"/>
          <w:szCs w:val="24"/>
        </w:rPr>
        <w:t xml:space="preserve">. </w:t>
      </w:r>
      <w:r w:rsidRPr="00F775BB">
        <w:rPr>
          <w:rFonts w:asciiTheme="majorBidi" w:hAnsiTheme="majorBidi" w:cstheme="majorBidi"/>
          <w:sz w:val="24"/>
          <w:szCs w:val="24"/>
        </w:rPr>
        <w:t xml:space="preserve">elle se fait généralement </w:t>
      </w:r>
      <w:r w:rsidR="00A95133">
        <w:rPr>
          <w:rFonts w:asciiTheme="majorBidi" w:hAnsiTheme="majorBidi" w:cstheme="majorBidi"/>
          <w:sz w:val="24"/>
          <w:szCs w:val="24"/>
        </w:rPr>
        <w:t>dans</w:t>
      </w:r>
      <w:r w:rsidRPr="00F775BB">
        <w:rPr>
          <w:rFonts w:asciiTheme="majorBidi" w:hAnsiTheme="majorBidi" w:cstheme="majorBidi"/>
          <w:sz w:val="24"/>
          <w:szCs w:val="24"/>
        </w:rPr>
        <w:t xml:space="preserve"> des tubes contenant un milieu gélosé en introduisant la pipette pasteur chargé de l’inoculum verticalement au fond de tube, exemple ensemencement du milieu mannitol-mobilité. </w:t>
      </w:r>
    </w:p>
    <w:p w:rsidR="00F775BB" w:rsidRDefault="00F775BB" w:rsidP="000B352A">
      <w:pPr>
        <w:pStyle w:val="Paragraphedeliste"/>
        <w:spacing w:after="0"/>
        <w:jc w:val="both"/>
        <w:rPr>
          <w:rFonts w:asciiTheme="majorBidi" w:hAnsiTheme="majorBidi" w:cstheme="majorBidi"/>
          <w:sz w:val="24"/>
          <w:szCs w:val="24"/>
        </w:rPr>
      </w:pPr>
      <w:r w:rsidRPr="00747640">
        <w:rPr>
          <w:rFonts w:asciiTheme="majorBidi" w:hAnsiTheme="majorBidi" w:cstheme="majorBidi"/>
          <w:noProof/>
          <w:sz w:val="24"/>
          <w:szCs w:val="24"/>
          <w:lang w:eastAsia="fr-FR"/>
        </w:rPr>
        <w:drawing>
          <wp:inline distT="0" distB="0" distL="0" distR="0">
            <wp:extent cx="5757545" cy="1314450"/>
            <wp:effectExtent l="19050" t="19050" r="14605" b="19050"/>
            <wp:docPr id="4" name="Image 4" descr="C:\Users\SONY\Desktop\JUY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NY\Desktop\JUYT.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0602" cy="1317431"/>
                    </a:xfrm>
                    <a:prstGeom prst="rect">
                      <a:avLst/>
                    </a:prstGeom>
                    <a:noFill/>
                    <a:ln>
                      <a:solidFill>
                        <a:schemeClr val="tx1"/>
                      </a:solidFill>
                    </a:ln>
                  </pic:spPr>
                </pic:pic>
              </a:graphicData>
            </a:graphic>
          </wp:inline>
        </w:drawing>
      </w:r>
    </w:p>
    <w:p w:rsidR="00A95133" w:rsidRPr="00A95133" w:rsidRDefault="00A95133" w:rsidP="000B352A">
      <w:pPr>
        <w:pStyle w:val="Paragraphedeliste"/>
        <w:spacing w:after="0"/>
        <w:jc w:val="both"/>
        <w:rPr>
          <w:rFonts w:asciiTheme="majorBidi" w:hAnsiTheme="majorBidi" w:cstheme="majorBidi"/>
          <w:sz w:val="16"/>
          <w:szCs w:val="16"/>
        </w:rPr>
      </w:pPr>
    </w:p>
    <w:p w:rsidR="00F775BB" w:rsidRDefault="00F775BB" w:rsidP="000B352A">
      <w:pPr>
        <w:pStyle w:val="Paragraphedeliste"/>
        <w:numPr>
          <w:ilvl w:val="0"/>
          <w:numId w:val="20"/>
        </w:numPr>
        <w:spacing w:after="0"/>
        <w:jc w:val="both"/>
        <w:rPr>
          <w:rStyle w:val="markedcontent"/>
          <w:rFonts w:asciiTheme="majorBidi" w:hAnsiTheme="majorBidi" w:cstheme="majorBidi"/>
          <w:sz w:val="24"/>
          <w:szCs w:val="24"/>
        </w:rPr>
      </w:pPr>
      <w:r w:rsidRPr="00F775BB">
        <w:rPr>
          <w:rStyle w:val="markedcontent"/>
          <w:rFonts w:asciiTheme="majorBidi" w:hAnsiTheme="majorBidi" w:cstheme="majorBidi"/>
          <w:b/>
          <w:bCs/>
          <w:sz w:val="24"/>
          <w:szCs w:val="24"/>
        </w:rPr>
        <w:t xml:space="preserve">Ensemencement dans </w:t>
      </w:r>
      <w:r w:rsidR="0005560C">
        <w:rPr>
          <w:rFonts w:asciiTheme="majorBidi" w:hAnsiTheme="majorBidi" w:cstheme="majorBidi"/>
          <w:b/>
          <w:bCs/>
          <w:sz w:val="24"/>
          <w:szCs w:val="24"/>
        </w:rPr>
        <w:t>m</w:t>
      </w:r>
      <w:r w:rsidR="0005560C" w:rsidRPr="00747640">
        <w:rPr>
          <w:rFonts w:asciiTheme="majorBidi" w:hAnsiTheme="majorBidi" w:cstheme="majorBidi"/>
          <w:b/>
          <w:bCs/>
          <w:sz w:val="24"/>
          <w:szCs w:val="24"/>
        </w:rPr>
        <w:t xml:space="preserve">ilieu incliné </w:t>
      </w:r>
      <w:r w:rsidRPr="00F775BB">
        <w:rPr>
          <w:rStyle w:val="markedcontent"/>
          <w:rFonts w:asciiTheme="majorBidi" w:hAnsiTheme="majorBidi" w:cstheme="majorBidi"/>
          <w:b/>
          <w:bCs/>
          <w:sz w:val="24"/>
          <w:szCs w:val="24"/>
        </w:rPr>
        <w:t>(pente) </w:t>
      </w:r>
      <w:r w:rsidRPr="00F775BB">
        <w:rPr>
          <w:rFonts w:asciiTheme="majorBidi" w:hAnsiTheme="majorBidi" w:cstheme="majorBidi"/>
          <w:b/>
          <w:bCs/>
          <w:sz w:val="24"/>
          <w:szCs w:val="24"/>
        </w:rPr>
        <w:t>:</w:t>
      </w:r>
      <w:r>
        <w:rPr>
          <w:rFonts w:asciiTheme="majorBidi" w:hAnsiTheme="majorBidi" w:cstheme="majorBidi"/>
          <w:sz w:val="24"/>
          <w:szCs w:val="24"/>
        </w:rPr>
        <w:t xml:space="preserve"> </w:t>
      </w:r>
      <w:r w:rsidRPr="00F775BB">
        <w:rPr>
          <w:rStyle w:val="markedcontent"/>
          <w:rFonts w:asciiTheme="majorBidi" w:hAnsiTheme="majorBidi" w:cstheme="majorBidi"/>
          <w:sz w:val="24"/>
          <w:szCs w:val="24"/>
        </w:rPr>
        <w:t xml:space="preserve">On utilise l’anse chargée de suspension. </w:t>
      </w:r>
      <w:r w:rsidR="008233CE">
        <w:rPr>
          <w:rStyle w:val="markedcontent"/>
          <w:rFonts w:asciiTheme="majorBidi" w:hAnsiTheme="majorBidi" w:cstheme="majorBidi"/>
          <w:sz w:val="24"/>
          <w:szCs w:val="24"/>
        </w:rPr>
        <w:t>Ensuite, o</w:t>
      </w:r>
      <w:r w:rsidRPr="00F775BB">
        <w:rPr>
          <w:rStyle w:val="markedcontent"/>
          <w:rFonts w:asciiTheme="majorBidi" w:hAnsiTheme="majorBidi" w:cstheme="majorBidi"/>
          <w:sz w:val="24"/>
          <w:szCs w:val="24"/>
        </w:rPr>
        <w:t>n</w:t>
      </w:r>
      <w:r>
        <w:rPr>
          <w:rFonts w:asciiTheme="majorBidi" w:hAnsiTheme="majorBidi" w:cstheme="majorBidi"/>
          <w:sz w:val="24"/>
          <w:szCs w:val="24"/>
        </w:rPr>
        <w:t xml:space="preserve"> </w:t>
      </w:r>
      <w:r w:rsidRPr="00F775BB">
        <w:rPr>
          <w:rStyle w:val="markedcontent"/>
          <w:rFonts w:asciiTheme="majorBidi" w:hAnsiTheme="majorBidi" w:cstheme="majorBidi"/>
          <w:sz w:val="24"/>
          <w:szCs w:val="24"/>
        </w:rPr>
        <w:t>réalise des stries espacées sur toute la longueur de la pente en commençant par le fond du</w:t>
      </w:r>
      <w:r>
        <w:rPr>
          <w:rFonts w:asciiTheme="majorBidi" w:hAnsiTheme="majorBidi" w:cstheme="majorBidi"/>
          <w:sz w:val="24"/>
          <w:szCs w:val="24"/>
        </w:rPr>
        <w:t xml:space="preserve"> </w:t>
      </w:r>
      <w:r w:rsidR="008233CE">
        <w:rPr>
          <w:rStyle w:val="markedcontent"/>
          <w:rFonts w:asciiTheme="majorBidi" w:hAnsiTheme="majorBidi" w:cstheme="majorBidi"/>
          <w:sz w:val="24"/>
          <w:szCs w:val="24"/>
        </w:rPr>
        <w:t>tube et en remontant. C’est le cas des milieux utilisé pour la con</w:t>
      </w:r>
      <w:r w:rsidRPr="00F775BB">
        <w:rPr>
          <w:rStyle w:val="markedcontent"/>
          <w:rFonts w:asciiTheme="majorBidi" w:hAnsiTheme="majorBidi" w:cstheme="majorBidi"/>
          <w:sz w:val="24"/>
          <w:szCs w:val="24"/>
        </w:rPr>
        <w:t xml:space="preserve">servation du </w:t>
      </w:r>
      <w:r w:rsidR="008233CE">
        <w:rPr>
          <w:rStyle w:val="markedcontent"/>
          <w:rFonts w:asciiTheme="majorBidi" w:hAnsiTheme="majorBidi" w:cstheme="majorBidi"/>
          <w:sz w:val="24"/>
          <w:szCs w:val="24"/>
        </w:rPr>
        <w:t>microorganisme.</w:t>
      </w:r>
    </w:p>
    <w:p w:rsidR="00F775BB" w:rsidRDefault="00F775BB" w:rsidP="000B352A">
      <w:pPr>
        <w:pStyle w:val="Paragraphedeliste"/>
        <w:spacing w:after="0"/>
        <w:jc w:val="center"/>
        <w:rPr>
          <w:rStyle w:val="markedcontent"/>
          <w:rFonts w:asciiTheme="majorBidi" w:hAnsiTheme="majorBidi" w:cstheme="majorBidi"/>
          <w:sz w:val="24"/>
          <w:szCs w:val="24"/>
        </w:rPr>
      </w:pPr>
      <w:r w:rsidRPr="00747640">
        <w:rPr>
          <w:rFonts w:asciiTheme="majorBidi" w:hAnsiTheme="majorBidi" w:cstheme="majorBidi"/>
          <w:noProof/>
          <w:sz w:val="24"/>
          <w:szCs w:val="24"/>
          <w:lang w:eastAsia="fr-FR"/>
        </w:rPr>
        <w:drawing>
          <wp:inline distT="0" distB="0" distL="0" distR="0">
            <wp:extent cx="2394585" cy="2209800"/>
            <wp:effectExtent l="0" t="0" r="5715" b="0"/>
            <wp:docPr id="3" name="Image 3" descr="C:\Users\SONY\Desktop\MP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Desktop\MPOI.PN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94585" cy="2209800"/>
                    </a:xfrm>
                    <a:prstGeom prst="rect">
                      <a:avLst/>
                    </a:prstGeom>
                    <a:noFill/>
                    <a:ln>
                      <a:noFill/>
                    </a:ln>
                  </pic:spPr>
                </pic:pic>
              </a:graphicData>
            </a:graphic>
          </wp:inline>
        </w:drawing>
      </w:r>
    </w:p>
    <w:p w:rsidR="00F775BB" w:rsidRPr="001336B1" w:rsidRDefault="00F775BB" w:rsidP="000B352A">
      <w:pPr>
        <w:pStyle w:val="Paragraphedeliste"/>
        <w:numPr>
          <w:ilvl w:val="0"/>
          <w:numId w:val="20"/>
        </w:numPr>
        <w:spacing w:after="0"/>
        <w:jc w:val="both"/>
        <w:rPr>
          <w:rStyle w:val="markedcontent"/>
          <w:rFonts w:asciiTheme="majorBidi" w:hAnsiTheme="majorBidi" w:cstheme="majorBidi"/>
          <w:sz w:val="20"/>
          <w:szCs w:val="20"/>
        </w:rPr>
      </w:pPr>
      <w:r w:rsidRPr="00F775BB">
        <w:rPr>
          <w:rStyle w:val="markedcontent"/>
          <w:rFonts w:asciiTheme="majorBidi" w:hAnsiTheme="majorBidi" w:cstheme="majorBidi"/>
          <w:b/>
          <w:bCs/>
          <w:sz w:val="24"/>
          <w:szCs w:val="24"/>
        </w:rPr>
        <w:t xml:space="preserve">Ensemencement dans </w:t>
      </w:r>
      <w:r w:rsidR="0005560C">
        <w:rPr>
          <w:rStyle w:val="markedcontent"/>
          <w:rFonts w:asciiTheme="majorBidi" w:hAnsiTheme="majorBidi" w:cstheme="majorBidi"/>
          <w:b/>
          <w:bCs/>
          <w:sz w:val="24"/>
          <w:szCs w:val="24"/>
        </w:rPr>
        <w:t>un milieu</w:t>
      </w:r>
      <w:r w:rsidRPr="00F775BB">
        <w:rPr>
          <w:rStyle w:val="markedcontent"/>
          <w:rFonts w:asciiTheme="majorBidi" w:hAnsiTheme="majorBidi" w:cstheme="majorBidi"/>
          <w:b/>
          <w:bCs/>
          <w:sz w:val="24"/>
          <w:szCs w:val="24"/>
        </w:rPr>
        <w:t xml:space="preserve"> semi-inclinée (culot + pente) :</w:t>
      </w:r>
      <w:r>
        <w:rPr>
          <w:rStyle w:val="markedcontent"/>
          <w:rFonts w:asciiTheme="majorBidi" w:hAnsiTheme="majorBidi" w:cstheme="majorBidi"/>
          <w:sz w:val="24"/>
          <w:szCs w:val="24"/>
        </w:rPr>
        <w:t xml:space="preserve"> </w:t>
      </w:r>
      <w:r w:rsidRPr="00F775BB">
        <w:rPr>
          <w:rStyle w:val="markedcontent"/>
          <w:rFonts w:asciiTheme="majorBidi" w:hAnsiTheme="majorBidi" w:cstheme="majorBidi"/>
          <w:sz w:val="24"/>
          <w:szCs w:val="24"/>
        </w:rPr>
        <w:t xml:space="preserve">le culot est classiquement ensemencé par piqure centrale </w:t>
      </w:r>
      <w:r w:rsidR="008233CE">
        <w:rPr>
          <w:rStyle w:val="markedcontent"/>
          <w:rFonts w:asciiTheme="majorBidi" w:hAnsiTheme="majorBidi" w:cstheme="majorBidi"/>
          <w:sz w:val="24"/>
          <w:szCs w:val="24"/>
        </w:rPr>
        <w:t>en utilisant la</w:t>
      </w:r>
      <w:r w:rsidRPr="00F775BB">
        <w:rPr>
          <w:rStyle w:val="markedcontent"/>
          <w:rFonts w:asciiTheme="majorBidi" w:hAnsiTheme="majorBidi" w:cstheme="majorBidi"/>
          <w:sz w:val="24"/>
          <w:szCs w:val="24"/>
        </w:rPr>
        <w:t xml:space="preserve"> pipette Pasteur boutonnée et</w:t>
      </w:r>
      <w:r w:rsidRPr="00F775BB">
        <w:rPr>
          <w:rFonts w:asciiTheme="majorBidi" w:hAnsiTheme="majorBidi" w:cstheme="majorBidi"/>
          <w:sz w:val="18"/>
          <w:szCs w:val="18"/>
        </w:rPr>
        <w:br/>
      </w:r>
      <w:r w:rsidRPr="00F775BB">
        <w:rPr>
          <w:rStyle w:val="markedcontent"/>
          <w:rFonts w:asciiTheme="majorBidi" w:hAnsiTheme="majorBidi" w:cstheme="majorBidi"/>
          <w:sz w:val="24"/>
          <w:szCs w:val="24"/>
        </w:rPr>
        <w:t>la pente par stries selon le principe de la gélose inclinée.</w:t>
      </w:r>
    </w:p>
    <w:p w:rsidR="001336B1" w:rsidRPr="00F775BB" w:rsidRDefault="001336B1" w:rsidP="000B352A">
      <w:pPr>
        <w:pStyle w:val="Paragraphedeliste"/>
        <w:spacing w:after="0"/>
        <w:jc w:val="both"/>
        <w:rPr>
          <w:rStyle w:val="markedcontent"/>
          <w:rFonts w:asciiTheme="majorBidi" w:hAnsiTheme="majorBidi" w:cstheme="majorBidi"/>
          <w:sz w:val="20"/>
          <w:szCs w:val="20"/>
        </w:rPr>
      </w:pPr>
    </w:p>
    <w:p w:rsidR="00F775BB" w:rsidRDefault="00F775BB" w:rsidP="000B352A">
      <w:pPr>
        <w:pStyle w:val="Paragraphedeliste"/>
        <w:spacing w:after="0"/>
        <w:jc w:val="center"/>
        <w:rPr>
          <w:rFonts w:asciiTheme="majorBidi" w:hAnsiTheme="majorBidi" w:cstheme="majorBidi"/>
          <w:sz w:val="20"/>
          <w:szCs w:val="20"/>
        </w:rPr>
      </w:pPr>
      <w:r>
        <w:rPr>
          <w:noProof/>
          <w:lang w:eastAsia="fr-FR"/>
        </w:rPr>
        <w:lastRenderedPageBreak/>
        <w:drawing>
          <wp:inline distT="0" distB="0" distL="0" distR="0">
            <wp:extent cx="4751454" cy="2142490"/>
            <wp:effectExtent l="19050" t="19050" r="11430" b="1016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776754" cy="2153898"/>
                    </a:xfrm>
                    <a:prstGeom prst="rect">
                      <a:avLst/>
                    </a:prstGeom>
                    <a:ln>
                      <a:solidFill>
                        <a:schemeClr val="tx1"/>
                      </a:solidFill>
                    </a:ln>
                  </pic:spPr>
                </pic:pic>
              </a:graphicData>
            </a:graphic>
          </wp:inline>
        </w:drawing>
      </w:r>
    </w:p>
    <w:p w:rsidR="00F775BB" w:rsidRDefault="00F775BB" w:rsidP="000B352A">
      <w:pPr>
        <w:pStyle w:val="Paragraphedeliste"/>
        <w:spacing w:after="0"/>
        <w:jc w:val="center"/>
        <w:rPr>
          <w:rFonts w:asciiTheme="majorBidi" w:hAnsiTheme="majorBidi" w:cstheme="majorBidi"/>
          <w:sz w:val="20"/>
          <w:szCs w:val="20"/>
        </w:rPr>
      </w:pPr>
    </w:p>
    <w:p w:rsidR="00F775BB" w:rsidRPr="001B12EE" w:rsidRDefault="003C545F" w:rsidP="000B352A">
      <w:pPr>
        <w:pStyle w:val="Paragraphedeliste"/>
        <w:numPr>
          <w:ilvl w:val="1"/>
          <w:numId w:val="26"/>
        </w:numPr>
        <w:spacing w:after="0"/>
        <w:rPr>
          <w:rStyle w:val="markedcontent"/>
          <w:rFonts w:asciiTheme="majorBidi" w:hAnsiTheme="majorBidi" w:cstheme="majorBidi"/>
          <w:b/>
          <w:bCs/>
          <w:sz w:val="16"/>
          <w:szCs w:val="16"/>
        </w:rPr>
      </w:pPr>
      <w:r>
        <w:rPr>
          <w:rStyle w:val="markedcontent"/>
          <w:rFonts w:asciiTheme="majorBidi" w:hAnsiTheme="majorBidi" w:cstheme="majorBidi"/>
          <w:b/>
          <w:bCs/>
          <w:sz w:val="24"/>
          <w:szCs w:val="24"/>
        </w:rPr>
        <w:t xml:space="preserve"> </w:t>
      </w:r>
      <w:r w:rsidR="00F775BB" w:rsidRPr="003C545F">
        <w:rPr>
          <w:rStyle w:val="markedcontent"/>
          <w:rFonts w:asciiTheme="majorBidi" w:hAnsiTheme="majorBidi" w:cstheme="majorBidi"/>
          <w:b/>
          <w:bCs/>
          <w:sz w:val="24"/>
          <w:szCs w:val="24"/>
        </w:rPr>
        <w:t xml:space="preserve">Ensemencement dans la boite de Pétri </w:t>
      </w:r>
      <w:r w:rsidR="00F775BB" w:rsidRPr="003C545F">
        <w:rPr>
          <w:rStyle w:val="markedcontent"/>
          <w:rFonts w:asciiTheme="majorBidi" w:hAnsiTheme="majorBidi" w:cstheme="majorBidi"/>
          <w:sz w:val="24"/>
          <w:szCs w:val="24"/>
        </w:rPr>
        <w:t>(contient le milieu de culture solide)</w:t>
      </w:r>
    </w:p>
    <w:p w:rsidR="00787B01" w:rsidRDefault="00F775BB" w:rsidP="000B352A">
      <w:pPr>
        <w:pStyle w:val="Paragraphedeliste"/>
        <w:numPr>
          <w:ilvl w:val="0"/>
          <w:numId w:val="20"/>
        </w:numPr>
        <w:spacing w:after="0"/>
        <w:jc w:val="both"/>
        <w:rPr>
          <w:rFonts w:asciiTheme="majorBidi" w:hAnsiTheme="majorBidi" w:cstheme="majorBidi"/>
          <w:sz w:val="24"/>
          <w:szCs w:val="24"/>
        </w:rPr>
      </w:pPr>
      <w:r w:rsidRPr="00787B01">
        <w:rPr>
          <w:rFonts w:ascii="Times New Roman" w:hAnsi="Times New Roman" w:cs="Times New Roman"/>
          <w:b/>
          <w:sz w:val="24"/>
          <w:szCs w:val="24"/>
        </w:rPr>
        <w:t>Ensemencement dans la masse</w:t>
      </w:r>
      <w:r w:rsidR="00787B01">
        <w:rPr>
          <w:rFonts w:ascii="Times New Roman" w:hAnsi="Times New Roman" w:cs="Times New Roman"/>
          <w:b/>
          <w:sz w:val="24"/>
          <w:szCs w:val="24"/>
        </w:rPr>
        <w:t xml:space="preserve"> </w:t>
      </w:r>
      <w:r w:rsidRPr="00787B01">
        <w:rPr>
          <w:rFonts w:ascii="Times New Roman" w:hAnsi="Times New Roman" w:cs="Times New Roman"/>
          <w:b/>
          <w:sz w:val="24"/>
          <w:szCs w:val="24"/>
        </w:rPr>
        <w:t>:</w:t>
      </w:r>
      <w:r w:rsidR="00787B01" w:rsidRPr="00787B01">
        <w:rPr>
          <w:rFonts w:asciiTheme="majorBidi" w:hAnsiTheme="majorBidi" w:cstheme="majorBidi"/>
          <w:sz w:val="24"/>
          <w:szCs w:val="24"/>
        </w:rPr>
        <w:t xml:space="preserve"> Dans cette méthode</w:t>
      </w:r>
      <w:r w:rsidR="008203C0">
        <w:rPr>
          <w:rFonts w:asciiTheme="majorBidi" w:hAnsiTheme="majorBidi" w:cstheme="majorBidi"/>
          <w:sz w:val="24"/>
          <w:szCs w:val="24"/>
        </w:rPr>
        <w:t>,</w:t>
      </w:r>
      <w:r w:rsidR="00787B01" w:rsidRPr="00787B01">
        <w:rPr>
          <w:rFonts w:asciiTheme="majorBidi" w:hAnsiTheme="majorBidi" w:cstheme="majorBidi"/>
          <w:sz w:val="24"/>
          <w:szCs w:val="24"/>
        </w:rPr>
        <w:t xml:space="preserve"> l’inoculum est mélangé avec le milieu gélosé avant solidification de ce dernier c’est-à-dire lorsqu’il est dans un état de surfusion </w:t>
      </w:r>
      <w:r w:rsidR="00787B01" w:rsidRPr="008203C0">
        <w:rPr>
          <w:rFonts w:asciiTheme="majorBidi" w:hAnsiTheme="majorBidi" w:cstheme="majorBidi"/>
          <w:sz w:val="24"/>
          <w:szCs w:val="24"/>
        </w:rPr>
        <w:t>(45°), cette méthode est utilisée pour le dénombrement bactérien.</w:t>
      </w:r>
    </w:p>
    <w:p w:rsidR="001B12EE" w:rsidRPr="006948DC" w:rsidRDefault="001B12EE" w:rsidP="000B352A">
      <w:pPr>
        <w:pStyle w:val="Paragraphedeliste"/>
        <w:spacing w:after="0"/>
        <w:jc w:val="both"/>
        <w:rPr>
          <w:rFonts w:asciiTheme="majorBidi" w:hAnsiTheme="majorBidi" w:cstheme="majorBidi"/>
          <w:sz w:val="16"/>
          <w:szCs w:val="16"/>
        </w:rPr>
      </w:pPr>
    </w:p>
    <w:p w:rsidR="00CB744F" w:rsidRDefault="00CB744F" w:rsidP="000B352A">
      <w:pPr>
        <w:spacing w:after="0"/>
        <w:ind w:left="360"/>
        <w:jc w:val="center"/>
        <w:rPr>
          <w:rFonts w:asciiTheme="majorBidi" w:hAnsiTheme="majorBidi" w:cstheme="majorBidi"/>
          <w:sz w:val="24"/>
          <w:szCs w:val="24"/>
        </w:rPr>
      </w:pPr>
      <w:r w:rsidRPr="00CB744F">
        <w:rPr>
          <w:rFonts w:asciiTheme="majorBidi" w:hAnsiTheme="majorBidi" w:cstheme="majorBidi"/>
          <w:noProof/>
          <w:sz w:val="24"/>
          <w:szCs w:val="24"/>
          <w:lang w:eastAsia="fr-FR"/>
        </w:rPr>
        <w:drawing>
          <wp:inline distT="0" distB="0" distL="0" distR="0">
            <wp:extent cx="5695315" cy="1790700"/>
            <wp:effectExtent l="19050" t="19050" r="19685" b="19050"/>
            <wp:docPr id="2" name="Image 2" descr="C:\Users\SONY\Desktop\5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Desktop\5871.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5423" cy="1790734"/>
                    </a:xfrm>
                    <a:prstGeom prst="rect">
                      <a:avLst/>
                    </a:prstGeom>
                    <a:noFill/>
                    <a:ln>
                      <a:solidFill>
                        <a:schemeClr val="tx1"/>
                      </a:solidFill>
                    </a:ln>
                  </pic:spPr>
                </pic:pic>
              </a:graphicData>
            </a:graphic>
          </wp:inline>
        </w:drawing>
      </w:r>
    </w:p>
    <w:p w:rsidR="00CB744F" w:rsidRPr="006948DC" w:rsidRDefault="00CB744F" w:rsidP="000B352A">
      <w:pPr>
        <w:spacing w:after="0"/>
        <w:ind w:left="360"/>
        <w:jc w:val="center"/>
        <w:rPr>
          <w:rFonts w:asciiTheme="majorBidi" w:hAnsiTheme="majorBidi" w:cstheme="majorBidi"/>
          <w:sz w:val="16"/>
          <w:szCs w:val="16"/>
        </w:rPr>
      </w:pPr>
    </w:p>
    <w:p w:rsidR="00CB744F" w:rsidRDefault="00787B01" w:rsidP="00A95133">
      <w:pPr>
        <w:pStyle w:val="Paragraphedeliste"/>
        <w:numPr>
          <w:ilvl w:val="0"/>
          <w:numId w:val="20"/>
        </w:numPr>
        <w:spacing w:after="0"/>
        <w:jc w:val="both"/>
        <w:rPr>
          <w:rFonts w:asciiTheme="majorBidi" w:hAnsiTheme="majorBidi" w:cstheme="majorBidi"/>
          <w:sz w:val="24"/>
          <w:szCs w:val="24"/>
        </w:rPr>
      </w:pPr>
      <w:r w:rsidRPr="00787B01">
        <w:rPr>
          <w:rFonts w:asciiTheme="majorBidi" w:hAnsiTheme="majorBidi" w:cstheme="majorBidi"/>
          <w:b/>
          <w:bCs/>
          <w:sz w:val="24"/>
          <w:szCs w:val="24"/>
        </w:rPr>
        <w:t>Ensemencement par inondation (en nappe) :</w:t>
      </w:r>
      <w:r w:rsidRPr="00787B01">
        <w:rPr>
          <w:rFonts w:asciiTheme="majorBidi" w:hAnsiTheme="majorBidi" w:cstheme="majorBidi"/>
          <w:sz w:val="24"/>
          <w:szCs w:val="24"/>
        </w:rPr>
        <w:t xml:space="preserve"> On inonde la surfac</w:t>
      </w:r>
      <w:r w:rsidR="00A95133">
        <w:rPr>
          <w:rFonts w:asciiTheme="majorBidi" w:hAnsiTheme="majorBidi" w:cstheme="majorBidi"/>
          <w:sz w:val="24"/>
          <w:szCs w:val="24"/>
        </w:rPr>
        <w:t>e du milieu gélosé en boite de P</w:t>
      </w:r>
      <w:r w:rsidRPr="00787B01">
        <w:rPr>
          <w:rFonts w:asciiTheme="majorBidi" w:hAnsiTheme="majorBidi" w:cstheme="majorBidi"/>
          <w:sz w:val="24"/>
          <w:szCs w:val="24"/>
        </w:rPr>
        <w:t xml:space="preserve">étri par l’inoculum </w:t>
      </w:r>
      <w:r w:rsidR="00A95133">
        <w:rPr>
          <w:rFonts w:asciiTheme="majorBidi" w:hAnsiTheme="majorBidi" w:cstheme="majorBidi"/>
          <w:sz w:val="24"/>
          <w:szCs w:val="24"/>
        </w:rPr>
        <w:t xml:space="preserve">(3 à 5 ml) </w:t>
      </w:r>
      <w:r w:rsidRPr="00787B01">
        <w:rPr>
          <w:rFonts w:asciiTheme="majorBidi" w:hAnsiTheme="majorBidi" w:cstheme="majorBidi"/>
          <w:sz w:val="24"/>
          <w:szCs w:val="24"/>
        </w:rPr>
        <w:t xml:space="preserve">et on le réparti uniformément ensuite on ré-aspire l’excès d’inoculum ; et on met à sécher à l’étuve pendant quelques minutes à 37°C. (Ex. test antibiogramme CASFM). </w:t>
      </w:r>
      <w:bookmarkStart w:id="0" w:name="_GoBack"/>
      <w:bookmarkEnd w:id="0"/>
    </w:p>
    <w:p w:rsidR="00110510" w:rsidRPr="006948DC" w:rsidRDefault="00110510" w:rsidP="00110510">
      <w:pPr>
        <w:pStyle w:val="Paragraphedeliste"/>
        <w:spacing w:after="0"/>
        <w:jc w:val="both"/>
        <w:rPr>
          <w:rFonts w:asciiTheme="majorBidi" w:hAnsiTheme="majorBidi" w:cstheme="majorBidi"/>
          <w:sz w:val="8"/>
          <w:szCs w:val="8"/>
        </w:rPr>
      </w:pPr>
    </w:p>
    <w:p w:rsidR="00110510" w:rsidRDefault="00110510" w:rsidP="00A95133">
      <w:pPr>
        <w:pStyle w:val="Paragraphedeliste"/>
        <w:numPr>
          <w:ilvl w:val="0"/>
          <w:numId w:val="20"/>
        </w:numPr>
        <w:spacing w:after="0"/>
        <w:jc w:val="both"/>
        <w:rPr>
          <w:rFonts w:ascii="Times New Roman" w:hAnsi="Times New Roman" w:cs="Times New Roman"/>
          <w:sz w:val="24"/>
          <w:szCs w:val="24"/>
        </w:rPr>
      </w:pPr>
      <w:r w:rsidRPr="00110510">
        <w:rPr>
          <w:rFonts w:ascii="Times New Roman" w:hAnsi="Times New Roman" w:cs="Times New Roman"/>
          <w:b/>
          <w:bCs/>
          <w:sz w:val="24"/>
          <w:szCs w:val="24"/>
        </w:rPr>
        <w:t>Ensemencement p</w:t>
      </w:r>
      <w:r w:rsidRPr="00110510">
        <w:rPr>
          <w:rFonts w:ascii="Times New Roman" w:hAnsi="Times New Roman" w:cs="Times New Roman"/>
          <w:b/>
          <w:sz w:val="24"/>
          <w:szCs w:val="24"/>
        </w:rPr>
        <w:t>ar étalement</w:t>
      </w:r>
      <w:r w:rsidRPr="00110510">
        <w:rPr>
          <w:rFonts w:ascii="Times New Roman" w:hAnsi="Times New Roman" w:cs="Times New Roman"/>
          <w:sz w:val="24"/>
          <w:szCs w:val="24"/>
        </w:rPr>
        <w:t xml:space="preserve"> (utilisé pour le dénombrement microbien) </w:t>
      </w:r>
    </w:p>
    <w:p w:rsidR="00110510" w:rsidRPr="00110510" w:rsidRDefault="00110510" w:rsidP="00110510">
      <w:pPr>
        <w:spacing w:after="0"/>
        <w:ind w:left="708"/>
        <w:jc w:val="both"/>
        <w:rPr>
          <w:rFonts w:ascii="Times New Roman" w:hAnsi="Times New Roman" w:cs="Times New Roman"/>
          <w:sz w:val="24"/>
          <w:szCs w:val="24"/>
        </w:rPr>
      </w:pPr>
      <w:r w:rsidRPr="00110510">
        <w:rPr>
          <w:rFonts w:ascii="Times New Roman" w:hAnsi="Times New Roman" w:cs="Times New Roman"/>
          <w:sz w:val="24"/>
          <w:szCs w:val="24"/>
        </w:rPr>
        <w:t>Déposer 100 µl de suspension du germe à la surface du milieu</w:t>
      </w:r>
      <w:r>
        <w:rPr>
          <w:rFonts w:ascii="Times New Roman" w:hAnsi="Times New Roman" w:cs="Times New Roman"/>
          <w:sz w:val="24"/>
          <w:szCs w:val="24"/>
        </w:rPr>
        <w:t xml:space="preserve"> de culture coulé et solidifié. </w:t>
      </w:r>
      <w:r w:rsidRPr="00110510">
        <w:rPr>
          <w:rFonts w:ascii="Times New Roman" w:hAnsi="Times New Roman" w:cs="Times New Roman"/>
          <w:sz w:val="24"/>
          <w:szCs w:val="24"/>
        </w:rPr>
        <w:t xml:space="preserve">Constituer un râteau (étaloir) à </w:t>
      </w:r>
      <w:r>
        <w:rPr>
          <w:rFonts w:ascii="Times New Roman" w:hAnsi="Times New Roman" w:cs="Times New Roman"/>
          <w:sz w:val="24"/>
          <w:szCs w:val="24"/>
        </w:rPr>
        <w:t xml:space="preserve">l’aide d’une pipette Pasteur. </w:t>
      </w:r>
      <w:r w:rsidRPr="00110510">
        <w:rPr>
          <w:rFonts w:ascii="Times New Roman" w:hAnsi="Times New Roman" w:cs="Times New Roman"/>
          <w:sz w:val="24"/>
          <w:szCs w:val="24"/>
        </w:rPr>
        <w:t>Etaler la goutte de suspension par ce râteau, puis incuber.</w:t>
      </w:r>
    </w:p>
    <w:p w:rsidR="00A95133" w:rsidRPr="006948DC" w:rsidRDefault="00A95133" w:rsidP="00A95133">
      <w:pPr>
        <w:pStyle w:val="Paragraphedeliste"/>
        <w:spacing w:after="0"/>
        <w:jc w:val="both"/>
        <w:rPr>
          <w:rFonts w:asciiTheme="majorBidi" w:hAnsiTheme="majorBidi" w:cstheme="majorBidi"/>
          <w:sz w:val="8"/>
          <w:szCs w:val="8"/>
        </w:rPr>
      </w:pPr>
    </w:p>
    <w:p w:rsidR="007D3639" w:rsidRPr="00A0745E" w:rsidRDefault="007D3639" w:rsidP="00BC3553">
      <w:pPr>
        <w:pStyle w:val="Paragraphedeliste"/>
        <w:numPr>
          <w:ilvl w:val="0"/>
          <w:numId w:val="20"/>
        </w:numPr>
        <w:spacing w:after="0"/>
        <w:jc w:val="both"/>
        <w:rPr>
          <w:rFonts w:asciiTheme="majorBidi" w:hAnsiTheme="majorBidi" w:cstheme="majorBidi"/>
          <w:sz w:val="24"/>
          <w:szCs w:val="24"/>
        </w:rPr>
      </w:pPr>
      <w:r w:rsidRPr="001336B1">
        <w:rPr>
          <w:rFonts w:asciiTheme="majorBidi" w:hAnsiTheme="majorBidi" w:cstheme="majorBidi"/>
          <w:b/>
          <w:bCs/>
          <w:sz w:val="24"/>
          <w:szCs w:val="24"/>
        </w:rPr>
        <w:t>Ensemencement par</w:t>
      </w:r>
      <w:r>
        <w:rPr>
          <w:rFonts w:asciiTheme="majorBidi" w:hAnsiTheme="majorBidi" w:cstheme="majorBidi"/>
          <w:b/>
          <w:bCs/>
          <w:sz w:val="24"/>
          <w:szCs w:val="24"/>
        </w:rPr>
        <w:t xml:space="preserve"> stries : </w:t>
      </w:r>
      <w:r w:rsidR="0089631D">
        <w:rPr>
          <w:rFonts w:asciiTheme="majorBidi" w:hAnsiTheme="majorBidi" w:cstheme="majorBidi"/>
          <w:sz w:val="24"/>
          <w:szCs w:val="24"/>
        </w:rPr>
        <w:t>s</w:t>
      </w:r>
      <w:r w:rsidR="002208FF" w:rsidRPr="00BC3553">
        <w:rPr>
          <w:rFonts w:asciiTheme="majorBidi" w:hAnsiTheme="majorBidi" w:cstheme="majorBidi"/>
          <w:sz w:val="24"/>
          <w:szCs w:val="24"/>
        </w:rPr>
        <w:t xml:space="preserve">’effectue </w:t>
      </w:r>
      <w:r w:rsidR="00BC3553" w:rsidRPr="00BC3553">
        <w:rPr>
          <w:rFonts w:asciiTheme="majorBidi" w:hAnsiTheme="majorBidi" w:cstheme="majorBidi"/>
          <w:sz w:val="24"/>
          <w:szCs w:val="24"/>
        </w:rPr>
        <w:t>par stries d’épuisement</w:t>
      </w:r>
      <w:r w:rsidR="00BC3553">
        <w:rPr>
          <w:rFonts w:asciiTheme="majorBidi" w:hAnsiTheme="majorBidi" w:cstheme="majorBidi"/>
          <w:b/>
          <w:bCs/>
          <w:sz w:val="24"/>
          <w:szCs w:val="24"/>
        </w:rPr>
        <w:t xml:space="preserve"> </w:t>
      </w:r>
      <w:r w:rsidR="00BC3553">
        <w:rPr>
          <w:rFonts w:asciiTheme="majorBidi" w:hAnsiTheme="majorBidi" w:cstheme="majorBidi"/>
          <w:sz w:val="24"/>
          <w:szCs w:val="24"/>
        </w:rPr>
        <w:t>en</w:t>
      </w:r>
      <w:r w:rsidR="00BC3553" w:rsidRPr="00BC3553">
        <w:rPr>
          <w:rFonts w:asciiTheme="majorBidi" w:hAnsiTheme="majorBidi" w:cstheme="majorBidi"/>
          <w:sz w:val="24"/>
          <w:szCs w:val="24"/>
        </w:rPr>
        <w:t xml:space="preserve"> trois ou quatre quadrants</w:t>
      </w:r>
      <w:r w:rsidR="00BC3553">
        <w:rPr>
          <w:rFonts w:asciiTheme="majorBidi" w:hAnsiTheme="majorBidi" w:cstheme="majorBidi"/>
          <w:b/>
          <w:bCs/>
          <w:sz w:val="24"/>
          <w:szCs w:val="24"/>
        </w:rPr>
        <w:t xml:space="preserve"> (</w:t>
      </w:r>
      <w:r w:rsidRPr="007D3639">
        <w:rPr>
          <w:rFonts w:asciiTheme="majorBidi" w:hAnsiTheme="majorBidi" w:cstheme="majorBidi"/>
          <w:sz w:val="24"/>
          <w:szCs w:val="24"/>
        </w:rPr>
        <w:t>Voir techniques d’isolement</w:t>
      </w:r>
      <w:r w:rsidR="00BC3553">
        <w:rPr>
          <w:rFonts w:asciiTheme="majorBidi" w:hAnsiTheme="majorBidi" w:cstheme="majorBidi"/>
          <w:sz w:val="24"/>
          <w:szCs w:val="24"/>
        </w:rPr>
        <w:t>)</w:t>
      </w:r>
      <w:r>
        <w:rPr>
          <w:rFonts w:asciiTheme="majorBidi" w:hAnsiTheme="majorBidi" w:cstheme="majorBidi"/>
          <w:b/>
          <w:bCs/>
          <w:sz w:val="24"/>
          <w:szCs w:val="24"/>
        </w:rPr>
        <w:t>.</w:t>
      </w:r>
    </w:p>
    <w:p w:rsidR="00A0745E" w:rsidRPr="006948DC" w:rsidRDefault="00A0745E" w:rsidP="00A0745E">
      <w:pPr>
        <w:spacing w:after="0"/>
        <w:jc w:val="both"/>
        <w:rPr>
          <w:rFonts w:asciiTheme="majorBidi" w:hAnsiTheme="majorBidi" w:cstheme="majorBidi"/>
          <w:sz w:val="12"/>
          <w:szCs w:val="12"/>
        </w:rPr>
      </w:pPr>
    </w:p>
    <w:p w:rsidR="00C2473E" w:rsidRDefault="00C2473E" w:rsidP="000B352A">
      <w:pPr>
        <w:pStyle w:val="Paragraphedeliste"/>
        <w:numPr>
          <w:ilvl w:val="0"/>
          <w:numId w:val="20"/>
        </w:numPr>
        <w:spacing w:after="0"/>
        <w:jc w:val="both"/>
        <w:rPr>
          <w:rFonts w:asciiTheme="majorBidi" w:hAnsiTheme="majorBidi" w:cstheme="majorBidi"/>
          <w:sz w:val="24"/>
          <w:szCs w:val="24"/>
        </w:rPr>
      </w:pPr>
      <w:r w:rsidRPr="001336B1">
        <w:rPr>
          <w:rFonts w:asciiTheme="majorBidi" w:hAnsiTheme="majorBidi" w:cstheme="majorBidi"/>
          <w:b/>
          <w:bCs/>
          <w:sz w:val="24"/>
          <w:szCs w:val="24"/>
        </w:rPr>
        <w:t>Ensemencement par spots :</w:t>
      </w:r>
      <w:r w:rsidRPr="001336B1">
        <w:rPr>
          <w:rFonts w:asciiTheme="majorBidi" w:hAnsiTheme="majorBidi" w:cstheme="majorBidi"/>
          <w:sz w:val="24"/>
          <w:szCs w:val="24"/>
        </w:rPr>
        <w:t xml:space="preserve"> l’inoculum concentré est déposé </w:t>
      </w:r>
      <w:r w:rsidR="00C52834">
        <w:rPr>
          <w:rFonts w:asciiTheme="majorBidi" w:hAnsiTheme="majorBidi" w:cstheme="majorBidi"/>
          <w:sz w:val="24"/>
          <w:szCs w:val="24"/>
        </w:rPr>
        <w:t xml:space="preserve">à l’aide d’un écouvillon </w:t>
      </w:r>
      <w:r w:rsidRPr="001336B1">
        <w:rPr>
          <w:rFonts w:asciiTheme="majorBidi" w:hAnsiTheme="majorBidi" w:cstheme="majorBidi"/>
          <w:sz w:val="24"/>
          <w:szCs w:val="24"/>
        </w:rPr>
        <w:t>sur une petite surface de milieu (quelques millimètres de diamètres)</w:t>
      </w:r>
      <w:r w:rsidR="00250DB6">
        <w:rPr>
          <w:rFonts w:asciiTheme="majorBidi" w:hAnsiTheme="majorBidi" w:cstheme="majorBidi"/>
          <w:sz w:val="24"/>
          <w:szCs w:val="24"/>
        </w:rPr>
        <w:t>. C</w:t>
      </w:r>
      <w:r w:rsidRPr="001336B1">
        <w:rPr>
          <w:rFonts w:asciiTheme="majorBidi" w:hAnsiTheme="majorBidi" w:cstheme="majorBidi"/>
          <w:sz w:val="24"/>
          <w:szCs w:val="24"/>
        </w:rPr>
        <w:t>ette technique permet de faire plusieurs essais de</w:t>
      </w:r>
      <w:r w:rsidR="007D3639">
        <w:rPr>
          <w:rFonts w:asciiTheme="majorBidi" w:hAnsiTheme="majorBidi" w:cstheme="majorBidi"/>
          <w:sz w:val="24"/>
          <w:szCs w:val="24"/>
        </w:rPr>
        <w:t xml:space="preserve"> cultures sur la même boite (E</w:t>
      </w:r>
      <w:r w:rsidRPr="001336B1">
        <w:rPr>
          <w:rFonts w:asciiTheme="majorBidi" w:hAnsiTheme="majorBidi" w:cstheme="majorBidi"/>
          <w:sz w:val="24"/>
          <w:szCs w:val="24"/>
        </w:rPr>
        <w:t>x</w:t>
      </w:r>
      <w:r w:rsidR="007D3639">
        <w:rPr>
          <w:rFonts w:asciiTheme="majorBidi" w:hAnsiTheme="majorBidi" w:cstheme="majorBidi"/>
          <w:sz w:val="24"/>
          <w:szCs w:val="24"/>
        </w:rPr>
        <w:t>.</w:t>
      </w:r>
      <w:r w:rsidRPr="001336B1">
        <w:rPr>
          <w:rFonts w:asciiTheme="majorBidi" w:hAnsiTheme="majorBidi" w:cstheme="majorBidi"/>
          <w:sz w:val="24"/>
          <w:szCs w:val="24"/>
        </w:rPr>
        <w:t xml:space="preserve"> tester plusieurs souches). </w:t>
      </w:r>
    </w:p>
    <w:p w:rsidR="006948DC" w:rsidRPr="006948DC" w:rsidRDefault="006948DC" w:rsidP="006948DC">
      <w:pPr>
        <w:pStyle w:val="Paragraphedeliste"/>
        <w:rPr>
          <w:rFonts w:asciiTheme="majorBidi" w:hAnsiTheme="majorBidi" w:cstheme="majorBidi"/>
          <w:sz w:val="8"/>
          <w:szCs w:val="8"/>
        </w:rPr>
      </w:pPr>
    </w:p>
    <w:p w:rsidR="00C2473E" w:rsidRPr="005503CF" w:rsidRDefault="00C2473E" w:rsidP="000B352A">
      <w:pPr>
        <w:pStyle w:val="Paragraphedeliste"/>
        <w:numPr>
          <w:ilvl w:val="0"/>
          <w:numId w:val="20"/>
        </w:numPr>
        <w:spacing w:after="0"/>
        <w:jc w:val="both"/>
        <w:rPr>
          <w:rFonts w:asciiTheme="majorBidi" w:hAnsiTheme="majorBidi" w:cstheme="majorBidi"/>
          <w:b/>
          <w:bCs/>
          <w:sz w:val="24"/>
          <w:szCs w:val="24"/>
        </w:rPr>
      </w:pPr>
      <w:r w:rsidRPr="00787B01">
        <w:rPr>
          <w:rFonts w:asciiTheme="majorBidi" w:hAnsiTheme="majorBidi" w:cstheme="majorBidi"/>
          <w:b/>
          <w:bCs/>
          <w:sz w:val="24"/>
          <w:szCs w:val="24"/>
        </w:rPr>
        <w:t>Ensemencement par écouvillonnage :</w:t>
      </w:r>
      <w:r w:rsidRPr="00787B01">
        <w:rPr>
          <w:rFonts w:asciiTheme="majorBidi" w:hAnsiTheme="majorBidi" w:cstheme="majorBidi"/>
          <w:sz w:val="24"/>
          <w:szCs w:val="24"/>
        </w:rPr>
        <w:t xml:space="preserve"> Tremper un écouvillon stérile dans une solution ou une suspension bactrienne puis ensemencer la surface de la gélo</w:t>
      </w:r>
      <w:r w:rsidR="006948DC">
        <w:rPr>
          <w:rFonts w:asciiTheme="majorBidi" w:hAnsiTheme="majorBidi" w:cstheme="majorBidi"/>
          <w:sz w:val="24"/>
          <w:szCs w:val="24"/>
        </w:rPr>
        <w:t>se. (Ex. test antibiogramme</w:t>
      </w:r>
      <w:r w:rsidRPr="00787B01">
        <w:rPr>
          <w:rFonts w:asciiTheme="majorBidi" w:hAnsiTheme="majorBidi" w:cstheme="majorBidi"/>
          <w:sz w:val="24"/>
          <w:szCs w:val="24"/>
        </w:rPr>
        <w:t>).</w:t>
      </w:r>
    </w:p>
    <w:p w:rsidR="005503CF" w:rsidRPr="005503CF" w:rsidRDefault="005503CF" w:rsidP="000B352A">
      <w:pPr>
        <w:pStyle w:val="Default"/>
        <w:spacing w:line="276" w:lineRule="auto"/>
        <w:jc w:val="both"/>
        <w:rPr>
          <w:rFonts w:asciiTheme="majorBidi" w:hAnsiTheme="majorBidi" w:cstheme="majorBidi"/>
        </w:rPr>
      </w:pPr>
    </w:p>
    <w:p w:rsidR="005503CF" w:rsidRDefault="000B352A" w:rsidP="00891E55">
      <w:pPr>
        <w:pStyle w:val="Default"/>
        <w:numPr>
          <w:ilvl w:val="0"/>
          <w:numId w:val="24"/>
        </w:numPr>
        <w:jc w:val="both"/>
        <w:rPr>
          <w:rFonts w:asciiTheme="majorBidi" w:hAnsiTheme="majorBidi" w:cstheme="majorBidi"/>
          <w:b/>
          <w:bCs/>
        </w:rPr>
      </w:pPr>
      <w:r w:rsidRPr="000B352A">
        <w:rPr>
          <w:rFonts w:asciiTheme="majorBidi" w:hAnsiTheme="majorBidi" w:cstheme="majorBidi"/>
          <w:b/>
          <w:bCs/>
        </w:rPr>
        <w:lastRenderedPageBreak/>
        <w:t xml:space="preserve">Techniques d’isolement </w:t>
      </w:r>
      <w:r w:rsidR="005503CF" w:rsidRPr="000B352A">
        <w:rPr>
          <w:rFonts w:asciiTheme="majorBidi" w:hAnsiTheme="majorBidi" w:cstheme="majorBidi"/>
          <w:b/>
          <w:bCs/>
        </w:rPr>
        <w:t xml:space="preserve"> </w:t>
      </w:r>
    </w:p>
    <w:p w:rsidR="00D9637D" w:rsidRPr="005503CF" w:rsidRDefault="0089631D" w:rsidP="00891E55">
      <w:pPr>
        <w:pStyle w:val="Default"/>
        <w:jc w:val="both"/>
        <w:rPr>
          <w:rFonts w:asciiTheme="majorBidi" w:hAnsiTheme="majorBidi" w:cstheme="majorBidi"/>
        </w:rPr>
      </w:pPr>
      <w:r>
        <w:rPr>
          <w:rFonts w:asciiTheme="majorBidi" w:hAnsiTheme="majorBidi" w:cstheme="majorBidi"/>
        </w:rPr>
        <w:t>Ces</w:t>
      </w:r>
      <w:r w:rsidR="00D9637D" w:rsidRPr="005503CF">
        <w:rPr>
          <w:rFonts w:asciiTheme="majorBidi" w:hAnsiTheme="majorBidi" w:cstheme="majorBidi"/>
        </w:rPr>
        <w:t xml:space="preserve"> technique</w:t>
      </w:r>
      <w:r>
        <w:rPr>
          <w:rFonts w:asciiTheme="majorBidi" w:hAnsiTheme="majorBidi" w:cstheme="majorBidi"/>
        </w:rPr>
        <w:t>s</w:t>
      </w:r>
      <w:r w:rsidR="00D9637D" w:rsidRPr="005503CF">
        <w:rPr>
          <w:rFonts w:asciiTheme="majorBidi" w:hAnsiTheme="majorBidi" w:cstheme="majorBidi"/>
        </w:rPr>
        <w:t xml:space="preserve"> </w:t>
      </w:r>
      <w:r w:rsidRPr="005503CF">
        <w:rPr>
          <w:rFonts w:asciiTheme="majorBidi" w:hAnsiTheme="majorBidi" w:cstheme="majorBidi"/>
        </w:rPr>
        <w:t>permettent</w:t>
      </w:r>
      <w:r w:rsidR="00D9637D" w:rsidRPr="005503CF">
        <w:rPr>
          <w:rFonts w:asciiTheme="majorBidi" w:hAnsiTheme="majorBidi" w:cstheme="majorBidi"/>
        </w:rPr>
        <w:t xml:space="preserve"> de sépa</w:t>
      </w:r>
      <w:r>
        <w:rPr>
          <w:rFonts w:asciiTheme="majorBidi" w:hAnsiTheme="majorBidi" w:cstheme="majorBidi"/>
        </w:rPr>
        <w:t xml:space="preserve">rer divers micro-organismes </w:t>
      </w:r>
      <w:r w:rsidR="00D9637D" w:rsidRPr="005503CF">
        <w:rPr>
          <w:rFonts w:asciiTheme="majorBidi" w:hAnsiTheme="majorBidi" w:cstheme="majorBidi"/>
        </w:rPr>
        <w:t xml:space="preserve">contenus dans </w:t>
      </w:r>
      <w:r w:rsidR="00C52834">
        <w:rPr>
          <w:rFonts w:asciiTheme="majorBidi" w:hAnsiTheme="majorBidi" w:cstheme="majorBidi"/>
        </w:rPr>
        <w:t>un</w:t>
      </w:r>
      <w:r w:rsidR="00D9637D" w:rsidRPr="005503CF">
        <w:rPr>
          <w:rFonts w:asciiTheme="majorBidi" w:hAnsiTheme="majorBidi" w:cstheme="majorBidi"/>
        </w:rPr>
        <w:t xml:space="preserve"> prélèvement initial. Un iso</w:t>
      </w:r>
      <w:r w:rsidR="00D9637D">
        <w:rPr>
          <w:rFonts w:asciiTheme="majorBidi" w:hAnsiTheme="majorBidi" w:cstheme="majorBidi"/>
        </w:rPr>
        <w:t xml:space="preserve">lement peut être envisagé pour : </w:t>
      </w:r>
      <w:r w:rsidR="00D9637D" w:rsidRPr="005503CF">
        <w:rPr>
          <w:rFonts w:asciiTheme="majorBidi" w:hAnsiTheme="majorBidi" w:cstheme="majorBidi"/>
        </w:rPr>
        <w:t>séparer des micro-organismes différents au sein d'un mélange, purifier une souche cont</w:t>
      </w:r>
      <w:r w:rsidR="00C80556">
        <w:rPr>
          <w:rFonts w:asciiTheme="majorBidi" w:hAnsiTheme="majorBidi" w:cstheme="majorBidi"/>
        </w:rPr>
        <w:t>aminée ou contrôler sa pureté.</w:t>
      </w:r>
    </w:p>
    <w:p w:rsidR="00D9637D" w:rsidRPr="00891E55" w:rsidRDefault="00D9637D" w:rsidP="00891E55">
      <w:pPr>
        <w:pStyle w:val="Default"/>
        <w:jc w:val="both"/>
        <w:rPr>
          <w:rFonts w:asciiTheme="majorBidi" w:hAnsiTheme="majorBidi" w:cstheme="majorBidi"/>
          <w:b/>
          <w:bCs/>
          <w:sz w:val="16"/>
          <w:szCs w:val="16"/>
        </w:rPr>
      </w:pPr>
    </w:p>
    <w:p w:rsidR="000B352A" w:rsidRDefault="000B352A" w:rsidP="00891E55">
      <w:pPr>
        <w:pStyle w:val="Default"/>
        <w:jc w:val="both"/>
        <w:rPr>
          <w:rFonts w:asciiTheme="majorBidi" w:hAnsiTheme="majorBidi" w:cstheme="majorBidi"/>
          <w:b/>
          <w:bCs/>
        </w:rPr>
      </w:pPr>
      <w:r w:rsidRPr="000B352A">
        <w:rPr>
          <w:rFonts w:asciiTheme="majorBidi" w:hAnsiTheme="majorBidi" w:cstheme="majorBidi"/>
          <w:b/>
          <w:bCs/>
        </w:rPr>
        <w:t xml:space="preserve">3.1. </w:t>
      </w:r>
      <w:r w:rsidR="005503CF" w:rsidRPr="000B352A">
        <w:rPr>
          <w:rFonts w:asciiTheme="majorBidi" w:hAnsiTheme="majorBidi" w:cstheme="majorBidi"/>
          <w:b/>
          <w:bCs/>
        </w:rPr>
        <w:t>Technique d’isolement par épuisement</w:t>
      </w:r>
      <w:r w:rsidRPr="000B352A">
        <w:rPr>
          <w:rFonts w:asciiTheme="majorBidi" w:hAnsiTheme="majorBidi" w:cstheme="majorBidi"/>
          <w:b/>
          <w:bCs/>
        </w:rPr>
        <w:t xml:space="preserve"> en quatre secteurs ou cadrans</w:t>
      </w:r>
    </w:p>
    <w:p w:rsidR="00D9637D" w:rsidRPr="00D9637D" w:rsidRDefault="00D9637D" w:rsidP="00891E55">
      <w:pPr>
        <w:pStyle w:val="Default"/>
        <w:jc w:val="both"/>
        <w:rPr>
          <w:rFonts w:asciiTheme="majorBidi" w:hAnsiTheme="majorBidi" w:cstheme="majorBidi"/>
        </w:rPr>
      </w:pPr>
      <w:r w:rsidRPr="00D9637D">
        <w:rPr>
          <w:rFonts w:asciiTheme="majorBidi" w:hAnsiTheme="majorBidi" w:cstheme="majorBidi"/>
        </w:rPr>
        <w:t xml:space="preserve">Les étapes sont : </w:t>
      </w:r>
    </w:p>
    <w:p w:rsidR="005503CF" w:rsidRPr="005503CF" w:rsidRDefault="005503CF" w:rsidP="00891E55">
      <w:pPr>
        <w:pStyle w:val="Default"/>
        <w:spacing w:after="62"/>
        <w:jc w:val="both"/>
        <w:rPr>
          <w:rFonts w:asciiTheme="majorBidi" w:hAnsiTheme="majorBidi" w:cstheme="majorBidi"/>
        </w:rPr>
      </w:pPr>
      <w:r w:rsidRPr="005503CF">
        <w:rPr>
          <w:rFonts w:asciiTheme="majorBidi" w:hAnsiTheme="majorBidi" w:cstheme="majorBidi"/>
        </w:rPr>
        <w:t xml:space="preserve">1- Tracer sur le fond extérieur de la boite de pétri gélosé deux diamètres perpendiculaires divisant la boite en quatre secteurs. </w:t>
      </w:r>
    </w:p>
    <w:p w:rsidR="00D9637D" w:rsidRDefault="005503CF" w:rsidP="00891E55">
      <w:pPr>
        <w:pStyle w:val="Default"/>
        <w:spacing w:after="62"/>
        <w:jc w:val="both"/>
        <w:rPr>
          <w:rFonts w:asciiTheme="majorBidi" w:hAnsiTheme="majorBidi" w:cstheme="majorBidi"/>
        </w:rPr>
      </w:pPr>
      <w:r w:rsidRPr="005503CF">
        <w:rPr>
          <w:rFonts w:asciiTheme="majorBidi" w:hAnsiTheme="majorBidi" w:cstheme="majorBidi"/>
        </w:rPr>
        <w:t xml:space="preserve">2- Déposer l’inoculum près d’un bord de la moitié de la boîte correspondante aux cadrans 1 et 2 </w:t>
      </w:r>
    </w:p>
    <w:p w:rsidR="005503CF" w:rsidRPr="005503CF" w:rsidRDefault="005503CF" w:rsidP="00891E55">
      <w:pPr>
        <w:pStyle w:val="Default"/>
        <w:spacing w:after="62"/>
        <w:jc w:val="both"/>
        <w:rPr>
          <w:rFonts w:asciiTheme="majorBidi" w:hAnsiTheme="majorBidi" w:cstheme="majorBidi"/>
        </w:rPr>
      </w:pPr>
      <w:r w:rsidRPr="005503CF">
        <w:rPr>
          <w:rFonts w:asciiTheme="majorBidi" w:hAnsiTheme="majorBidi" w:cstheme="majorBidi"/>
        </w:rPr>
        <w:t xml:space="preserve">3- Étaler ce dépôt en réalisant des stries très serrées dans la moitié de la boite (cadrans 1et 2). </w:t>
      </w:r>
    </w:p>
    <w:p w:rsidR="005503CF" w:rsidRPr="005503CF" w:rsidRDefault="00170CDA" w:rsidP="00891E55">
      <w:pPr>
        <w:pStyle w:val="Default"/>
        <w:spacing w:after="62"/>
        <w:jc w:val="both"/>
        <w:rPr>
          <w:rFonts w:asciiTheme="majorBidi" w:hAnsiTheme="majorBidi" w:cstheme="majorBidi"/>
        </w:rPr>
      </w:pPr>
      <w:r>
        <w:rPr>
          <w:rFonts w:asciiTheme="majorBidi" w:hAnsiTheme="majorBidi" w:cstheme="majorBidi"/>
        </w:rPr>
        <w:t>4</w:t>
      </w:r>
      <w:r w:rsidR="005503CF" w:rsidRPr="005503CF">
        <w:rPr>
          <w:rFonts w:asciiTheme="majorBidi" w:hAnsiTheme="majorBidi" w:cstheme="majorBidi"/>
        </w:rPr>
        <w:t xml:space="preserve">- Après avoir fait tourner la boîte d’environ 90°, étaler une partie des stries précédentes sur la moitié correspondant aux quadrants 2 et 3. </w:t>
      </w:r>
    </w:p>
    <w:p w:rsidR="005503CF" w:rsidRPr="005503CF" w:rsidRDefault="00170CDA" w:rsidP="00891E55">
      <w:pPr>
        <w:pStyle w:val="Default"/>
        <w:spacing w:after="62"/>
        <w:jc w:val="both"/>
        <w:rPr>
          <w:rFonts w:asciiTheme="majorBidi" w:hAnsiTheme="majorBidi" w:cstheme="majorBidi"/>
        </w:rPr>
      </w:pPr>
      <w:r>
        <w:rPr>
          <w:rFonts w:asciiTheme="majorBidi" w:hAnsiTheme="majorBidi" w:cstheme="majorBidi"/>
        </w:rPr>
        <w:t>5</w:t>
      </w:r>
      <w:r w:rsidR="005503CF" w:rsidRPr="005503CF">
        <w:rPr>
          <w:rFonts w:asciiTheme="majorBidi" w:hAnsiTheme="majorBidi" w:cstheme="majorBidi"/>
        </w:rPr>
        <w:t xml:space="preserve">- Stérilisation de l’instrument d’étalement. </w:t>
      </w:r>
    </w:p>
    <w:p w:rsidR="005503CF" w:rsidRDefault="00170CDA" w:rsidP="00891E55">
      <w:pPr>
        <w:pStyle w:val="Default"/>
        <w:jc w:val="both"/>
        <w:rPr>
          <w:rFonts w:asciiTheme="majorBidi" w:hAnsiTheme="majorBidi" w:cstheme="majorBidi"/>
        </w:rPr>
      </w:pPr>
      <w:r>
        <w:rPr>
          <w:rFonts w:asciiTheme="majorBidi" w:hAnsiTheme="majorBidi" w:cstheme="majorBidi"/>
        </w:rPr>
        <w:t>6</w:t>
      </w:r>
      <w:r w:rsidR="005503CF" w:rsidRPr="005503CF">
        <w:rPr>
          <w:rFonts w:asciiTheme="majorBidi" w:hAnsiTheme="majorBidi" w:cstheme="majorBidi"/>
        </w:rPr>
        <w:t xml:space="preserve">- Après avoir fait tourner la boîte d’environ 90°, répéter une dernière fois l'étalement en stries serrées dans la moitié correspondante aux quadrants 3 et 4. </w:t>
      </w:r>
    </w:p>
    <w:p w:rsidR="00D30136" w:rsidRPr="00891E55" w:rsidRDefault="00D30136" w:rsidP="00891E55">
      <w:pPr>
        <w:pStyle w:val="Default"/>
        <w:jc w:val="both"/>
        <w:rPr>
          <w:rFonts w:asciiTheme="majorBidi" w:hAnsiTheme="majorBidi" w:cstheme="majorBidi"/>
          <w:sz w:val="8"/>
          <w:szCs w:val="8"/>
        </w:rPr>
      </w:pPr>
    </w:p>
    <w:p w:rsidR="00434C80" w:rsidRPr="005503CF" w:rsidRDefault="006C29E4" w:rsidP="00891E55">
      <w:pPr>
        <w:pStyle w:val="Default"/>
        <w:jc w:val="center"/>
        <w:rPr>
          <w:rFonts w:asciiTheme="majorBidi" w:hAnsiTheme="majorBidi" w:cstheme="majorBidi"/>
        </w:rPr>
      </w:pPr>
      <w:r>
        <w:rPr>
          <w:rFonts w:asciiTheme="majorBidi" w:hAnsiTheme="majorBidi" w:cstheme="majorBidi"/>
          <w:noProof/>
          <w:lang w:eastAsia="fr-FR"/>
        </w:rPr>
        <w:drawing>
          <wp:inline distT="0" distB="0" distL="0" distR="0">
            <wp:extent cx="2557173" cy="1850506"/>
            <wp:effectExtent l="19050" t="0" r="0" b="0"/>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2565656" cy="1856645"/>
                    </a:xfrm>
                    <a:prstGeom prst="rect">
                      <a:avLst/>
                    </a:prstGeom>
                    <a:noFill/>
                    <a:ln w="9525">
                      <a:noFill/>
                      <a:miter lim="800000"/>
                      <a:headEnd/>
                      <a:tailEnd/>
                    </a:ln>
                  </pic:spPr>
                </pic:pic>
              </a:graphicData>
            </a:graphic>
          </wp:inline>
        </w:drawing>
      </w:r>
    </w:p>
    <w:p w:rsidR="005503CF" w:rsidRPr="00891E55" w:rsidRDefault="005503CF" w:rsidP="00891E55">
      <w:pPr>
        <w:pStyle w:val="Default"/>
        <w:jc w:val="both"/>
        <w:rPr>
          <w:rFonts w:asciiTheme="majorBidi" w:hAnsiTheme="majorBidi" w:cstheme="majorBidi"/>
          <w:sz w:val="8"/>
          <w:szCs w:val="8"/>
        </w:rPr>
      </w:pPr>
    </w:p>
    <w:p w:rsidR="00D9637D" w:rsidRDefault="00D9637D" w:rsidP="00891E55">
      <w:pPr>
        <w:pStyle w:val="Default"/>
        <w:jc w:val="both"/>
        <w:rPr>
          <w:rFonts w:asciiTheme="majorBidi" w:hAnsiTheme="majorBidi" w:cstheme="majorBidi"/>
          <w:b/>
          <w:bCs/>
        </w:rPr>
      </w:pPr>
      <w:r w:rsidRPr="00D9637D">
        <w:rPr>
          <w:rFonts w:asciiTheme="majorBidi" w:hAnsiTheme="majorBidi" w:cstheme="majorBidi"/>
          <w:b/>
          <w:bCs/>
        </w:rPr>
        <w:t xml:space="preserve">3.2. </w:t>
      </w:r>
      <w:r w:rsidR="005503CF" w:rsidRPr="00D9637D">
        <w:rPr>
          <w:rFonts w:asciiTheme="majorBidi" w:hAnsiTheme="majorBidi" w:cstheme="majorBidi"/>
          <w:b/>
          <w:bCs/>
        </w:rPr>
        <w:t>Technique d’isolement par épuisement</w:t>
      </w:r>
      <w:r w:rsidRPr="00D9637D">
        <w:rPr>
          <w:rFonts w:asciiTheme="majorBidi" w:hAnsiTheme="majorBidi" w:cstheme="majorBidi"/>
          <w:b/>
          <w:bCs/>
        </w:rPr>
        <w:t xml:space="preserve"> par trois secteurs ou cadrans </w:t>
      </w:r>
      <w:r w:rsidR="005503CF" w:rsidRPr="00D9637D">
        <w:rPr>
          <w:rFonts w:asciiTheme="majorBidi" w:hAnsiTheme="majorBidi" w:cstheme="majorBidi"/>
          <w:b/>
          <w:bCs/>
        </w:rPr>
        <w:t xml:space="preserve"> </w:t>
      </w:r>
    </w:p>
    <w:p w:rsidR="006948DC" w:rsidRDefault="005503CF" w:rsidP="00891E55">
      <w:pPr>
        <w:pStyle w:val="Default"/>
        <w:jc w:val="both"/>
        <w:rPr>
          <w:rFonts w:asciiTheme="majorBidi" w:hAnsiTheme="majorBidi" w:cstheme="majorBidi"/>
        </w:rPr>
      </w:pPr>
      <w:r w:rsidRPr="005503CF">
        <w:rPr>
          <w:rFonts w:asciiTheme="majorBidi" w:hAnsiTheme="majorBidi" w:cstheme="majorBidi"/>
        </w:rPr>
        <w:t xml:space="preserve">Cette technique s’effectue en trois étapes, la boite de pétri est divisé en trois cadrans, </w:t>
      </w:r>
    </w:p>
    <w:p w:rsidR="006948DC" w:rsidRDefault="006948DC" w:rsidP="00891E55">
      <w:pPr>
        <w:pStyle w:val="Default"/>
        <w:jc w:val="both"/>
      </w:pPr>
      <w:r>
        <w:t xml:space="preserve">-Faites charger l’öse (anneau) de l’anse de Platine comme décrit précédemment. </w:t>
      </w:r>
    </w:p>
    <w:p w:rsidR="006948DC" w:rsidRDefault="006948DC" w:rsidP="00891E55">
      <w:pPr>
        <w:pStyle w:val="Default"/>
        <w:jc w:val="both"/>
      </w:pPr>
      <w:r>
        <w:t xml:space="preserve">-Il faut tenir la boite par la main gauche et l’an par la main droite. </w:t>
      </w:r>
    </w:p>
    <w:p w:rsidR="006948DC" w:rsidRDefault="006948DC" w:rsidP="00891E55">
      <w:pPr>
        <w:pStyle w:val="Default"/>
        <w:jc w:val="both"/>
      </w:pPr>
      <w:r>
        <w:t xml:space="preserve">-Déposer la suspension microbienne au bord de la boite sur le 1er cadran. Selon le schéma ci-dessous: </w:t>
      </w:r>
    </w:p>
    <w:p w:rsidR="006948DC" w:rsidRDefault="006948DC" w:rsidP="00891E55">
      <w:pPr>
        <w:pStyle w:val="Default"/>
        <w:numPr>
          <w:ilvl w:val="0"/>
          <w:numId w:val="27"/>
        </w:numPr>
        <w:jc w:val="both"/>
      </w:pPr>
      <w:r>
        <w:t xml:space="preserve">Tracer à l’aide de l’anneau de l’anse des stries serrées sur le 1er cadran (de la manière la plus délicate pour ne pas abimer la gélose).  </w:t>
      </w:r>
    </w:p>
    <w:p w:rsidR="006948DC" w:rsidRDefault="006948DC" w:rsidP="00891E55">
      <w:pPr>
        <w:pStyle w:val="Default"/>
        <w:numPr>
          <w:ilvl w:val="0"/>
          <w:numId w:val="27"/>
        </w:numPr>
        <w:jc w:val="both"/>
      </w:pPr>
      <w:r>
        <w:t xml:space="preserve">Puis Flamber l’öse de l’anse et laisser refroidir. </w:t>
      </w:r>
    </w:p>
    <w:p w:rsidR="006948DC" w:rsidRDefault="006948DC" w:rsidP="00891E55">
      <w:pPr>
        <w:pStyle w:val="Default"/>
        <w:numPr>
          <w:ilvl w:val="0"/>
          <w:numId w:val="27"/>
        </w:numPr>
        <w:jc w:val="both"/>
      </w:pPr>
      <w:r>
        <w:t>On retourne la boite vers le 2</w:t>
      </w:r>
      <w:r w:rsidRPr="006948DC">
        <w:rPr>
          <w:vertAlign w:val="superscript"/>
        </w:rPr>
        <w:t>ème</w:t>
      </w:r>
      <w:r>
        <w:t xml:space="preserve"> cadran et on le trace de la même façon du premier.  </w:t>
      </w:r>
    </w:p>
    <w:p w:rsidR="006948DC" w:rsidRDefault="006948DC" w:rsidP="00891E55">
      <w:pPr>
        <w:pStyle w:val="Default"/>
        <w:numPr>
          <w:ilvl w:val="0"/>
          <w:numId w:val="27"/>
        </w:numPr>
        <w:jc w:val="both"/>
      </w:pPr>
      <w:r>
        <w:t>On retourne la boite vers le 3</w:t>
      </w:r>
      <w:r w:rsidRPr="006948DC">
        <w:rPr>
          <w:vertAlign w:val="superscript"/>
        </w:rPr>
        <w:t>ème</w:t>
      </w:r>
      <w:r>
        <w:t xml:space="preserve"> cadran, on l’ensemence cette fois-ci par des stries non serrées mais éloignées ne recoupant pas le dépôt précédent.</w:t>
      </w:r>
    </w:p>
    <w:p w:rsidR="00891E55" w:rsidRPr="00891E55" w:rsidRDefault="00891E55" w:rsidP="00891E55">
      <w:pPr>
        <w:pStyle w:val="Default"/>
        <w:ind w:left="720"/>
        <w:jc w:val="both"/>
        <w:rPr>
          <w:sz w:val="8"/>
          <w:szCs w:val="8"/>
        </w:rPr>
      </w:pPr>
    </w:p>
    <w:p w:rsidR="000B352A" w:rsidRDefault="000B352A" w:rsidP="006948DC">
      <w:pPr>
        <w:pStyle w:val="Default"/>
        <w:spacing w:line="276" w:lineRule="auto"/>
        <w:jc w:val="center"/>
        <w:rPr>
          <w:rFonts w:asciiTheme="majorBidi" w:hAnsiTheme="majorBidi" w:cstheme="majorBidi"/>
        </w:rPr>
      </w:pPr>
      <w:r w:rsidRPr="000B352A">
        <w:rPr>
          <w:rFonts w:asciiTheme="majorBidi" w:hAnsiTheme="majorBidi" w:cstheme="majorBidi"/>
          <w:noProof/>
          <w:lang w:eastAsia="fr-FR"/>
        </w:rPr>
        <w:drawing>
          <wp:inline distT="0" distB="0" distL="0" distR="0">
            <wp:extent cx="5639766" cy="1698432"/>
            <wp:effectExtent l="19050" t="19050" r="18084" b="16068"/>
            <wp:docPr id="8" name="Image 1" descr="C:\Users\SONY\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index.pn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57850" cy="1703878"/>
                    </a:xfrm>
                    <a:prstGeom prst="rect">
                      <a:avLst/>
                    </a:prstGeom>
                    <a:noFill/>
                    <a:ln>
                      <a:solidFill>
                        <a:schemeClr val="tx1"/>
                      </a:solidFill>
                    </a:ln>
                  </pic:spPr>
                </pic:pic>
              </a:graphicData>
            </a:graphic>
          </wp:inline>
        </w:drawing>
      </w:r>
    </w:p>
    <w:p w:rsidR="005503CF" w:rsidRPr="00434C80" w:rsidRDefault="00434C80" w:rsidP="000B352A">
      <w:pPr>
        <w:pStyle w:val="Default"/>
        <w:spacing w:line="276" w:lineRule="auto"/>
        <w:rPr>
          <w:rFonts w:asciiTheme="majorBidi" w:hAnsiTheme="majorBidi" w:cstheme="majorBidi"/>
          <w:b/>
          <w:bCs/>
        </w:rPr>
      </w:pPr>
      <w:r w:rsidRPr="00434C80">
        <w:rPr>
          <w:rFonts w:asciiTheme="majorBidi" w:hAnsiTheme="majorBidi" w:cstheme="majorBidi"/>
          <w:b/>
          <w:bCs/>
        </w:rPr>
        <w:lastRenderedPageBreak/>
        <w:t xml:space="preserve">3.3. </w:t>
      </w:r>
      <w:r w:rsidR="005503CF" w:rsidRPr="00434C80">
        <w:rPr>
          <w:rFonts w:asciiTheme="majorBidi" w:hAnsiTheme="majorBidi" w:cstheme="majorBidi"/>
          <w:b/>
          <w:bCs/>
        </w:rPr>
        <w:t>Tec</w:t>
      </w:r>
      <w:r w:rsidRPr="00434C80">
        <w:rPr>
          <w:rFonts w:asciiTheme="majorBidi" w:hAnsiTheme="majorBidi" w:cstheme="majorBidi"/>
          <w:b/>
          <w:bCs/>
        </w:rPr>
        <w:t xml:space="preserve">hnique de dilution successive </w:t>
      </w:r>
    </w:p>
    <w:p w:rsidR="00434C80" w:rsidRDefault="005503CF" w:rsidP="00110510">
      <w:pPr>
        <w:pStyle w:val="Default"/>
        <w:spacing w:line="276" w:lineRule="auto"/>
        <w:ind w:firstLine="708"/>
        <w:jc w:val="both"/>
        <w:rPr>
          <w:rFonts w:asciiTheme="majorBidi" w:hAnsiTheme="majorBidi" w:cstheme="majorBidi"/>
        </w:rPr>
      </w:pPr>
      <w:r w:rsidRPr="005503CF">
        <w:rPr>
          <w:rFonts w:asciiTheme="majorBidi" w:hAnsiTheme="majorBidi" w:cstheme="majorBidi"/>
        </w:rPr>
        <w:t>L’isolement des bactéries à partir d’une culture gélosé semble parfois difficile à cause de la charge microbienne importante</w:t>
      </w:r>
      <w:r w:rsidR="00434C80">
        <w:rPr>
          <w:rFonts w:asciiTheme="majorBidi" w:hAnsiTheme="majorBidi" w:cstheme="majorBidi"/>
        </w:rPr>
        <w:t>. I</w:t>
      </w:r>
      <w:r w:rsidRPr="005503CF">
        <w:rPr>
          <w:rFonts w:asciiTheme="majorBidi" w:hAnsiTheme="majorBidi" w:cstheme="majorBidi"/>
        </w:rPr>
        <w:t>l en résu</w:t>
      </w:r>
      <w:r w:rsidR="00110510">
        <w:rPr>
          <w:rFonts w:asciiTheme="majorBidi" w:hAnsiTheme="majorBidi" w:cstheme="majorBidi"/>
        </w:rPr>
        <w:t>lte une surface de la boite de Pétri pleine de colonies</w:t>
      </w:r>
      <w:r w:rsidRPr="005503CF">
        <w:rPr>
          <w:rFonts w:asciiTheme="majorBidi" w:hAnsiTheme="majorBidi" w:cstheme="majorBidi"/>
        </w:rPr>
        <w:t xml:space="preserve"> </w:t>
      </w:r>
      <w:r w:rsidR="00110510">
        <w:rPr>
          <w:rFonts w:asciiTheme="majorBidi" w:hAnsiTheme="majorBidi" w:cstheme="majorBidi"/>
        </w:rPr>
        <w:t>c</w:t>
      </w:r>
      <w:r w:rsidRPr="005503CF">
        <w:rPr>
          <w:rFonts w:asciiTheme="majorBidi" w:hAnsiTheme="majorBidi" w:cstheme="majorBidi"/>
        </w:rPr>
        <w:t xml:space="preserve">ollées les unes avec les autres cela empêche l’apparition des colonies distinctes facile à réensemencer et donc nécessite des dilutions du produit à analyser. </w:t>
      </w:r>
    </w:p>
    <w:p w:rsidR="005503CF" w:rsidRPr="005503CF" w:rsidRDefault="005503CF" w:rsidP="00110510">
      <w:pPr>
        <w:pStyle w:val="Default"/>
        <w:spacing w:line="276" w:lineRule="auto"/>
        <w:ind w:firstLine="708"/>
        <w:jc w:val="both"/>
        <w:rPr>
          <w:rFonts w:asciiTheme="majorBidi" w:hAnsiTheme="majorBidi" w:cstheme="majorBidi"/>
        </w:rPr>
      </w:pPr>
      <w:r w:rsidRPr="005503CF">
        <w:rPr>
          <w:rFonts w:asciiTheme="majorBidi" w:hAnsiTheme="majorBidi" w:cstheme="majorBidi"/>
        </w:rPr>
        <w:t>Certaines analyses bactériologiques telles que le dénombrement bactérien recommandent de faire un dénombrement lorsque la boite</w:t>
      </w:r>
      <w:r w:rsidR="00110510">
        <w:rPr>
          <w:rFonts w:asciiTheme="majorBidi" w:hAnsiTheme="majorBidi" w:cstheme="majorBidi"/>
        </w:rPr>
        <w:t xml:space="preserve"> de Pétri</w:t>
      </w:r>
      <w:r w:rsidRPr="005503CF">
        <w:rPr>
          <w:rFonts w:asciiTheme="majorBidi" w:hAnsiTheme="majorBidi" w:cstheme="majorBidi"/>
        </w:rPr>
        <w:t xml:space="preserve"> e</w:t>
      </w:r>
      <w:r w:rsidR="00110510">
        <w:rPr>
          <w:rFonts w:asciiTheme="majorBidi" w:hAnsiTheme="majorBidi" w:cstheme="majorBidi"/>
        </w:rPr>
        <w:t>s</w:t>
      </w:r>
      <w:r w:rsidRPr="005503CF">
        <w:rPr>
          <w:rFonts w:asciiTheme="majorBidi" w:hAnsiTheme="majorBidi" w:cstheme="majorBidi"/>
        </w:rPr>
        <w:t xml:space="preserve">t chargé avec un nombre approximatif entre 30 et 300 colonies et donc dans le cas où on a un nombre plus important il est recommandé de faire des dilutions successives : </w:t>
      </w:r>
    </w:p>
    <w:p w:rsidR="005503CF" w:rsidRDefault="00110510" w:rsidP="00D30136">
      <w:pPr>
        <w:spacing w:after="0"/>
        <w:ind w:firstLine="708"/>
        <w:jc w:val="both"/>
        <w:rPr>
          <w:rFonts w:asciiTheme="majorBidi" w:hAnsiTheme="majorBidi" w:cstheme="majorBidi"/>
          <w:sz w:val="24"/>
          <w:szCs w:val="24"/>
        </w:rPr>
      </w:pPr>
      <w:r>
        <w:rPr>
          <w:rFonts w:asciiTheme="majorBidi" w:hAnsiTheme="majorBidi" w:cstheme="majorBidi"/>
          <w:sz w:val="24"/>
          <w:szCs w:val="24"/>
        </w:rPr>
        <w:t>Une solution de</w:t>
      </w:r>
      <w:r w:rsidR="005503CF" w:rsidRPr="005503CF">
        <w:rPr>
          <w:rFonts w:asciiTheme="majorBidi" w:hAnsiTheme="majorBidi" w:cstheme="majorBidi"/>
          <w:sz w:val="24"/>
          <w:szCs w:val="24"/>
        </w:rPr>
        <w:t xml:space="preserve"> produit à analyser est préparée, ensuite des tubes contenant le diluant avec un volume de 9 ml sont préparés également (dans le cas où on veut faire des dilutions de facteur 10) un volume de 1 ml est transféré à partir du produit a analysé vers un premier tube contenant 9 ml du diluant stérile, il en résulte une première dilution de l’ordre 10</w:t>
      </w:r>
      <w:r w:rsidR="005503CF" w:rsidRPr="00434C80">
        <w:rPr>
          <w:rFonts w:asciiTheme="majorBidi" w:hAnsiTheme="majorBidi" w:cstheme="majorBidi"/>
          <w:sz w:val="24"/>
          <w:szCs w:val="24"/>
          <w:vertAlign w:val="superscript"/>
        </w:rPr>
        <w:t>-1</w:t>
      </w:r>
      <w:r w:rsidR="005503CF" w:rsidRPr="005503CF">
        <w:rPr>
          <w:rFonts w:asciiTheme="majorBidi" w:hAnsiTheme="majorBidi" w:cstheme="majorBidi"/>
          <w:sz w:val="24"/>
          <w:szCs w:val="24"/>
        </w:rPr>
        <w:t>. Après pour établir une autre dilution, on prend 1 ml à partir du tube contenant la dilution 10</w:t>
      </w:r>
      <w:r w:rsidR="005503CF" w:rsidRPr="00434C80">
        <w:rPr>
          <w:rFonts w:asciiTheme="majorBidi" w:hAnsiTheme="majorBidi" w:cstheme="majorBidi"/>
          <w:sz w:val="24"/>
          <w:szCs w:val="24"/>
          <w:vertAlign w:val="superscript"/>
        </w:rPr>
        <w:t>-1</w:t>
      </w:r>
      <w:r w:rsidR="005503CF" w:rsidRPr="005503CF">
        <w:rPr>
          <w:rFonts w:asciiTheme="majorBidi" w:hAnsiTheme="majorBidi" w:cstheme="majorBidi"/>
          <w:sz w:val="24"/>
          <w:szCs w:val="24"/>
        </w:rPr>
        <w:t xml:space="preserve"> vers un autre tube contenant 9 ml du diluant stérile, la même procédure ce fait pour obtenir une série de dilution de facteur 10 : 10</w:t>
      </w:r>
      <w:r w:rsidR="005503CF" w:rsidRPr="00434C80">
        <w:rPr>
          <w:rFonts w:asciiTheme="majorBidi" w:hAnsiTheme="majorBidi" w:cstheme="majorBidi"/>
          <w:sz w:val="24"/>
          <w:szCs w:val="24"/>
          <w:vertAlign w:val="superscript"/>
        </w:rPr>
        <w:t>-1</w:t>
      </w:r>
      <w:r w:rsidR="00434C80">
        <w:rPr>
          <w:rFonts w:asciiTheme="majorBidi" w:hAnsiTheme="majorBidi" w:cstheme="majorBidi"/>
          <w:sz w:val="24"/>
          <w:szCs w:val="24"/>
        </w:rPr>
        <w:t>,</w:t>
      </w:r>
      <w:r w:rsidR="005503CF" w:rsidRPr="005503CF">
        <w:rPr>
          <w:rFonts w:asciiTheme="majorBidi" w:hAnsiTheme="majorBidi" w:cstheme="majorBidi"/>
          <w:sz w:val="24"/>
          <w:szCs w:val="24"/>
        </w:rPr>
        <w:t xml:space="preserve"> 10</w:t>
      </w:r>
      <w:r w:rsidR="005503CF" w:rsidRPr="00434C80">
        <w:rPr>
          <w:rFonts w:asciiTheme="majorBidi" w:hAnsiTheme="majorBidi" w:cstheme="majorBidi"/>
          <w:sz w:val="24"/>
          <w:szCs w:val="24"/>
          <w:vertAlign w:val="superscript"/>
        </w:rPr>
        <w:t>-2</w:t>
      </w:r>
      <w:r w:rsidR="00434C80">
        <w:rPr>
          <w:rFonts w:asciiTheme="majorBidi" w:hAnsiTheme="majorBidi" w:cstheme="majorBidi"/>
          <w:sz w:val="24"/>
          <w:szCs w:val="24"/>
        </w:rPr>
        <w:t xml:space="preserve"> ,</w:t>
      </w:r>
      <w:r w:rsidR="005503CF" w:rsidRPr="005503CF">
        <w:rPr>
          <w:rFonts w:asciiTheme="majorBidi" w:hAnsiTheme="majorBidi" w:cstheme="majorBidi"/>
          <w:sz w:val="24"/>
          <w:szCs w:val="24"/>
        </w:rPr>
        <w:t>10</w:t>
      </w:r>
      <w:r w:rsidR="005503CF" w:rsidRPr="00434C80">
        <w:rPr>
          <w:rFonts w:asciiTheme="majorBidi" w:hAnsiTheme="majorBidi" w:cstheme="majorBidi"/>
          <w:sz w:val="24"/>
          <w:szCs w:val="24"/>
          <w:vertAlign w:val="superscript"/>
        </w:rPr>
        <w:t>-3</w:t>
      </w:r>
      <w:r w:rsidR="00434C80">
        <w:rPr>
          <w:rFonts w:asciiTheme="majorBidi" w:hAnsiTheme="majorBidi" w:cstheme="majorBidi"/>
          <w:sz w:val="24"/>
          <w:szCs w:val="24"/>
        </w:rPr>
        <w:t>,</w:t>
      </w:r>
      <w:r w:rsidR="005503CF" w:rsidRPr="005503CF">
        <w:rPr>
          <w:rFonts w:asciiTheme="majorBidi" w:hAnsiTheme="majorBidi" w:cstheme="majorBidi"/>
          <w:sz w:val="24"/>
          <w:szCs w:val="24"/>
        </w:rPr>
        <w:t>10</w:t>
      </w:r>
      <w:r w:rsidR="005503CF" w:rsidRPr="00434C80">
        <w:rPr>
          <w:rFonts w:asciiTheme="majorBidi" w:hAnsiTheme="majorBidi" w:cstheme="majorBidi"/>
          <w:sz w:val="24"/>
          <w:szCs w:val="24"/>
          <w:vertAlign w:val="superscript"/>
        </w:rPr>
        <w:t>-4</w:t>
      </w:r>
      <w:r w:rsidR="00434C80">
        <w:rPr>
          <w:rFonts w:asciiTheme="majorBidi" w:hAnsiTheme="majorBidi" w:cstheme="majorBidi"/>
          <w:sz w:val="24"/>
          <w:szCs w:val="24"/>
        </w:rPr>
        <w:t> …etc</w:t>
      </w:r>
      <w:r w:rsidR="005503CF" w:rsidRPr="005503CF">
        <w:rPr>
          <w:rFonts w:asciiTheme="majorBidi" w:hAnsiTheme="majorBidi" w:cstheme="majorBidi"/>
          <w:sz w:val="24"/>
          <w:szCs w:val="24"/>
        </w:rPr>
        <w:t>.</w:t>
      </w:r>
    </w:p>
    <w:p w:rsidR="00434C80" w:rsidRDefault="00434C80" w:rsidP="00434C80">
      <w:pPr>
        <w:spacing w:after="0"/>
        <w:jc w:val="center"/>
        <w:rPr>
          <w:rFonts w:asciiTheme="majorBidi" w:hAnsiTheme="majorBidi" w:cstheme="majorBidi"/>
          <w:b/>
          <w:bCs/>
          <w:sz w:val="24"/>
          <w:szCs w:val="24"/>
        </w:rPr>
      </w:pPr>
      <w:r w:rsidRPr="00434C80">
        <w:rPr>
          <w:rFonts w:asciiTheme="majorBidi" w:hAnsiTheme="majorBidi" w:cstheme="majorBidi"/>
          <w:b/>
          <w:bCs/>
          <w:noProof/>
          <w:sz w:val="24"/>
          <w:szCs w:val="24"/>
          <w:lang w:eastAsia="fr-FR"/>
        </w:rPr>
        <w:drawing>
          <wp:inline distT="0" distB="0" distL="0" distR="0">
            <wp:extent cx="5168900" cy="2451100"/>
            <wp:effectExtent l="19050" t="19050" r="12700" b="2540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179384" cy="2456071"/>
                    </a:xfrm>
                    <a:prstGeom prst="rect">
                      <a:avLst/>
                    </a:prstGeom>
                    <a:ln>
                      <a:solidFill>
                        <a:schemeClr val="tx1"/>
                      </a:solidFill>
                    </a:ln>
                  </pic:spPr>
                </pic:pic>
              </a:graphicData>
            </a:graphic>
          </wp:inline>
        </w:drawing>
      </w:r>
    </w:p>
    <w:p w:rsidR="00BF430C" w:rsidRDefault="00BF430C" w:rsidP="00434C80">
      <w:pPr>
        <w:spacing w:after="0"/>
        <w:jc w:val="center"/>
        <w:rPr>
          <w:rFonts w:asciiTheme="majorBidi" w:hAnsiTheme="majorBidi" w:cstheme="majorBidi"/>
          <w:b/>
          <w:bCs/>
          <w:sz w:val="24"/>
          <w:szCs w:val="24"/>
        </w:rPr>
      </w:pPr>
    </w:p>
    <w:p w:rsidR="00BF430C" w:rsidRDefault="00BF430C" w:rsidP="00434C80">
      <w:pPr>
        <w:spacing w:after="0"/>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1898402" cy="739471"/>
            <wp:effectExtent l="19050" t="0" r="6598" b="0"/>
            <wp:docPr id="1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1898650" cy="739567"/>
                    </a:xfrm>
                    <a:prstGeom prst="rect">
                      <a:avLst/>
                    </a:prstGeom>
                    <a:noFill/>
                    <a:ln w="9525">
                      <a:noFill/>
                      <a:miter lim="800000"/>
                      <a:headEnd/>
                      <a:tailEnd/>
                    </a:ln>
                  </pic:spPr>
                </pic:pic>
              </a:graphicData>
            </a:graphic>
          </wp:inline>
        </w:drawing>
      </w:r>
    </w:p>
    <w:p w:rsidR="00462B98" w:rsidRDefault="00462B98" w:rsidP="00891E55">
      <w:pPr>
        <w:spacing w:after="0"/>
        <w:jc w:val="both"/>
        <w:rPr>
          <w:rFonts w:ascii="Times New Roman" w:hAnsi="Times New Roman" w:cs="Times New Roman"/>
          <w:sz w:val="24"/>
          <w:szCs w:val="24"/>
        </w:rPr>
      </w:pPr>
      <w:r w:rsidRPr="00462B98">
        <w:rPr>
          <w:rFonts w:ascii="Times New Roman" w:hAnsi="Times New Roman" w:cs="Times New Roman"/>
          <w:sz w:val="24"/>
          <w:szCs w:val="24"/>
        </w:rPr>
        <w:t xml:space="preserve">Avec : </w:t>
      </w:r>
    </w:p>
    <w:p w:rsidR="00462B98" w:rsidRPr="00462B98" w:rsidRDefault="00462B98" w:rsidP="00891E55">
      <w:pPr>
        <w:spacing w:after="0"/>
        <w:jc w:val="both"/>
        <w:rPr>
          <w:rFonts w:ascii="Times New Roman" w:hAnsi="Times New Roman" w:cs="Times New Roman"/>
          <w:sz w:val="24"/>
          <w:szCs w:val="24"/>
        </w:rPr>
      </w:pPr>
      <w:r w:rsidRPr="00462B98">
        <w:rPr>
          <w:rFonts w:ascii="Times New Roman" w:hAnsi="Times New Roman" w:cs="Times New Roman"/>
          <w:sz w:val="24"/>
          <w:szCs w:val="24"/>
        </w:rPr>
        <w:t>C : nombre d’UFC (unités formant colonies) observées sur l’ensemble des boites sélectionnées et exploitables (boites provenant de deux dilutions successives et dont au moins une contient 30 colonies ; seules les boites correspondant à un nombre d’UFC inférieur ou égal à 300 s</w:t>
      </w:r>
      <w:r w:rsidR="00BF430C">
        <w:rPr>
          <w:rFonts w:ascii="Times New Roman" w:hAnsi="Times New Roman" w:cs="Times New Roman"/>
          <w:sz w:val="24"/>
          <w:szCs w:val="24"/>
        </w:rPr>
        <w:t>ont considérées dans le calcul).</w:t>
      </w:r>
    </w:p>
    <w:p w:rsidR="00BF430C" w:rsidRDefault="00BF430C" w:rsidP="00891E55">
      <w:pPr>
        <w:spacing w:after="0"/>
        <w:jc w:val="both"/>
        <w:rPr>
          <w:rFonts w:ascii="Times New Roman" w:hAnsi="Times New Roman" w:cs="Times New Roman"/>
          <w:sz w:val="24"/>
          <w:szCs w:val="24"/>
        </w:rPr>
      </w:pPr>
      <w:r>
        <w:rPr>
          <w:rFonts w:ascii="Times New Roman" w:hAnsi="Times New Roman" w:cs="Times New Roman"/>
          <w:sz w:val="24"/>
          <w:szCs w:val="24"/>
        </w:rPr>
        <w:t>v</w:t>
      </w:r>
      <w:r w:rsidR="00462B98" w:rsidRPr="00462B98">
        <w:rPr>
          <w:rFonts w:ascii="Times New Roman" w:hAnsi="Times New Roman" w:cs="Times New Roman"/>
          <w:sz w:val="24"/>
          <w:szCs w:val="24"/>
        </w:rPr>
        <w:t xml:space="preserve">: volume de la suspension étalée à la surface des milieux en mL (par exemple 0,1 mL). </w:t>
      </w:r>
    </w:p>
    <w:p w:rsidR="00462B98" w:rsidRPr="00462B98" w:rsidRDefault="00BF430C" w:rsidP="00891E55">
      <w:pPr>
        <w:spacing w:after="0"/>
        <w:jc w:val="both"/>
        <w:rPr>
          <w:rFonts w:ascii="Times New Roman" w:hAnsi="Times New Roman" w:cs="Times New Roman"/>
          <w:sz w:val="24"/>
          <w:szCs w:val="24"/>
        </w:rPr>
      </w:pPr>
      <w:r>
        <w:rPr>
          <w:rFonts w:ascii="Times New Roman" w:hAnsi="Times New Roman" w:cs="Times New Roman"/>
          <w:sz w:val="24"/>
          <w:szCs w:val="24"/>
        </w:rPr>
        <w:t>n</w:t>
      </w:r>
      <w:r w:rsidRPr="00BF430C">
        <w:rPr>
          <w:rFonts w:ascii="Times New Roman" w:hAnsi="Times New Roman" w:cs="Times New Roman"/>
          <w:sz w:val="24"/>
          <w:szCs w:val="24"/>
          <w:vertAlign w:val="subscript"/>
        </w:rPr>
        <w:t>1</w:t>
      </w:r>
      <w:r w:rsidR="00462B98" w:rsidRPr="00462B98">
        <w:rPr>
          <w:rFonts w:ascii="Times New Roman" w:hAnsi="Times New Roman" w:cs="Times New Roman"/>
          <w:sz w:val="24"/>
          <w:szCs w:val="24"/>
        </w:rPr>
        <w:t xml:space="preserve"> : nombre de boîtes retenues à la première dilution (la plus faible). </w:t>
      </w:r>
    </w:p>
    <w:p w:rsidR="00462B98" w:rsidRPr="00462B98" w:rsidRDefault="00BF430C" w:rsidP="00891E55">
      <w:pPr>
        <w:spacing w:after="0"/>
        <w:jc w:val="both"/>
        <w:rPr>
          <w:rFonts w:ascii="Times New Roman" w:hAnsi="Times New Roman" w:cs="Times New Roman"/>
          <w:sz w:val="24"/>
          <w:szCs w:val="24"/>
        </w:rPr>
      </w:pPr>
      <w:r>
        <w:rPr>
          <w:rFonts w:ascii="Times New Roman" w:hAnsi="Times New Roman" w:cs="Times New Roman"/>
          <w:sz w:val="24"/>
          <w:szCs w:val="24"/>
        </w:rPr>
        <w:t>n</w:t>
      </w:r>
      <w:r w:rsidRPr="00BF430C">
        <w:rPr>
          <w:rFonts w:ascii="Times New Roman" w:hAnsi="Times New Roman" w:cs="Times New Roman"/>
          <w:sz w:val="24"/>
          <w:szCs w:val="24"/>
          <w:vertAlign w:val="subscript"/>
        </w:rPr>
        <w:t>2</w:t>
      </w:r>
      <w:r w:rsidR="00462B98" w:rsidRPr="00462B98">
        <w:rPr>
          <w:rFonts w:ascii="Times New Roman" w:hAnsi="Times New Roman" w:cs="Times New Roman"/>
          <w:sz w:val="24"/>
          <w:szCs w:val="24"/>
        </w:rPr>
        <w:t xml:space="preserve">: nombre de boîtes retenues à la seconde dilution (la plus forte) </w:t>
      </w:r>
    </w:p>
    <w:p w:rsidR="00BF430C" w:rsidRPr="00BF430C" w:rsidRDefault="00462B98" w:rsidP="001600AD">
      <w:pPr>
        <w:spacing w:after="0"/>
        <w:jc w:val="both"/>
        <w:rPr>
          <w:rFonts w:ascii="Times New Roman" w:hAnsi="Times New Roman" w:cs="Times New Roman"/>
          <w:b/>
          <w:bCs/>
          <w:sz w:val="24"/>
          <w:szCs w:val="24"/>
        </w:rPr>
      </w:pPr>
      <w:r w:rsidRPr="00462B98">
        <w:rPr>
          <w:rFonts w:ascii="Times New Roman" w:hAnsi="Times New Roman" w:cs="Times New Roman"/>
          <w:sz w:val="24"/>
          <w:szCs w:val="24"/>
        </w:rPr>
        <w:t>d : taux de dilution correspondant à la dilution la plus faible retenue (d = 1 pour l’échantillon non dilué ; d = 0,01 pour la dilution au 1/100 etc…). Les résultats sont arrondis à deux chiffres significatifs après la virgule et sont exprimés en UFC par mL dans la suspension cellulaire d’origine.</w:t>
      </w:r>
    </w:p>
    <w:sectPr w:rsidR="00BF430C" w:rsidRPr="00BF430C" w:rsidSect="006153B3">
      <w:headerReference w:type="default" r:id="rId18"/>
      <w:footerReference w:type="default" r:id="rId19"/>
      <w:headerReference w:type="first" r:id="rId20"/>
      <w:pgSz w:w="11906" w:h="16838"/>
      <w:pgMar w:top="1361" w:right="1077" w:bottom="1361" w:left="107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EE1" w:rsidRDefault="004E2EE1" w:rsidP="00E25BF0">
      <w:pPr>
        <w:spacing w:after="0" w:line="240" w:lineRule="auto"/>
      </w:pPr>
      <w:r>
        <w:separator/>
      </w:r>
    </w:p>
  </w:endnote>
  <w:endnote w:type="continuationSeparator" w:id="1">
    <w:p w:rsidR="004E2EE1" w:rsidRDefault="004E2EE1" w:rsidP="00E25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994844"/>
      <w:docPartObj>
        <w:docPartGallery w:val="Page Numbers (Bottom of Page)"/>
        <w:docPartUnique/>
      </w:docPartObj>
    </w:sdtPr>
    <w:sdtContent>
      <w:p w:rsidR="00462B98" w:rsidRDefault="00C75CA4">
        <w:pPr>
          <w:pStyle w:val="Pieddepage"/>
          <w:jc w:val="center"/>
        </w:pPr>
        <w:fldSimple w:instr="PAGE   \* MERGEFORMAT">
          <w:r w:rsidR="001600AD">
            <w:rPr>
              <w:noProof/>
            </w:rPr>
            <w:t>5</w:t>
          </w:r>
        </w:fldSimple>
      </w:p>
    </w:sdtContent>
  </w:sdt>
  <w:p w:rsidR="00462B98" w:rsidRDefault="00462B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EE1" w:rsidRDefault="004E2EE1" w:rsidP="00E25BF0">
      <w:pPr>
        <w:spacing w:after="0" w:line="240" w:lineRule="auto"/>
      </w:pPr>
      <w:r>
        <w:separator/>
      </w:r>
    </w:p>
  </w:footnote>
  <w:footnote w:type="continuationSeparator" w:id="1">
    <w:p w:rsidR="004E2EE1" w:rsidRDefault="004E2EE1" w:rsidP="00E25B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B98" w:rsidRDefault="00462B98" w:rsidP="006153B3">
    <w:pPr>
      <w:pStyle w:val="En-tte"/>
      <w:tabs>
        <w:tab w:val="clear" w:pos="4536"/>
        <w:tab w:val="clear" w:pos="9072"/>
        <w:tab w:val="left" w:pos="8179"/>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B98" w:rsidRDefault="00462B98" w:rsidP="006153B3">
    <w:pPr>
      <w:pStyle w:val="En-tte"/>
      <w:rPr>
        <w:rFonts w:asciiTheme="majorBidi" w:hAnsiTheme="majorBidi" w:cstheme="majorBidi"/>
        <w:b/>
        <w:bCs/>
      </w:rPr>
    </w:pPr>
    <w:r>
      <w:rPr>
        <w:rFonts w:asciiTheme="majorBidi" w:hAnsiTheme="majorBidi" w:cstheme="majorBidi"/>
        <w:b/>
        <w:bCs/>
      </w:rPr>
      <w:t>TD de M</w:t>
    </w:r>
    <w:r w:rsidRPr="005B0E1E">
      <w:rPr>
        <w:rFonts w:asciiTheme="majorBidi" w:hAnsiTheme="majorBidi" w:cstheme="majorBidi"/>
        <w:b/>
        <w:bCs/>
      </w:rPr>
      <w:t xml:space="preserve">icrobiologie </w:t>
    </w:r>
    <w:r>
      <w:rPr>
        <w:rFonts w:asciiTheme="majorBidi" w:hAnsiTheme="majorBidi" w:cstheme="majorBidi"/>
        <w:b/>
        <w:bCs/>
      </w:rPr>
      <w:t>G</w:t>
    </w:r>
    <w:r w:rsidRPr="005B0E1E">
      <w:rPr>
        <w:rFonts w:asciiTheme="majorBidi" w:hAnsiTheme="majorBidi" w:cstheme="majorBidi"/>
        <w:b/>
        <w:bCs/>
      </w:rPr>
      <w:t>énérale</w:t>
    </w:r>
    <w:r>
      <w:rPr>
        <w:rFonts w:asciiTheme="majorBidi" w:hAnsiTheme="majorBidi" w:cstheme="majorBidi"/>
        <w:b/>
        <w:bCs/>
      </w:rPr>
      <w:t xml:space="preserve">                                          Centre universitaire Abdelhafid Boussouf –Mila</w:t>
    </w:r>
  </w:p>
  <w:p w:rsidR="00462B98" w:rsidRPr="006153B3" w:rsidRDefault="00462B98" w:rsidP="00C80556">
    <w:pPr>
      <w:pStyle w:val="En-tte"/>
      <w:rPr>
        <w:rFonts w:asciiTheme="majorBidi" w:hAnsiTheme="majorBidi" w:cstheme="majorBidi"/>
        <w:b/>
        <w:bCs/>
      </w:rPr>
    </w:pPr>
    <w:r>
      <w:rPr>
        <w:rFonts w:asciiTheme="majorBidi" w:hAnsiTheme="majorBidi" w:cstheme="majorBidi"/>
        <w:b/>
        <w:bCs/>
      </w:rPr>
      <w:t>2</w:t>
    </w:r>
    <w:r w:rsidRPr="005B0E1E">
      <w:rPr>
        <w:rFonts w:asciiTheme="majorBidi" w:hAnsiTheme="majorBidi" w:cstheme="majorBidi"/>
        <w:b/>
        <w:bCs/>
        <w:vertAlign w:val="superscript"/>
      </w:rPr>
      <w:t>ème</w:t>
    </w:r>
    <w:r>
      <w:rPr>
        <w:rFonts w:asciiTheme="majorBidi" w:hAnsiTheme="majorBidi" w:cstheme="majorBidi"/>
        <w:b/>
        <w:bCs/>
      </w:rPr>
      <w:t xml:space="preserve"> Année : Sciences biologiques                                                                      Département SNV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6075"/>
    <w:multiLevelType w:val="multilevel"/>
    <w:tmpl w:val="443AD178"/>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
    <w:nsid w:val="0707390E"/>
    <w:multiLevelType w:val="multilevel"/>
    <w:tmpl w:val="9FC0012A"/>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
    <w:nsid w:val="0B7A7B7F"/>
    <w:multiLevelType w:val="hybridMultilevel"/>
    <w:tmpl w:val="9422640C"/>
    <w:lvl w:ilvl="0" w:tplc="47AAC96A">
      <w:start w:val="1"/>
      <w:numFmt w:val="lowerLetter"/>
      <w:lvlText w:val="%1)"/>
      <w:lvlJc w:val="left"/>
      <w:pPr>
        <w:ind w:left="644" w:hanging="360"/>
      </w:pPr>
      <w:rPr>
        <w:rFonts w:ascii="Times New Roman" w:hAnsi="Times New Roman" w:cs="Times New Roman" w:hint="default"/>
        <w:sz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16FE4B5A"/>
    <w:multiLevelType w:val="hybridMultilevel"/>
    <w:tmpl w:val="986E3906"/>
    <w:lvl w:ilvl="0" w:tplc="10E8F2AE">
      <w:start w:val="3"/>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8604C4C"/>
    <w:multiLevelType w:val="hybridMultilevel"/>
    <w:tmpl w:val="60EA60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C8270C"/>
    <w:multiLevelType w:val="hybridMultilevel"/>
    <w:tmpl w:val="238E7F70"/>
    <w:lvl w:ilvl="0" w:tplc="8D0EDB42">
      <w:start w:val="3"/>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DE7895"/>
    <w:multiLevelType w:val="multilevel"/>
    <w:tmpl w:val="865E6464"/>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36A5B97"/>
    <w:multiLevelType w:val="multilevel"/>
    <w:tmpl w:val="D21AB136"/>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8">
    <w:nsid w:val="284F129F"/>
    <w:multiLevelType w:val="hybridMultilevel"/>
    <w:tmpl w:val="BE5E939A"/>
    <w:lvl w:ilvl="0" w:tplc="DAACAFE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88C381F"/>
    <w:multiLevelType w:val="hybridMultilevel"/>
    <w:tmpl w:val="98A09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D46132"/>
    <w:multiLevelType w:val="hybridMultilevel"/>
    <w:tmpl w:val="0A6646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C6B3FCA"/>
    <w:multiLevelType w:val="multilevel"/>
    <w:tmpl w:val="D1BA8006"/>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2257B1A"/>
    <w:multiLevelType w:val="multilevel"/>
    <w:tmpl w:val="CBE6E02E"/>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368B32EB"/>
    <w:multiLevelType w:val="hybridMultilevel"/>
    <w:tmpl w:val="8FEA8A26"/>
    <w:lvl w:ilvl="0" w:tplc="93A2449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37BA07BF"/>
    <w:multiLevelType w:val="multilevel"/>
    <w:tmpl w:val="019873D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Theme="majorBidi" w:hAnsiTheme="majorBidi" w:cstheme="majorBidi"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C8F717C"/>
    <w:multiLevelType w:val="hybridMultilevel"/>
    <w:tmpl w:val="546649C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0B80304"/>
    <w:multiLevelType w:val="hybridMultilevel"/>
    <w:tmpl w:val="BC849B8E"/>
    <w:lvl w:ilvl="0" w:tplc="040C000B">
      <w:start w:val="1"/>
      <w:numFmt w:val="bullet"/>
      <w:lvlText w:val=""/>
      <w:lvlJc w:val="left"/>
      <w:pPr>
        <w:ind w:left="1511" w:hanging="360"/>
      </w:pPr>
      <w:rPr>
        <w:rFonts w:ascii="Wingdings" w:hAnsi="Wingdings" w:hint="default"/>
      </w:rPr>
    </w:lvl>
    <w:lvl w:ilvl="1" w:tplc="040C0003" w:tentative="1">
      <w:start w:val="1"/>
      <w:numFmt w:val="bullet"/>
      <w:lvlText w:val="o"/>
      <w:lvlJc w:val="left"/>
      <w:pPr>
        <w:ind w:left="2231" w:hanging="360"/>
      </w:pPr>
      <w:rPr>
        <w:rFonts w:ascii="Courier New" w:hAnsi="Courier New" w:cs="Courier New" w:hint="default"/>
      </w:rPr>
    </w:lvl>
    <w:lvl w:ilvl="2" w:tplc="040C0005" w:tentative="1">
      <w:start w:val="1"/>
      <w:numFmt w:val="bullet"/>
      <w:lvlText w:val=""/>
      <w:lvlJc w:val="left"/>
      <w:pPr>
        <w:ind w:left="2951" w:hanging="360"/>
      </w:pPr>
      <w:rPr>
        <w:rFonts w:ascii="Wingdings" w:hAnsi="Wingdings" w:hint="default"/>
      </w:rPr>
    </w:lvl>
    <w:lvl w:ilvl="3" w:tplc="040C0001" w:tentative="1">
      <w:start w:val="1"/>
      <w:numFmt w:val="bullet"/>
      <w:lvlText w:val=""/>
      <w:lvlJc w:val="left"/>
      <w:pPr>
        <w:ind w:left="3671" w:hanging="360"/>
      </w:pPr>
      <w:rPr>
        <w:rFonts w:ascii="Symbol" w:hAnsi="Symbol" w:hint="default"/>
      </w:rPr>
    </w:lvl>
    <w:lvl w:ilvl="4" w:tplc="040C0003" w:tentative="1">
      <w:start w:val="1"/>
      <w:numFmt w:val="bullet"/>
      <w:lvlText w:val="o"/>
      <w:lvlJc w:val="left"/>
      <w:pPr>
        <w:ind w:left="4391" w:hanging="360"/>
      </w:pPr>
      <w:rPr>
        <w:rFonts w:ascii="Courier New" w:hAnsi="Courier New" w:cs="Courier New" w:hint="default"/>
      </w:rPr>
    </w:lvl>
    <w:lvl w:ilvl="5" w:tplc="040C0005" w:tentative="1">
      <w:start w:val="1"/>
      <w:numFmt w:val="bullet"/>
      <w:lvlText w:val=""/>
      <w:lvlJc w:val="left"/>
      <w:pPr>
        <w:ind w:left="5111" w:hanging="360"/>
      </w:pPr>
      <w:rPr>
        <w:rFonts w:ascii="Wingdings" w:hAnsi="Wingdings" w:hint="default"/>
      </w:rPr>
    </w:lvl>
    <w:lvl w:ilvl="6" w:tplc="040C0001" w:tentative="1">
      <w:start w:val="1"/>
      <w:numFmt w:val="bullet"/>
      <w:lvlText w:val=""/>
      <w:lvlJc w:val="left"/>
      <w:pPr>
        <w:ind w:left="5831" w:hanging="360"/>
      </w:pPr>
      <w:rPr>
        <w:rFonts w:ascii="Symbol" w:hAnsi="Symbol" w:hint="default"/>
      </w:rPr>
    </w:lvl>
    <w:lvl w:ilvl="7" w:tplc="040C0003" w:tentative="1">
      <w:start w:val="1"/>
      <w:numFmt w:val="bullet"/>
      <w:lvlText w:val="o"/>
      <w:lvlJc w:val="left"/>
      <w:pPr>
        <w:ind w:left="6551" w:hanging="360"/>
      </w:pPr>
      <w:rPr>
        <w:rFonts w:ascii="Courier New" w:hAnsi="Courier New" w:cs="Courier New" w:hint="default"/>
      </w:rPr>
    </w:lvl>
    <w:lvl w:ilvl="8" w:tplc="040C0005" w:tentative="1">
      <w:start w:val="1"/>
      <w:numFmt w:val="bullet"/>
      <w:lvlText w:val=""/>
      <w:lvlJc w:val="left"/>
      <w:pPr>
        <w:ind w:left="7271" w:hanging="360"/>
      </w:pPr>
      <w:rPr>
        <w:rFonts w:ascii="Wingdings" w:hAnsi="Wingdings" w:hint="default"/>
      </w:rPr>
    </w:lvl>
  </w:abstractNum>
  <w:abstractNum w:abstractNumId="17">
    <w:nsid w:val="44011DF7"/>
    <w:multiLevelType w:val="multilevel"/>
    <w:tmpl w:val="72661AC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9FC7B30"/>
    <w:multiLevelType w:val="hybridMultilevel"/>
    <w:tmpl w:val="DCE28ED6"/>
    <w:lvl w:ilvl="0" w:tplc="1D4081C4">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BBB7E67"/>
    <w:multiLevelType w:val="hybridMultilevel"/>
    <w:tmpl w:val="4D74D99A"/>
    <w:lvl w:ilvl="0" w:tplc="87E4B90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0396657"/>
    <w:multiLevelType w:val="hybridMultilevel"/>
    <w:tmpl w:val="C280567C"/>
    <w:lvl w:ilvl="0" w:tplc="881E6910">
      <w:start w:val="1"/>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nsid w:val="60710774"/>
    <w:multiLevelType w:val="hybridMultilevel"/>
    <w:tmpl w:val="8C60B9E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1B411FE"/>
    <w:multiLevelType w:val="hybridMultilevel"/>
    <w:tmpl w:val="32CC336C"/>
    <w:lvl w:ilvl="0" w:tplc="AFD4D3FC">
      <w:start w:val="1"/>
      <w:numFmt w:val="decimal"/>
      <w:lvlText w:val="%1-"/>
      <w:lvlJc w:val="left"/>
      <w:pPr>
        <w:tabs>
          <w:tab w:val="num" w:pos="644"/>
        </w:tabs>
        <w:ind w:left="644" w:hanging="360"/>
      </w:pPr>
      <w:rPr>
        <w:rFonts w:hint="default"/>
      </w:rPr>
    </w:lvl>
    <w:lvl w:ilvl="1" w:tplc="881E6910">
      <w:start w:val="1"/>
      <w:numFmt w:val="bullet"/>
      <w:lvlText w:val="-"/>
      <w:lvlJc w:val="left"/>
      <w:pPr>
        <w:tabs>
          <w:tab w:val="num" w:pos="1440"/>
        </w:tabs>
        <w:ind w:left="1440" w:hanging="360"/>
      </w:pPr>
      <w:rPr>
        <w:rFonts w:ascii="Times New Roman" w:eastAsia="Times New Roman" w:hAnsi="Times New Roman" w:cs="Times New Roman" w:hint="default"/>
      </w:rPr>
    </w:lvl>
    <w:lvl w:ilvl="2" w:tplc="1806FA6A">
      <w:start w:val="2"/>
      <w:numFmt w:val="upperLetter"/>
      <w:lvlText w:val="%3-"/>
      <w:lvlJc w:val="left"/>
      <w:pPr>
        <w:ind w:left="2340" w:hanging="360"/>
      </w:pPr>
      <w:rPr>
        <w:rFonts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1DA2B5E"/>
    <w:multiLevelType w:val="hybridMultilevel"/>
    <w:tmpl w:val="6FC09EE8"/>
    <w:lvl w:ilvl="0" w:tplc="904C2DAE">
      <w:start w:val="1"/>
      <w:numFmt w:val="upperLetter"/>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677B27D0"/>
    <w:multiLevelType w:val="hybridMultilevel"/>
    <w:tmpl w:val="0C8A675E"/>
    <w:lvl w:ilvl="0" w:tplc="881E691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9B34CA2"/>
    <w:multiLevelType w:val="hybridMultilevel"/>
    <w:tmpl w:val="66BEF7FA"/>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nsid w:val="771A7A4E"/>
    <w:multiLevelType w:val="hybridMultilevel"/>
    <w:tmpl w:val="CE923A98"/>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22"/>
  </w:num>
  <w:num w:numId="2">
    <w:abstractNumId w:val="1"/>
  </w:num>
  <w:num w:numId="3">
    <w:abstractNumId w:val="13"/>
  </w:num>
  <w:num w:numId="4">
    <w:abstractNumId w:val="24"/>
  </w:num>
  <w:num w:numId="5">
    <w:abstractNumId w:val="23"/>
  </w:num>
  <w:num w:numId="6">
    <w:abstractNumId w:val="20"/>
  </w:num>
  <w:num w:numId="7">
    <w:abstractNumId w:val="25"/>
  </w:num>
  <w:num w:numId="8">
    <w:abstractNumId w:val="21"/>
  </w:num>
  <w:num w:numId="9">
    <w:abstractNumId w:val="14"/>
  </w:num>
  <w:num w:numId="10">
    <w:abstractNumId w:val="26"/>
  </w:num>
  <w:num w:numId="11">
    <w:abstractNumId w:val="3"/>
  </w:num>
  <w:num w:numId="12">
    <w:abstractNumId w:val="16"/>
  </w:num>
  <w:num w:numId="13">
    <w:abstractNumId w:val="8"/>
  </w:num>
  <w:num w:numId="14">
    <w:abstractNumId w:val="10"/>
  </w:num>
  <w:num w:numId="15">
    <w:abstractNumId w:val="17"/>
  </w:num>
  <w:num w:numId="16">
    <w:abstractNumId w:val="12"/>
  </w:num>
  <w:num w:numId="17">
    <w:abstractNumId w:val="6"/>
  </w:num>
  <w:num w:numId="18">
    <w:abstractNumId w:val="11"/>
  </w:num>
  <w:num w:numId="19">
    <w:abstractNumId w:val="5"/>
  </w:num>
  <w:num w:numId="20">
    <w:abstractNumId w:val="4"/>
  </w:num>
  <w:num w:numId="21">
    <w:abstractNumId w:val="19"/>
  </w:num>
  <w:num w:numId="22">
    <w:abstractNumId w:val="18"/>
  </w:num>
  <w:num w:numId="23">
    <w:abstractNumId w:val="2"/>
  </w:num>
  <w:num w:numId="24">
    <w:abstractNumId w:val="15"/>
  </w:num>
  <w:num w:numId="25">
    <w:abstractNumId w:val="0"/>
  </w:num>
  <w:num w:numId="26">
    <w:abstractNumId w:val="7"/>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E25BF0"/>
    <w:rsid w:val="00011A4D"/>
    <w:rsid w:val="00022561"/>
    <w:rsid w:val="00033038"/>
    <w:rsid w:val="0005560C"/>
    <w:rsid w:val="000B352A"/>
    <w:rsid w:val="00110510"/>
    <w:rsid w:val="001336B1"/>
    <w:rsid w:val="001404F8"/>
    <w:rsid w:val="001600AD"/>
    <w:rsid w:val="00166B16"/>
    <w:rsid w:val="00170CDA"/>
    <w:rsid w:val="00194836"/>
    <w:rsid w:val="001B12EE"/>
    <w:rsid w:val="001D795D"/>
    <w:rsid w:val="002208FF"/>
    <w:rsid w:val="00250DB6"/>
    <w:rsid w:val="00252A46"/>
    <w:rsid w:val="0027618E"/>
    <w:rsid w:val="002F0CFA"/>
    <w:rsid w:val="003A6DCE"/>
    <w:rsid w:val="003C545F"/>
    <w:rsid w:val="003D77D7"/>
    <w:rsid w:val="004349D7"/>
    <w:rsid w:val="00434C80"/>
    <w:rsid w:val="00462B98"/>
    <w:rsid w:val="004E2EE1"/>
    <w:rsid w:val="004F5460"/>
    <w:rsid w:val="00522F1A"/>
    <w:rsid w:val="005431F2"/>
    <w:rsid w:val="005503CF"/>
    <w:rsid w:val="005E04FA"/>
    <w:rsid w:val="006134A6"/>
    <w:rsid w:val="006153B3"/>
    <w:rsid w:val="006160A7"/>
    <w:rsid w:val="006171A0"/>
    <w:rsid w:val="006948DC"/>
    <w:rsid w:val="006A042B"/>
    <w:rsid w:val="006A7A6A"/>
    <w:rsid w:val="006B4884"/>
    <w:rsid w:val="006C29E4"/>
    <w:rsid w:val="00787B01"/>
    <w:rsid w:val="007D3639"/>
    <w:rsid w:val="008100AB"/>
    <w:rsid w:val="008130D3"/>
    <w:rsid w:val="008203C0"/>
    <w:rsid w:val="008233CE"/>
    <w:rsid w:val="008429AF"/>
    <w:rsid w:val="00891E55"/>
    <w:rsid w:val="008936AF"/>
    <w:rsid w:val="0089631D"/>
    <w:rsid w:val="008A2145"/>
    <w:rsid w:val="008B7CEF"/>
    <w:rsid w:val="008F2A3D"/>
    <w:rsid w:val="009E0BAA"/>
    <w:rsid w:val="00A0745E"/>
    <w:rsid w:val="00A20F0C"/>
    <w:rsid w:val="00A95133"/>
    <w:rsid w:val="00A96551"/>
    <w:rsid w:val="00AA6702"/>
    <w:rsid w:val="00AA6B61"/>
    <w:rsid w:val="00AB01C3"/>
    <w:rsid w:val="00B00725"/>
    <w:rsid w:val="00B43D00"/>
    <w:rsid w:val="00B60B6A"/>
    <w:rsid w:val="00BC3553"/>
    <w:rsid w:val="00BF430C"/>
    <w:rsid w:val="00C2057A"/>
    <w:rsid w:val="00C2473E"/>
    <w:rsid w:val="00C41D04"/>
    <w:rsid w:val="00C52834"/>
    <w:rsid w:val="00C73D7C"/>
    <w:rsid w:val="00C75CA4"/>
    <w:rsid w:val="00C80556"/>
    <w:rsid w:val="00CA2A36"/>
    <w:rsid w:val="00CB744F"/>
    <w:rsid w:val="00CE282B"/>
    <w:rsid w:val="00D30136"/>
    <w:rsid w:val="00D908C5"/>
    <w:rsid w:val="00D94A02"/>
    <w:rsid w:val="00D9637D"/>
    <w:rsid w:val="00DF60A3"/>
    <w:rsid w:val="00E25BF0"/>
    <w:rsid w:val="00E53BD3"/>
    <w:rsid w:val="00EC5BC7"/>
    <w:rsid w:val="00EE171F"/>
    <w:rsid w:val="00F17156"/>
    <w:rsid w:val="00F775BB"/>
    <w:rsid w:val="00F87801"/>
    <w:rsid w:val="00FA52E9"/>
    <w:rsid w:val="00FB1802"/>
    <w:rsid w:val="00FB751E"/>
    <w:rsid w:val="00FD0B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BF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5BF0"/>
    <w:pPr>
      <w:tabs>
        <w:tab w:val="center" w:pos="4536"/>
        <w:tab w:val="right" w:pos="9072"/>
      </w:tabs>
      <w:spacing w:after="0" w:line="240" w:lineRule="auto"/>
    </w:pPr>
  </w:style>
  <w:style w:type="character" w:customStyle="1" w:styleId="En-tteCar">
    <w:name w:val="En-tête Car"/>
    <w:basedOn w:val="Policepardfaut"/>
    <w:link w:val="En-tte"/>
    <w:uiPriority w:val="99"/>
    <w:rsid w:val="00E25BF0"/>
  </w:style>
  <w:style w:type="paragraph" w:styleId="Pieddepage">
    <w:name w:val="footer"/>
    <w:basedOn w:val="Normal"/>
    <w:link w:val="PieddepageCar"/>
    <w:uiPriority w:val="99"/>
    <w:unhideWhenUsed/>
    <w:rsid w:val="00E25B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5BF0"/>
  </w:style>
  <w:style w:type="paragraph" w:styleId="Paragraphedeliste">
    <w:name w:val="List Paragraph"/>
    <w:basedOn w:val="Normal"/>
    <w:uiPriority w:val="34"/>
    <w:qFormat/>
    <w:rsid w:val="00D94A02"/>
    <w:pPr>
      <w:ind w:left="720"/>
      <w:contextualSpacing/>
    </w:pPr>
  </w:style>
  <w:style w:type="table" w:styleId="Grilledutableau">
    <w:name w:val="Table Grid"/>
    <w:basedOn w:val="TableauNormal"/>
    <w:uiPriority w:val="59"/>
    <w:rsid w:val="00D94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Policepardfaut"/>
    <w:rsid w:val="006A7A6A"/>
  </w:style>
  <w:style w:type="paragraph" w:styleId="Textedebulles">
    <w:name w:val="Balloon Text"/>
    <w:basedOn w:val="Normal"/>
    <w:link w:val="TextedebullesCar"/>
    <w:uiPriority w:val="99"/>
    <w:semiHidden/>
    <w:unhideWhenUsed/>
    <w:rsid w:val="005503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3CF"/>
    <w:rPr>
      <w:rFonts w:ascii="Tahoma" w:hAnsi="Tahoma" w:cs="Tahoma"/>
      <w:sz w:val="16"/>
      <w:szCs w:val="16"/>
    </w:rPr>
  </w:style>
  <w:style w:type="paragraph" w:customStyle="1" w:styleId="Default">
    <w:name w:val="Default"/>
    <w:rsid w:val="005503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66E4-238E-4B14-A2BE-235EC44D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1294</Words>
  <Characters>7119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DELL</cp:lastModifiedBy>
  <cp:revision>10</cp:revision>
  <dcterms:created xsi:type="dcterms:W3CDTF">2024-02-15T10:25:00Z</dcterms:created>
  <dcterms:modified xsi:type="dcterms:W3CDTF">2024-02-24T09:18:00Z</dcterms:modified>
</cp:coreProperties>
</file>