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56F" w:rsidRPr="00C534FA" w:rsidRDefault="00E7456F" w:rsidP="00E7456F">
      <w:pPr>
        <w:spacing w:line="360" w:lineRule="auto"/>
        <w:jc w:val="center"/>
        <w:rPr>
          <w:rFonts w:ascii="Calibri" w:hAnsi="Calibri" w:cs="Arial"/>
          <w:b/>
          <w:bCs/>
          <w:vanish/>
          <w:sz w:val="28"/>
          <w:szCs w:val="28"/>
          <w:u w:val="single"/>
        </w:rPr>
      </w:pPr>
      <w:r w:rsidRPr="00C534FA">
        <w:rPr>
          <w:rFonts w:ascii="Calibri" w:hAnsi="Calibri" w:cs="Arial"/>
          <w:b/>
          <w:bCs/>
          <w:sz w:val="28"/>
          <w:szCs w:val="28"/>
          <w:u w:val="single"/>
        </w:rPr>
        <w:t>INTRODUCTION</w:t>
      </w:r>
    </w:p>
    <w:p w:rsidR="00E7456F" w:rsidRPr="00C534FA" w:rsidRDefault="00E7456F" w:rsidP="00E7456F">
      <w:pPr>
        <w:spacing w:line="360" w:lineRule="auto"/>
        <w:jc w:val="both"/>
        <w:rPr>
          <w:rFonts w:ascii="Calibri" w:hAnsi="Calibri" w:cs="Arial"/>
          <w:sz w:val="22"/>
          <w:szCs w:val="22"/>
        </w:rPr>
      </w:pPr>
    </w:p>
    <w:p w:rsidR="00E7456F" w:rsidRDefault="00E7456F" w:rsidP="00E7456F">
      <w:pPr>
        <w:spacing w:line="360" w:lineRule="auto"/>
        <w:jc w:val="both"/>
        <w:rPr>
          <w:rFonts w:ascii="Calibri" w:hAnsi="Calibri" w:cs="Arial"/>
          <w:b/>
          <w:bCs/>
          <w:sz w:val="21"/>
          <w:szCs w:val="21"/>
        </w:rPr>
      </w:pPr>
    </w:p>
    <w:p w:rsidR="00E7456F" w:rsidRPr="00D03969" w:rsidRDefault="00E7456F" w:rsidP="00E7456F">
      <w:pPr>
        <w:spacing w:line="360" w:lineRule="auto"/>
        <w:jc w:val="both"/>
        <w:rPr>
          <w:rFonts w:ascii="Calibri" w:hAnsi="Calibri" w:cs="Arial"/>
          <w:b/>
          <w:bCs/>
          <w:sz w:val="21"/>
          <w:szCs w:val="21"/>
        </w:rPr>
      </w:pPr>
    </w:p>
    <w:p w:rsidR="00E7456F" w:rsidRPr="00C34D3D" w:rsidRDefault="00E7456F" w:rsidP="00E7456F">
      <w:pPr>
        <w:spacing w:line="360" w:lineRule="auto"/>
        <w:jc w:val="both"/>
      </w:pPr>
      <w:r w:rsidRPr="00C34D3D">
        <w:rPr>
          <w:b/>
          <w:bCs/>
        </w:rPr>
        <w:t>1. Définition</w:t>
      </w:r>
      <w:r>
        <w:rPr>
          <w:b/>
          <w:bCs/>
        </w:rPr>
        <w:t> :</w:t>
      </w:r>
    </w:p>
    <w:p w:rsidR="00E7456F" w:rsidRPr="00C34D3D" w:rsidRDefault="00E7456F" w:rsidP="00E7456F">
      <w:pPr>
        <w:spacing w:line="360" w:lineRule="auto"/>
        <w:jc w:val="both"/>
        <w:rPr>
          <w:color w:val="333333"/>
        </w:rPr>
      </w:pPr>
      <w:r w:rsidRPr="00C34D3D">
        <w:t xml:space="preserve">Le mot « écologie » a été crée en 1866, par le biologiste allemand Ernst Haeckel, à partir de deux mots grecs : </w:t>
      </w:r>
      <w:r w:rsidRPr="00C34D3D">
        <w:rPr>
          <w:i/>
          <w:iCs/>
        </w:rPr>
        <w:t xml:space="preserve">oikos </w:t>
      </w:r>
      <w:r w:rsidRPr="00C34D3D">
        <w:t>qui veut dire : maison, habitat, et</w:t>
      </w:r>
      <w:r w:rsidRPr="00C34D3D">
        <w:rPr>
          <w:i/>
          <w:iCs/>
        </w:rPr>
        <w:t xml:space="preserve"> logos </w:t>
      </w:r>
      <w:r w:rsidRPr="00C34D3D">
        <w:t>qui</w:t>
      </w:r>
      <w:r w:rsidRPr="00C34D3D">
        <w:rPr>
          <w:i/>
          <w:iCs/>
        </w:rPr>
        <w:t xml:space="preserve"> </w:t>
      </w:r>
      <w:r w:rsidRPr="00C34D3D">
        <w:t>signifie science. L</w:t>
      </w:r>
      <w:r w:rsidRPr="00C34D3D">
        <w:rPr>
          <w:color w:val="333333"/>
        </w:rPr>
        <w:t xml:space="preserve">’écologie apparaît donc comme la science de l’habitat, étudiant </w:t>
      </w:r>
      <w:r w:rsidRPr="00C34D3D">
        <w:t xml:space="preserve"> les conditions d'existence des êtres vivants et les interactions de toute nature qui existent entre ces êtres vivants et leurs milieux. Il s'agit de comprendre les mécanismes qui permettent aux différentes espèces d'organismes de survivre et de coexister en se partageant ou en se disputant les ressources disponibles (espace, temps, énergie, matière). </w:t>
      </w:r>
      <w:r w:rsidRPr="00C34D3D">
        <w:rPr>
          <w:color w:val="333333"/>
        </w:rPr>
        <w:t xml:space="preserve">Par extension, l’écologie s’appuie sur des sciences connexes telles la climatologie, l'hydrologie, l'océanographie, la chimie, la géologie, la pédologie, la </w:t>
      </w:r>
      <w:r w:rsidRPr="00C34D3D">
        <w:t>physiologie, la g</w:t>
      </w:r>
      <w:r w:rsidRPr="00C34D3D">
        <w:rPr>
          <w:color w:val="333333"/>
        </w:rPr>
        <w:t>énétique,</w:t>
      </w:r>
      <w:r w:rsidRPr="00C34D3D">
        <w:t xml:space="preserve"> l’éthologie,</w:t>
      </w:r>
      <w:r w:rsidRPr="00C34D3D">
        <w:rPr>
          <w:color w:val="333333"/>
        </w:rPr>
        <w:t xml:space="preserve"> ... etc. Ce qui fait de l’écologie, une science pluridisciplinaire !    </w:t>
      </w:r>
    </w:p>
    <w:p w:rsidR="00E7456F" w:rsidRPr="00D03969" w:rsidRDefault="00E7456F" w:rsidP="00E7456F">
      <w:pPr>
        <w:spacing w:line="360" w:lineRule="auto"/>
        <w:jc w:val="both"/>
        <w:rPr>
          <w:rFonts w:ascii="Calibri" w:hAnsi="Calibri" w:cs="Arial"/>
          <w:color w:val="333333"/>
          <w:sz w:val="21"/>
          <w:szCs w:val="21"/>
        </w:rPr>
      </w:pPr>
    </w:p>
    <w:p w:rsidR="00E7456F" w:rsidRPr="00C34D3D" w:rsidRDefault="00E7456F" w:rsidP="00E7456F">
      <w:pPr>
        <w:spacing w:line="360" w:lineRule="auto"/>
        <w:jc w:val="both"/>
        <w:rPr>
          <w:b/>
          <w:bCs/>
        </w:rPr>
      </w:pPr>
      <w:r w:rsidRPr="00C34D3D">
        <w:rPr>
          <w:b/>
          <w:bCs/>
        </w:rPr>
        <w:t xml:space="preserve">2. Domaines d’intervention </w:t>
      </w:r>
    </w:p>
    <w:p w:rsidR="00E7456F" w:rsidRPr="00C34D3D" w:rsidRDefault="00E7456F" w:rsidP="00E7456F">
      <w:pPr>
        <w:spacing w:line="360" w:lineRule="auto"/>
        <w:jc w:val="both"/>
      </w:pPr>
      <w:r w:rsidRPr="00C34D3D">
        <w:t xml:space="preserve">Les études écologiques portent conventionnellement sur trois niveaux : </w:t>
      </w:r>
    </w:p>
    <w:p w:rsidR="00E7456F" w:rsidRPr="00C34D3D" w:rsidRDefault="00E7456F" w:rsidP="00E7456F">
      <w:pPr>
        <w:spacing w:line="360" w:lineRule="auto"/>
        <w:jc w:val="both"/>
      </w:pPr>
      <w:r w:rsidRPr="00C34D3D">
        <w:t xml:space="preserve">L’individu, la population et la communauté. </w:t>
      </w:r>
    </w:p>
    <w:p w:rsidR="00E7456F" w:rsidRPr="00C34D3D" w:rsidRDefault="00E7456F" w:rsidP="00E7456F">
      <w:pPr>
        <w:numPr>
          <w:ilvl w:val="0"/>
          <w:numId w:val="1"/>
        </w:numPr>
        <w:spacing w:line="360" w:lineRule="auto"/>
        <w:jc w:val="both"/>
      </w:pPr>
      <w:r w:rsidRPr="00C34D3D">
        <w:t xml:space="preserve">Un </w:t>
      </w:r>
      <w:r w:rsidRPr="00C34D3D">
        <w:rPr>
          <w:b/>
          <w:bCs/>
        </w:rPr>
        <w:t>individu</w:t>
      </w:r>
      <w:r>
        <w:rPr>
          <w:b/>
          <w:bCs/>
        </w:rPr>
        <w:t> :</w:t>
      </w:r>
      <w:r w:rsidRPr="00C34D3D">
        <w:t xml:space="preserve"> est un spécimen d’une espèce donnée. </w:t>
      </w:r>
    </w:p>
    <w:p w:rsidR="00E7456F" w:rsidRPr="00C34D3D" w:rsidRDefault="00E7456F" w:rsidP="00E7456F">
      <w:pPr>
        <w:numPr>
          <w:ilvl w:val="0"/>
          <w:numId w:val="1"/>
        </w:numPr>
        <w:spacing w:line="360" w:lineRule="auto"/>
        <w:jc w:val="both"/>
      </w:pPr>
      <w:r w:rsidRPr="00C34D3D">
        <w:t>Une</w:t>
      </w:r>
      <w:r w:rsidRPr="00C34D3D">
        <w:rPr>
          <w:b/>
          <w:bCs/>
        </w:rPr>
        <w:t xml:space="preserve"> population</w:t>
      </w:r>
      <w:r>
        <w:rPr>
          <w:b/>
          <w:bCs/>
        </w:rPr>
        <w:t> :</w:t>
      </w:r>
      <w:r w:rsidRPr="00C34D3D">
        <w:t xml:space="preserve"> est un groupe d’individus de la même espèce occupant un territoire particulier à une période donnée. </w:t>
      </w:r>
    </w:p>
    <w:p w:rsidR="00E7456F" w:rsidRPr="00C34D3D" w:rsidRDefault="00E7456F" w:rsidP="00E7456F">
      <w:pPr>
        <w:numPr>
          <w:ilvl w:val="0"/>
          <w:numId w:val="1"/>
        </w:numPr>
        <w:spacing w:line="360" w:lineRule="auto"/>
        <w:jc w:val="both"/>
      </w:pPr>
      <w:r w:rsidRPr="00C34D3D">
        <w:t xml:space="preserve">Une </w:t>
      </w:r>
      <w:r w:rsidRPr="00C34D3D">
        <w:rPr>
          <w:b/>
          <w:bCs/>
        </w:rPr>
        <w:t>communauté</w:t>
      </w:r>
      <w:r w:rsidRPr="00C34D3D">
        <w:t xml:space="preserve"> ou</w:t>
      </w:r>
      <w:r w:rsidRPr="00C34D3D">
        <w:rPr>
          <w:b/>
          <w:bCs/>
        </w:rPr>
        <w:t xml:space="preserve"> biocénose</w:t>
      </w:r>
      <w:r>
        <w:rPr>
          <w:b/>
          <w:bCs/>
        </w:rPr>
        <w:t> :</w:t>
      </w:r>
      <w:r w:rsidRPr="00C34D3D">
        <w:t xml:space="preserve"> est  l’ensemble des populations d’un même milieu, peuplement animal (zoocénose) et peuplement végétal (phytocénose) qui vivent dans les mêmes conditions de milieu et au voisinage les uns des autres.</w:t>
      </w:r>
    </w:p>
    <w:p w:rsidR="00E7456F" w:rsidRPr="00D03969" w:rsidRDefault="00E7456F" w:rsidP="00E7456F">
      <w:pPr>
        <w:spacing w:line="360" w:lineRule="auto"/>
        <w:jc w:val="both"/>
        <w:rPr>
          <w:rFonts w:ascii="Calibri" w:hAnsi="Calibri" w:cs="Arial"/>
          <w:sz w:val="21"/>
          <w:szCs w:val="21"/>
        </w:rPr>
      </w:pPr>
    </w:p>
    <w:p w:rsidR="00E7456F" w:rsidRPr="00C34D3D" w:rsidRDefault="00E7456F" w:rsidP="00E7456F">
      <w:pPr>
        <w:spacing w:line="360" w:lineRule="auto"/>
        <w:jc w:val="both"/>
      </w:pPr>
      <w:r w:rsidRPr="00C34D3D">
        <w:t xml:space="preserve">Chacun de ces trois niveaux fait l’objet d’une division de l’écologie : </w:t>
      </w:r>
    </w:p>
    <w:p w:rsidR="00E7456F" w:rsidRPr="00C34D3D" w:rsidRDefault="00E7456F" w:rsidP="00E7456F">
      <w:pPr>
        <w:numPr>
          <w:ilvl w:val="0"/>
          <w:numId w:val="2"/>
        </w:numPr>
        <w:spacing w:line="360" w:lineRule="auto"/>
        <w:jc w:val="both"/>
      </w:pPr>
      <w:r w:rsidRPr="00C34D3D">
        <w:t>l’individu concerne</w:t>
      </w:r>
      <w:r w:rsidRPr="00C34D3D">
        <w:rPr>
          <w:b/>
          <w:bCs/>
        </w:rPr>
        <w:t xml:space="preserve"> l’autoécologie : </w:t>
      </w:r>
      <w:r w:rsidRPr="00C34D3D">
        <w:t>c’est la science qui étudie les rapports d’une seule espèce avec son milieu. Elle définit les limites de tolérances et les préférences de l’espèce étudiée vis-à-vis des divers facteurs écologiques et examine l’action du milieu sur la morphologie, la physiologie et l’éthologie.</w:t>
      </w:r>
    </w:p>
    <w:p w:rsidR="00E7456F" w:rsidRPr="00C34D3D" w:rsidRDefault="00E7456F" w:rsidP="00E7456F">
      <w:pPr>
        <w:numPr>
          <w:ilvl w:val="0"/>
          <w:numId w:val="2"/>
        </w:numPr>
        <w:spacing w:line="360" w:lineRule="auto"/>
        <w:jc w:val="both"/>
      </w:pPr>
      <w:r w:rsidRPr="00C34D3D">
        <w:t xml:space="preserve">la population concerne </w:t>
      </w:r>
      <w:r w:rsidRPr="00C34D3D">
        <w:rPr>
          <w:b/>
          <w:bCs/>
        </w:rPr>
        <w:t>l’écologie des populations</w:t>
      </w:r>
      <w:r w:rsidRPr="00C34D3D">
        <w:t xml:space="preserve"> ou </w:t>
      </w:r>
      <w:r w:rsidRPr="00C34D3D">
        <w:rPr>
          <w:b/>
          <w:bCs/>
        </w:rPr>
        <w:t>la dynamique des populations</w:t>
      </w:r>
      <w:r w:rsidRPr="00C34D3D">
        <w:t> : c’est la science qui étudie les caractéristiques qualitatives et quantitatives des populations : elle analyse les variations d’abondance des diverses espèces pour en rechercher les causes et si possible les prévoir.</w:t>
      </w:r>
    </w:p>
    <w:p w:rsidR="00E7456F" w:rsidRPr="00C34D3D" w:rsidRDefault="00E7456F" w:rsidP="00E7456F">
      <w:pPr>
        <w:numPr>
          <w:ilvl w:val="0"/>
          <w:numId w:val="2"/>
        </w:numPr>
        <w:spacing w:line="360" w:lineRule="auto"/>
        <w:jc w:val="both"/>
        <w:rPr>
          <w:rFonts w:ascii="Calibri" w:hAnsi="Calibri" w:cs="Arial"/>
          <w:sz w:val="21"/>
          <w:szCs w:val="21"/>
        </w:rPr>
      </w:pPr>
      <w:r w:rsidRPr="00C34D3D">
        <w:lastRenderedPageBreak/>
        <w:t xml:space="preserve">la biocénose concerne </w:t>
      </w:r>
      <w:r w:rsidRPr="00C34D3D">
        <w:rPr>
          <w:b/>
          <w:bCs/>
        </w:rPr>
        <w:t>la synécologie </w:t>
      </w:r>
      <w:r w:rsidRPr="00C34D3D">
        <w:t>: c’est la science qui analyse les rapports entre les individus qui appartiennent aux diverses espèces d’un même groupement et de ceux-ci avec leurs milieux.</w:t>
      </w:r>
    </w:p>
    <w:p w:rsidR="00E7456F" w:rsidRPr="00C34D3D" w:rsidRDefault="00E7456F" w:rsidP="00E7456F">
      <w:pPr>
        <w:spacing w:line="360" w:lineRule="auto"/>
        <w:jc w:val="both"/>
        <w:rPr>
          <w:b/>
          <w:bCs/>
        </w:rPr>
      </w:pPr>
      <w:r w:rsidRPr="00C34D3D">
        <w:rPr>
          <w:b/>
          <w:bCs/>
        </w:rPr>
        <w:t xml:space="preserve">3. Notion de système écologique : Ecosystème </w:t>
      </w:r>
    </w:p>
    <w:p w:rsidR="00E7456F" w:rsidRPr="00C34D3D" w:rsidRDefault="00E7456F" w:rsidP="00E7456F">
      <w:pPr>
        <w:spacing w:line="360" w:lineRule="auto"/>
        <w:jc w:val="both"/>
      </w:pPr>
      <w:bookmarkStart w:id="0" w:name="top"/>
      <w:bookmarkEnd w:id="0"/>
      <w:r w:rsidRPr="00C34D3D">
        <w:t xml:space="preserve">Un système écologique ou écosystème fut défini par la botaniste anglais </w:t>
      </w:r>
      <w:hyperlink r:id="rId7" w:tooltip="Arthur Tansley" w:history="1">
        <w:r w:rsidRPr="00C34D3D">
          <w:t>Arthur Tansley</w:t>
        </w:r>
      </w:hyperlink>
      <w:r w:rsidRPr="00C34D3D">
        <w:t xml:space="preserve"> en </w:t>
      </w:r>
      <w:hyperlink r:id="rId8" w:tooltip="1935" w:history="1">
        <w:r w:rsidRPr="00C34D3D">
          <w:t>1935</w:t>
        </w:r>
      </w:hyperlink>
      <w:r w:rsidRPr="00C34D3D">
        <w:t>.</w:t>
      </w:r>
    </w:p>
    <w:p w:rsidR="00E7456F" w:rsidRPr="00C34D3D" w:rsidRDefault="00E7456F" w:rsidP="00E7456F">
      <w:pPr>
        <w:spacing w:line="360" w:lineRule="auto"/>
        <w:jc w:val="both"/>
      </w:pPr>
      <w:r w:rsidRPr="00C34D3D">
        <w:rPr>
          <w:b/>
          <w:bCs/>
        </w:rPr>
        <w:t>Un écosystème</w:t>
      </w:r>
      <w:r>
        <w:rPr>
          <w:b/>
          <w:bCs/>
        </w:rPr>
        <w:t> :</w:t>
      </w:r>
      <w:r w:rsidRPr="00C34D3D">
        <w:t xml:space="preserve"> est par définition un système, c’est-à-dire un ensemble d’éléments en interaction les uns avec les autres. C’est un système biologique formé par deux éléments indissociables, </w:t>
      </w:r>
      <w:r w:rsidRPr="00C34D3D">
        <w:rPr>
          <w:b/>
          <w:bCs/>
        </w:rPr>
        <w:t xml:space="preserve">la biocénose </w:t>
      </w:r>
      <w:r w:rsidRPr="00C34D3D">
        <w:t>et</w:t>
      </w:r>
      <w:r w:rsidRPr="00C34D3D">
        <w:rPr>
          <w:b/>
          <w:bCs/>
        </w:rPr>
        <w:t xml:space="preserve"> le biotope</w:t>
      </w:r>
      <w:r w:rsidRPr="00C34D3D">
        <w:t>.</w:t>
      </w:r>
    </w:p>
    <w:p w:rsidR="00E7456F" w:rsidRPr="00C34D3D" w:rsidRDefault="00E7456F" w:rsidP="00E7456F">
      <w:pPr>
        <w:spacing w:line="360" w:lineRule="auto"/>
        <w:jc w:val="both"/>
      </w:pPr>
      <w:r w:rsidRPr="00C34D3D">
        <w:rPr>
          <w:b/>
          <w:bCs/>
        </w:rPr>
        <w:t>La biocénose</w:t>
      </w:r>
      <w:r>
        <w:rPr>
          <w:b/>
          <w:bCs/>
        </w:rPr>
        <w:t> :</w:t>
      </w:r>
      <w:r w:rsidRPr="00C34D3D">
        <w:t xml:space="preserve"> est l’ensemble des organismes qui vivent ensemble (zoocénose, phyocénose, microbiocénose, mycocénose…).</w:t>
      </w:r>
    </w:p>
    <w:p w:rsidR="00E7456F" w:rsidRPr="00C34D3D" w:rsidRDefault="00E7456F" w:rsidP="00E7456F">
      <w:pPr>
        <w:spacing w:line="360" w:lineRule="auto"/>
        <w:jc w:val="both"/>
      </w:pPr>
      <w:r w:rsidRPr="00C34D3D">
        <w:rPr>
          <w:b/>
          <w:bCs/>
        </w:rPr>
        <w:t>Le biotope (écotope)</w:t>
      </w:r>
      <w:r>
        <w:rPr>
          <w:b/>
          <w:bCs/>
        </w:rPr>
        <w:t> :</w:t>
      </w:r>
      <w:r w:rsidRPr="00C34D3D">
        <w:t xml:space="preserve"> est le fragment de la biosphère qui fournit à la biocénose le milieu abiotique indispensable. Il se définit également comme étant l’ensemble des facteurs écologiques abiotiques (substrat, sol « édaphotope », climat « climatope ») qui caractérisent le milieu où vit une biocénose déterminée.  </w:t>
      </w:r>
    </w:p>
    <w:p w:rsidR="00E7456F" w:rsidRPr="00C34D3D" w:rsidRDefault="00E7456F" w:rsidP="00E7456F">
      <w:pPr>
        <w:spacing w:line="360" w:lineRule="auto"/>
        <w:jc w:val="both"/>
      </w:pPr>
      <w:r w:rsidRPr="00C34D3D">
        <w:rPr>
          <w:b/>
          <w:bCs/>
        </w:rPr>
        <w:t>La biosphère</w:t>
      </w:r>
      <w:r>
        <w:rPr>
          <w:b/>
          <w:bCs/>
        </w:rPr>
        <w:t> :</w:t>
      </w:r>
      <w:r w:rsidRPr="00C34D3D">
        <w:t> est la partie de l’écorce terrestre où la vie est possible. La biosphère comprend une partie de la lithosphère (partie solide de l’écorce terrestre), une partie de l’atmosphère (la couche gazeuse entourant la Terre) et une partie de l’hydrosphère (partie du système terrestre constituée d'</w:t>
      </w:r>
      <w:hyperlink r:id="rId9" w:tooltip="Eau" w:history="1">
        <w:r w:rsidRPr="00C34D3D">
          <w:rPr>
            <w:rStyle w:val="Lienhypertexte"/>
            <w:color w:val="auto"/>
            <w:u w:val="none"/>
          </w:rPr>
          <w:t>eau</w:t>
        </w:r>
      </w:hyperlink>
      <w:r w:rsidRPr="00C34D3D">
        <w:t xml:space="preserve">). La biosphère désigne l’ensemble de ces milieux et tous les êtres vivants qui y vivent.   </w:t>
      </w:r>
    </w:p>
    <w:p w:rsidR="00E7456F" w:rsidRPr="00C34D3D" w:rsidRDefault="00E7456F" w:rsidP="00E7456F">
      <w:pPr>
        <w:spacing w:line="360" w:lineRule="auto"/>
        <w:jc w:val="both"/>
        <w:rPr>
          <w:color w:val="333333"/>
        </w:rPr>
      </w:pPr>
      <w:r w:rsidRPr="00C34D3D">
        <w:rPr>
          <w:b/>
          <w:bCs/>
          <w:color w:val="333333"/>
        </w:rPr>
        <w:t>Exemple :</w:t>
      </w:r>
      <w:r w:rsidRPr="00C34D3D">
        <w:rPr>
          <w:color w:val="333333"/>
        </w:rPr>
        <w:t xml:space="preserve"> une forêt constituée d’arbres, de plantes herbacées, d’animaux et d’un sol.</w:t>
      </w:r>
    </w:p>
    <w:p w:rsidR="00E7456F" w:rsidRPr="00C34D3D" w:rsidRDefault="00E7456F" w:rsidP="00E7456F">
      <w:pPr>
        <w:spacing w:line="360" w:lineRule="auto"/>
        <w:jc w:val="both"/>
      </w:pPr>
      <w:r w:rsidRPr="00C34D3D">
        <w:rPr>
          <w:b/>
          <w:bCs/>
          <w:color w:val="333333"/>
        </w:rPr>
        <w:t>Ecosystème :</w:t>
      </w:r>
      <w:r w:rsidRPr="00C34D3D">
        <w:rPr>
          <w:color w:val="333333"/>
        </w:rPr>
        <w:t xml:space="preserve"> forêt.</w:t>
      </w:r>
      <w:r w:rsidRPr="00C34D3D">
        <w:t xml:space="preserve"> </w:t>
      </w:r>
    </w:p>
    <w:p w:rsidR="00E7456F" w:rsidRPr="00C34D3D" w:rsidRDefault="00E7456F" w:rsidP="00E7456F">
      <w:pPr>
        <w:spacing w:line="360" w:lineRule="auto"/>
        <w:jc w:val="both"/>
        <w:rPr>
          <w:color w:val="333333"/>
        </w:rPr>
      </w:pPr>
      <w:r w:rsidRPr="00C34D3D">
        <w:rPr>
          <w:b/>
          <w:bCs/>
        </w:rPr>
        <w:t>Biocénose :</w:t>
      </w:r>
      <w:r w:rsidRPr="00C34D3D">
        <w:t xml:space="preserve"> phytocénose (</w:t>
      </w:r>
      <w:r w:rsidRPr="00C34D3D">
        <w:rPr>
          <w:color w:val="333333"/>
        </w:rPr>
        <w:t>arbres, plantes herbacées) et zoocénose (animaux).</w:t>
      </w:r>
    </w:p>
    <w:p w:rsidR="00E7456F" w:rsidRPr="00C34D3D" w:rsidRDefault="00E7456F" w:rsidP="00E7456F">
      <w:pPr>
        <w:spacing w:line="360" w:lineRule="auto"/>
        <w:jc w:val="both"/>
      </w:pPr>
      <w:r w:rsidRPr="00C34D3D">
        <w:rPr>
          <w:b/>
          <w:bCs/>
          <w:color w:val="333333"/>
        </w:rPr>
        <w:t>Biotope :</w:t>
      </w:r>
      <w:r w:rsidRPr="00C34D3D">
        <w:rPr>
          <w:color w:val="333333"/>
        </w:rPr>
        <w:t xml:space="preserve"> sol.</w:t>
      </w:r>
    </w:p>
    <w:p w:rsidR="00E7456F" w:rsidRPr="00C34D3D" w:rsidRDefault="00E7456F" w:rsidP="00E7456F">
      <w:pPr>
        <w:spacing w:line="360" w:lineRule="auto"/>
        <w:jc w:val="both"/>
      </w:pPr>
      <w:r w:rsidRPr="00C34D3D">
        <w:t>La notion d'écosystème est multiscalaire (multi-échelle), c'est à dire qu'elle peut s'appliquer à des portions de dimensions variables de la biosphère; un lac, une prairie, ou un arbre mort…</w:t>
      </w:r>
    </w:p>
    <w:p w:rsidR="00E7456F" w:rsidRPr="00C34D3D" w:rsidRDefault="00E7456F" w:rsidP="00E7456F">
      <w:pPr>
        <w:spacing w:line="360" w:lineRule="auto"/>
        <w:jc w:val="both"/>
      </w:pPr>
      <w:r w:rsidRPr="00C34D3D">
        <w:t>Suivant l’échelle de l’écosystème nous avons :</w:t>
      </w:r>
    </w:p>
    <w:p w:rsidR="00E7456F" w:rsidRPr="00C34D3D" w:rsidRDefault="00E7456F" w:rsidP="00E7456F">
      <w:pPr>
        <w:numPr>
          <w:ilvl w:val="0"/>
          <w:numId w:val="4"/>
        </w:numPr>
        <w:spacing w:line="360" w:lineRule="auto"/>
        <w:jc w:val="both"/>
      </w:pPr>
      <w:r w:rsidRPr="00C34D3D">
        <w:t xml:space="preserve">un </w:t>
      </w:r>
      <w:hyperlink r:id="rId10" w:tooltip="Microécosystème" w:history="1">
        <w:r w:rsidRPr="00C34D3D">
          <w:rPr>
            <w:rStyle w:val="Lienhypertexte"/>
            <w:color w:val="auto"/>
            <w:u w:val="none"/>
          </w:rPr>
          <w:t>micro-écosystème</w:t>
        </w:r>
      </w:hyperlink>
      <w:r w:rsidRPr="00C34D3D">
        <w:t xml:space="preserve"> : exemple </w:t>
      </w:r>
      <w:r>
        <w:t xml:space="preserve">un </w:t>
      </w:r>
      <w:r w:rsidRPr="00C34D3D">
        <w:t>arbre</w:t>
      </w:r>
      <w:r>
        <w:t>.</w:t>
      </w:r>
    </w:p>
    <w:p w:rsidR="00E7456F" w:rsidRPr="00C34D3D" w:rsidRDefault="00E7456F" w:rsidP="00E7456F">
      <w:pPr>
        <w:numPr>
          <w:ilvl w:val="0"/>
          <w:numId w:val="4"/>
        </w:numPr>
        <w:spacing w:line="360" w:lineRule="auto"/>
        <w:jc w:val="both"/>
      </w:pPr>
      <w:r w:rsidRPr="00C34D3D">
        <w:t xml:space="preserve">un méso-écosystème : exemple une </w:t>
      </w:r>
      <w:hyperlink r:id="rId11" w:tooltip="Forêt" w:history="1">
        <w:r w:rsidRPr="00C34D3D">
          <w:rPr>
            <w:rStyle w:val="Lienhypertexte"/>
            <w:color w:val="auto"/>
            <w:u w:val="none"/>
          </w:rPr>
          <w:t>forêt</w:t>
        </w:r>
      </w:hyperlink>
      <w:r>
        <w:t> .</w:t>
      </w:r>
    </w:p>
    <w:p w:rsidR="00E7456F" w:rsidRPr="00C34D3D" w:rsidRDefault="00E7456F" w:rsidP="00E7456F">
      <w:pPr>
        <w:numPr>
          <w:ilvl w:val="0"/>
          <w:numId w:val="4"/>
        </w:numPr>
        <w:spacing w:line="360" w:lineRule="auto"/>
        <w:jc w:val="both"/>
      </w:pPr>
      <w:r w:rsidRPr="00C34D3D">
        <w:t>un macro-écosystème : exemple une région.</w:t>
      </w:r>
    </w:p>
    <w:p w:rsidR="00E7456F" w:rsidRDefault="00E7456F" w:rsidP="00E7456F">
      <w:pPr>
        <w:pStyle w:val="NormalWeb"/>
        <w:spacing w:before="0" w:beforeAutospacing="0" w:after="0" w:afterAutospacing="0" w:line="360" w:lineRule="auto"/>
        <w:jc w:val="both"/>
        <w:rPr>
          <w:rFonts w:ascii="Calibri" w:hAnsi="Calibri"/>
          <w:sz w:val="21"/>
          <w:szCs w:val="21"/>
        </w:rPr>
      </w:pPr>
    </w:p>
    <w:p w:rsidR="00E7456F" w:rsidRPr="00C34D3D" w:rsidRDefault="00E7456F" w:rsidP="00E7456F">
      <w:pPr>
        <w:pStyle w:val="NormalWeb"/>
        <w:spacing w:before="0" w:beforeAutospacing="0" w:after="0" w:afterAutospacing="0" w:line="360" w:lineRule="auto"/>
        <w:jc w:val="both"/>
      </w:pPr>
      <w:r w:rsidRPr="00C34D3D">
        <w:t>Les écosystèmes sont souvent classés par référence aux biotopes concernés. On parlera de :</w:t>
      </w:r>
    </w:p>
    <w:p w:rsidR="00E7456F" w:rsidRPr="00C34D3D" w:rsidRDefault="00E7456F" w:rsidP="00E7456F">
      <w:pPr>
        <w:numPr>
          <w:ilvl w:val="0"/>
          <w:numId w:val="3"/>
        </w:numPr>
        <w:tabs>
          <w:tab w:val="num" w:pos="720"/>
        </w:tabs>
        <w:spacing w:line="360" w:lineRule="auto"/>
        <w:jc w:val="both"/>
      </w:pPr>
      <w:r w:rsidRPr="00C34D3D">
        <w:t xml:space="preserve">Ecosystèmes continentaux (ou terrestres) tels que : les écosystèmes forestiers (forêts), les écosystèmes prairiaux (prairies), les </w:t>
      </w:r>
      <w:hyperlink r:id="rId12" w:tooltip="Agro-écosystème" w:history="1">
        <w:r w:rsidRPr="00C34D3D">
          <w:rPr>
            <w:rStyle w:val="Lienhypertexte"/>
            <w:color w:val="auto"/>
            <w:u w:val="none"/>
          </w:rPr>
          <w:t>agro-écosystèmes</w:t>
        </w:r>
      </w:hyperlink>
      <w:r w:rsidRPr="00C34D3D">
        <w:t xml:space="preserve"> (systèmes agricoles);</w:t>
      </w:r>
    </w:p>
    <w:p w:rsidR="00E7456F" w:rsidRPr="00C34D3D" w:rsidRDefault="00E7456F" w:rsidP="00E7456F">
      <w:pPr>
        <w:numPr>
          <w:ilvl w:val="0"/>
          <w:numId w:val="3"/>
        </w:numPr>
        <w:tabs>
          <w:tab w:val="num" w:pos="720"/>
        </w:tabs>
        <w:spacing w:line="360" w:lineRule="auto"/>
        <w:jc w:val="both"/>
      </w:pPr>
      <w:r w:rsidRPr="00C34D3D">
        <w:lastRenderedPageBreak/>
        <w:t xml:space="preserve">Ecosystèmes des eaux continentales, pour les écosystèmes lentiques des eaux calmes à renouvellement lent (lacs, marécages, étangs) ou </w:t>
      </w:r>
      <w:hyperlink r:id="rId13" w:tooltip="Écologie des systèmes lotiques" w:history="1">
        <w:r w:rsidRPr="00C34D3D">
          <w:rPr>
            <w:rStyle w:val="Lienhypertexte"/>
            <w:color w:val="auto"/>
            <w:u w:val="none"/>
          </w:rPr>
          <w:t>écosystèmes lotiques</w:t>
        </w:r>
      </w:hyperlink>
      <w:r w:rsidRPr="00C34D3D">
        <w:t xml:space="preserve"> des eaux courantes (rivières, fleuves) ;</w:t>
      </w:r>
    </w:p>
    <w:p w:rsidR="00E7456F" w:rsidRPr="00C34D3D" w:rsidRDefault="00E7456F" w:rsidP="00E7456F">
      <w:pPr>
        <w:numPr>
          <w:ilvl w:val="0"/>
          <w:numId w:val="3"/>
        </w:numPr>
        <w:tabs>
          <w:tab w:val="num" w:pos="720"/>
        </w:tabs>
        <w:spacing w:line="360" w:lineRule="auto"/>
        <w:jc w:val="both"/>
      </w:pPr>
      <w:r w:rsidRPr="00C34D3D">
        <w:t>Ecosystèmes océaniques (les mers, les océans).</w:t>
      </w:r>
    </w:p>
    <w:p w:rsidR="00C23D53" w:rsidRDefault="00C23D53"/>
    <w:sectPr w:rsidR="00C23D53" w:rsidSect="00C23D53">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7ED" w:rsidRDefault="002E47ED" w:rsidP="00E7456F">
      <w:r>
        <w:separator/>
      </w:r>
    </w:p>
  </w:endnote>
  <w:endnote w:type="continuationSeparator" w:id="1">
    <w:p w:rsidR="002E47ED" w:rsidRDefault="002E47ED" w:rsidP="00E745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98" w:rsidRPr="00544098" w:rsidRDefault="00544098">
    <w:pPr>
      <w:pStyle w:val="Pieddepage"/>
      <w:rPr>
        <w:i/>
        <w:iCs/>
      </w:rPr>
    </w:pPr>
    <w:r>
      <w:t xml:space="preserve">                                                                                                                        </w:t>
    </w:r>
    <w:r w:rsidRPr="00544098">
      <w:rPr>
        <w:i/>
        <w:iCs/>
      </w:rPr>
      <w:t>Dr : Brahmia hafid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7ED" w:rsidRDefault="002E47ED" w:rsidP="00E7456F">
      <w:r>
        <w:separator/>
      </w:r>
    </w:p>
  </w:footnote>
  <w:footnote w:type="continuationSeparator" w:id="1">
    <w:p w:rsidR="002E47ED" w:rsidRDefault="002E47ED" w:rsidP="00E745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56F" w:rsidRPr="004024C7" w:rsidRDefault="00E7456F" w:rsidP="00E7456F">
    <w:pPr>
      <w:pStyle w:val="En-tte"/>
      <w:rPr>
        <w:i/>
        <w:iCs/>
        <w:sz w:val="20"/>
        <w:szCs w:val="20"/>
        <w:u w:val="single"/>
      </w:rPr>
    </w:pPr>
    <w:r>
      <w:rPr>
        <w:i/>
        <w:iCs/>
        <w:sz w:val="20"/>
        <w:szCs w:val="20"/>
        <w:u w:val="single"/>
      </w:rPr>
      <w:t xml:space="preserve">ECOLOGIE                                                                                                                     2 </w:t>
    </w:r>
    <w:r w:rsidRPr="00D03969">
      <w:rPr>
        <w:i/>
        <w:iCs/>
        <w:sz w:val="20"/>
        <w:szCs w:val="20"/>
        <w:u w:val="single"/>
        <w:vertAlign w:val="superscript"/>
      </w:rPr>
      <w:t>ème</w:t>
    </w:r>
    <w:r>
      <w:rPr>
        <w:i/>
        <w:iCs/>
        <w:sz w:val="20"/>
        <w:szCs w:val="20"/>
        <w:u w:val="single"/>
      </w:rPr>
      <w:t xml:space="preserve"> Année Tronc Commun</w:t>
    </w:r>
  </w:p>
  <w:p w:rsidR="00E7456F" w:rsidRDefault="00E7456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17944"/>
    <w:multiLevelType w:val="hybridMultilevel"/>
    <w:tmpl w:val="E3F00EDC"/>
    <w:lvl w:ilvl="0" w:tplc="B562FBC2">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C2D7350"/>
    <w:multiLevelType w:val="hybridMultilevel"/>
    <w:tmpl w:val="4F5266C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nsid w:val="6CF075FB"/>
    <w:multiLevelType w:val="multilevel"/>
    <w:tmpl w:val="CDE0A2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78C574CC"/>
    <w:multiLevelType w:val="hybridMultilevel"/>
    <w:tmpl w:val="1A86D7AC"/>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7456F"/>
    <w:rsid w:val="00233742"/>
    <w:rsid w:val="002E47ED"/>
    <w:rsid w:val="0036475E"/>
    <w:rsid w:val="00544098"/>
    <w:rsid w:val="005749CB"/>
    <w:rsid w:val="00710A17"/>
    <w:rsid w:val="00A11F6E"/>
    <w:rsid w:val="00B530D8"/>
    <w:rsid w:val="00C23D53"/>
    <w:rsid w:val="00CD780C"/>
    <w:rsid w:val="00E7456F"/>
    <w:rsid w:val="00EF5BF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56F"/>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E7456F"/>
    <w:rPr>
      <w:color w:val="0000FF"/>
      <w:u w:val="single"/>
    </w:rPr>
  </w:style>
  <w:style w:type="paragraph" w:styleId="NormalWeb">
    <w:name w:val="Normal (Web)"/>
    <w:basedOn w:val="Normal"/>
    <w:uiPriority w:val="99"/>
    <w:rsid w:val="00E7456F"/>
    <w:pPr>
      <w:spacing w:before="100" w:beforeAutospacing="1" w:after="100" w:afterAutospacing="1"/>
    </w:pPr>
  </w:style>
  <w:style w:type="paragraph" w:styleId="En-tte">
    <w:name w:val="header"/>
    <w:basedOn w:val="Normal"/>
    <w:link w:val="En-tteCar"/>
    <w:unhideWhenUsed/>
    <w:rsid w:val="00E7456F"/>
    <w:pPr>
      <w:tabs>
        <w:tab w:val="center" w:pos="4536"/>
        <w:tab w:val="right" w:pos="9072"/>
      </w:tabs>
    </w:pPr>
  </w:style>
  <w:style w:type="character" w:customStyle="1" w:styleId="En-tteCar">
    <w:name w:val="En-tête Car"/>
    <w:basedOn w:val="Policepardfaut"/>
    <w:link w:val="En-tte"/>
    <w:uiPriority w:val="99"/>
    <w:semiHidden/>
    <w:rsid w:val="00E7456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E7456F"/>
    <w:pPr>
      <w:tabs>
        <w:tab w:val="center" w:pos="4536"/>
        <w:tab w:val="right" w:pos="9072"/>
      </w:tabs>
    </w:pPr>
  </w:style>
  <w:style w:type="character" w:customStyle="1" w:styleId="PieddepageCar">
    <w:name w:val="Pied de page Car"/>
    <w:basedOn w:val="Policepardfaut"/>
    <w:link w:val="Pieddepage"/>
    <w:uiPriority w:val="99"/>
    <w:semiHidden/>
    <w:rsid w:val="00E7456F"/>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1935" TargetMode="External"/><Relationship Id="rId13" Type="http://schemas.openxmlformats.org/officeDocument/2006/relationships/hyperlink" Target="http://fr.wikipedia.org/wiki/%C3%89cologie_des_syst%C3%A8mes_lotiques" TargetMode="External"/><Relationship Id="rId3" Type="http://schemas.openxmlformats.org/officeDocument/2006/relationships/settings" Target="settings.xml"/><Relationship Id="rId7" Type="http://schemas.openxmlformats.org/officeDocument/2006/relationships/hyperlink" Target="http://fr.wikipedia.org/wiki/Arthur_Tansley" TargetMode="External"/><Relationship Id="rId12" Type="http://schemas.openxmlformats.org/officeDocument/2006/relationships/hyperlink" Target="http://fr.wikipedia.org/w/index.php?title=Agro-%C3%A9cosyst%C3%A8me&amp;action=ed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wikipedia.org/wiki/For%C3%AA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fr.wikipedia.org/w/index.php?title=Micro%C3%A9cosyst%C3%A8me&amp;action=edit" TargetMode="External"/><Relationship Id="rId4" Type="http://schemas.openxmlformats.org/officeDocument/2006/relationships/webSettings" Target="webSettings.xml"/><Relationship Id="rId9" Type="http://schemas.openxmlformats.org/officeDocument/2006/relationships/hyperlink" Target="http://fr.wikipedia.org/wiki/Eau"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800</Words>
  <Characters>4401</Characters>
  <Application>Microsoft Office Word</Application>
  <DocSecurity>0</DocSecurity>
  <Lines>36</Lines>
  <Paragraphs>10</Paragraphs>
  <ScaleCrop>false</ScaleCrop>
  <Company/>
  <LinksUpToDate>false</LinksUpToDate>
  <CharactersWithSpaces>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2</cp:revision>
  <dcterms:created xsi:type="dcterms:W3CDTF">2024-02-07T17:09:00Z</dcterms:created>
  <dcterms:modified xsi:type="dcterms:W3CDTF">2024-02-07T17:19:00Z</dcterms:modified>
</cp:coreProperties>
</file>