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8BE" w:rsidRPr="008F48BE" w:rsidRDefault="008F48BE" w:rsidP="008F48BE">
      <w:pPr>
        <w:pStyle w:val="Default"/>
        <w:jc w:val="center"/>
        <w:rPr>
          <w:b/>
          <w:bCs/>
          <w:color w:val="auto"/>
          <w:sz w:val="28"/>
          <w:szCs w:val="28"/>
        </w:rPr>
      </w:pPr>
      <w:r w:rsidRPr="008F48BE">
        <w:rPr>
          <w:b/>
          <w:bCs/>
          <w:color w:val="auto"/>
          <w:sz w:val="28"/>
          <w:szCs w:val="28"/>
        </w:rPr>
        <w:t xml:space="preserve">TD N° 01 : </w:t>
      </w:r>
      <w:r w:rsidRPr="008F48BE">
        <w:rPr>
          <w:rFonts w:asciiTheme="majorBidi" w:hAnsiTheme="majorBidi" w:cstheme="majorBidi"/>
          <w:b/>
          <w:bCs/>
          <w:sz w:val="28"/>
          <w:szCs w:val="28"/>
        </w:rPr>
        <w:t>Monde microbien</w:t>
      </w:r>
    </w:p>
    <w:p w:rsidR="008F48BE" w:rsidRDefault="008F48BE" w:rsidP="00693E17">
      <w:pPr>
        <w:pStyle w:val="Default"/>
        <w:jc w:val="both"/>
        <w:rPr>
          <w:b/>
          <w:bCs/>
          <w:color w:val="auto"/>
        </w:rPr>
      </w:pPr>
    </w:p>
    <w:p w:rsidR="00473EAB" w:rsidRPr="00693E17" w:rsidRDefault="00473EAB" w:rsidP="00693E17">
      <w:pPr>
        <w:pStyle w:val="Default"/>
        <w:jc w:val="both"/>
        <w:rPr>
          <w:color w:val="auto"/>
        </w:rPr>
      </w:pPr>
      <w:r w:rsidRPr="00693E17">
        <w:rPr>
          <w:b/>
          <w:bCs/>
          <w:color w:val="auto"/>
        </w:rPr>
        <w:t xml:space="preserve">Introduction </w:t>
      </w:r>
    </w:p>
    <w:p w:rsidR="00473EAB" w:rsidRPr="00693E17" w:rsidRDefault="00473EAB" w:rsidP="00D60698">
      <w:pPr>
        <w:pStyle w:val="Default"/>
        <w:ind w:firstLine="708"/>
        <w:jc w:val="both"/>
        <w:rPr>
          <w:color w:val="auto"/>
        </w:rPr>
      </w:pPr>
      <w:r w:rsidRPr="00693E17">
        <w:rPr>
          <w:color w:val="auto"/>
        </w:rPr>
        <w:t xml:space="preserve">Les micro-organismes aussi appelés microbes et protistes, forment un ensemble d’organismes vivants microscopiques, invisibles à l’oeil nu. C’est leur seul point commun, car ils diffèrent et varient par leur morphologie, leur physiologie, leur mode de reproduction et leur écologie. </w:t>
      </w:r>
    </w:p>
    <w:p w:rsidR="00473EAB" w:rsidRPr="00693E17" w:rsidRDefault="00473EAB" w:rsidP="00D60698">
      <w:pPr>
        <w:pStyle w:val="Default"/>
        <w:ind w:firstLine="708"/>
        <w:jc w:val="both"/>
        <w:rPr>
          <w:color w:val="auto"/>
        </w:rPr>
      </w:pPr>
      <w:r w:rsidRPr="00693E17">
        <w:rPr>
          <w:color w:val="auto"/>
        </w:rPr>
        <w:t xml:space="preserve">Les protistes se composent : </w:t>
      </w:r>
      <w:r w:rsidRPr="00693E17">
        <w:rPr>
          <w:b/>
          <w:bCs/>
          <w:color w:val="auto"/>
        </w:rPr>
        <w:t>des bactéries, des protozoaires, des champignons (Mycètes</w:t>
      </w:r>
      <w:r w:rsidRPr="00693E17">
        <w:rPr>
          <w:color w:val="auto"/>
        </w:rPr>
        <w:t xml:space="preserve">) microscopique, et </w:t>
      </w:r>
      <w:r w:rsidRPr="00693E17">
        <w:rPr>
          <w:b/>
          <w:bCs/>
          <w:color w:val="auto"/>
        </w:rPr>
        <w:t xml:space="preserve">des algues. Les virus </w:t>
      </w:r>
      <w:r w:rsidRPr="00693E17">
        <w:rPr>
          <w:color w:val="auto"/>
        </w:rPr>
        <w:t xml:space="preserve">sont considérés comme des micro-organismes acellulaires qui dépendent entièrement des cellules hôtes infectées. </w:t>
      </w:r>
    </w:p>
    <w:p w:rsidR="00473EAB" w:rsidRPr="00693E17" w:rsidRDefault="008F48BE" w:rsidP="00D60698">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microbiologie </w:t>
      </w:r>
      <w:r w:rsidR="00473EAB" w:rsidRPr="00693E17">
        <w:rPr>
          <w:rFonts w:ascii="Times New Roman" w:hAnsi="Times New Roman" w:cs="Times New Roman"/>
          <w:sz w:val="24"/>
          <w:szCs w:val="24"/>
        </w:rPr>
        <w:t>est la science qui étudie les organismes microscopiques, cette science est divisée en plusieurs branches, en</w:t>
      </w:r>
      <w:r>
        <w:rPr>
          <w:rFonts w:ascii="Times New Roman" w:hAnsi="Times New Roman" w:cs="Times New Roman"/>
          <w:sz w:val="24"/>
          <w:szCs w:val="24"/>
        </w:rPr>
        <w:t xml:space="preserve"> fonction du type de (microbe)</w:t>
      </w:r>
      <w:r w:rsidR="00473EAB" w:rsidRPr="00693E17">
        <w:rPr>
          <w:rFonts w:ascii="Times New Roman" w:hAnsi="Times New Roman" w:cs="Times New Roman"/>
          <w:sz w:val="24"/>
          <w:szCs w:val="24"/>
        </w:rPr>
        <w:t xml:space="preserve"> étudié (</w:t>
      </w:r>
      <w:r w:rsidR="00D60698">
        <w:rPr>
          <w:rFonts w:ascii="Times New Roman" w:hAnsi="Times New Roman" w:cs="Times New Roman"/>
          <w:b/>
          <w:bCs/>
          <w:sz w:val="24"/>
          <w:szCs w:val="24"/>
        </w:rPr>
        <w:t>figure</w:t>
      </w:r>
      <w:r>
        <w:rPr>
          <w:rFonts w:ascii="Times New Roman" w:hAnsi="Times New Roman" w:cs="Times New Roman"/>
          <w:b/>
          <w:bCs/>
          <w:sz w:val="24"/>
          <w:szCs w:val="24"/>
        </w:rPr>
        <w:t xml:space="preserve"> 0</w:t>
      </w:r>
      <w:r w:rsidR="00473EAB" w:rsidRPr="00693E17">
        <w:rPr>
          <w:rFonts w:ascii="Times New Roman" w:hAnsi="Times New Roman" w:cs="Times New Roman"/>
          <w:b/>
          <w:bCs/>
          <w:sz w:val="24"/>
          <w:szCs w:val="24"/>
        </w:rPr>
        <w:t>1</w:t>
      </w:r>
      <w:r w:rsidR="00473EAB" w:rsidRPr="00693E17">
        <w:rPr>
          <w:rFonts w:ascii="Times New Roman" w:hAnsi="Times New Roman" w:cs="Times New Roman"/>
          <w:sz w:val="24"/>
          <w:szCs w:val="24"/>
        </w:rPr>
        <w:t>).</w:t>
      </w:r>
    </w:p>
    <w:p w:rsidR="00473EAB" w:rsidRPr="00693E17" w:rsidRDefault="00473EAB" w:rsidP="00D60698">
      <w:pPr>
        <w:autoSpaceDE w:val="0"/>
        <w:autoSpaceDN w:val="0"/>
        <w:adjustRightInd w:val="0"/>
        <w:spacing w:after="0" w:line="240" w:lineRule="auto"/>
        <w:jc w:val="center"/>
        <w:rPr>
          <w:rFonts w:ascii="Times New Roman" w:hAnsi="Times New Roman" w:cs="Times New Roman"/>
          <w:kern w:val="0"/>
          <w:sz w:val="24"/>
          <w:szCs w:val="24"/>
        </w:rPr>
      </w:pPr>
      <w:r w:rsidRPr="00693E17">
        <w:rPr>
          <w:rFonts w:ascii="Times New Roman" w:hAnsi="Times New Roman" w:cs="Times New Roman"/>
          <w:noProof/>
          <w:kern w:val="0"/>
          <w:sz w:val="24"/>
          <w:szCs w:val="24"/>
          <w:lang w:eastAsia="fr-FR"/>
        </w:rPr>
        <w:drawing>
          <wp:inline distT="0" distB="0" distL="0" distR="0">
            <wp:extent cx="4173122" cy="2764301"/>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180408" cy="2769127"/>
                    </a:xfrm>
                    <a:prstGeom prst="rect">
                      <a:avLst/>
                    </a:prstGeom>
                    <a:noFill/>
                    <a:ln w="9525">
                      <a:noFill/>
                      <a:miter lim="800000"/>
                      <a:headEnd/>
                      <a:tailEnd/>
                    </a:ln>
                  </pic:spPr>
                </pic:pic>
              </a:graphicData>
            </a:graphic>
          </wp:inline>
        </w:drawing>
      </w:r>
    </w:p>
    <w:p w:rsidR="00473EAB" w:rsidRPr="00693E17" w:rsidRDefault="00473EAB" w:rsidP="00D60698">
      <w:pPr>
        <w:pStyle w:val="Default"/>
        <w:jc w:val="center"/>
        <w:rPr>
          <w:color w:val="auto"/>
        </w:rPr>
      </w:pPr>
      <w:r w:rsidRPr="00693E17">
        <w:rPr>
          <w:b/>
          <w:color w:val="auto"/>
        </w:rPr>
        <w:t>Fig</w:t>
      </w:r>
      <w:r w:rsidR="00693E17" w:rsidRPr="00693E17">
        <w:rPr>
          <w:b/>
          <w:color w:val="auto"/>
        </w:rPr>
        <w:t>ure</w:t>
      </w:r>
      <w:r w:rsidRPr="00693E17">
        <w:rPr>
          <w:b/>
          <w:color w:val="auto"/>
        </w:rPr>
        <w:t xml:space="preserve"> 01:</w:t>
      </w:r>
      <w:r w:rsidR="008F48BE">
        <w:rPr>
          <w:color w:val="auto"/>
        </w:rPr>
        <w:t xml:space="preserve"> D</w:t>
      </w:r>
      <w:r w:rsidRPr="00693E17">
        <w:rPr>
          <w:color w:val="auto"/>
        </w:rPr>
        <w:t>ifférentes branches de la microbiologie</w:t>
      </w:r>
    </w:p>
    <w:p w:rsidR="00693E17" w:rsidRPr="00693E17" w:rsidRDefault="00693E17" w:rsidP="00693E17">
      <w:pPr>
        <w:pStyle w:val="Default"/>
        <w:jc w:val="both"/>
        <w:rPr>
          <w:color w:val="auto"/>
        </w:rPr>
      </w:pPr>
    </w:p>
    <w:p w:rsidR="00473EAB" w:rsidRPr="008F48BE" w:rsidRDefault="00473EAB" w:rsidP="00693E17">
      <w:pPr>
        <w:pStyle w:val="Default"/>
        <w:jc w:val="both"/>
        <w:rPr>
          <w:b/>
          <w:color w:val="auto"/>
        </w:rPr>
      </w:pPr>
      <w:r w:rsidRPr="008F48BE">
        <w:rPr>
          <w:b/>
          <w:color w:val="auto"/>
        </w:rPr>
        <w:t xml:space="preserve">1. </w:t>
      </w:r>
      <w:r w:rsidRPr="008F48BE">
        <w:rPr>
          <w:b/>
          <w:bCs/>
          <w:color w:val="auto"/>
        </w:rPr>
        <w:t xml:space="preserve">Historique : </w:t>
      </w:r>
    </w:p>
    <w:p w:rsidR="00D60698" w:rsidRDefault="00473EAB" w:rsidP="00693E17">
      <w:pPr>
        <w:pStyle w:val="Default"/>
        <w:numPr>
          <w:ilvl w:val="0"/>
          <w:numId w:val="1"/>
        </w:numPr>
        <w:jc w:val="both"/>
        <w:rPr>
          <w:color w:val="auto"/>
        </w:rPr>
      </w:pPr>
      <w:r w:rsidRPr="00693E17">
        <w:rPr>
          <w:color w:val="auto"/>
        </w:rPr>
        <w:t>Antonie</w:t>
      </w:r>
      <w:r w:rsidR="00693E17" w:rsidRPr="00693E17">
        <w:rPr>
          <w:color w:val="auto"/>
        </w:rPr>
        <w:t xml:space="preserve"> </w:t>
      </w:r>
      <w:r w:rsidRPr="00693E17">
        <w:rPr>
          <w:b/>
          <w:bCs/>
          <w:color w:val="auto"/>
        </w:rPr>
        <w:t xml:space="preserve">van Leeuwenhoek </w:t>
      </w:r>
      <w:r w:rsidRPr="00693E17">
        <w:rPr>
          <w:color w:val="auto"/>
        </w:rPr>
        <w:t xml:space="preserve">(1632-1723) observe et décrit en 1676 des micro-organismes grâce à un microscope qu’il a lui-même construit. Il emploie le terme « animalcules » pour qualifier les diverses formes présentes dans des échantillons d’eau, des décoctions de foin ou dans la salive. </w:t>
      </w:r>
    </w:p>
    <w:p w:rsidR="00693E17" w:rsidRPr="00D60698" w:rsidRDefault="00473EAB" w:rsidP="00693E17">
      <w:pPr>
        <w:pStyle w:val="Default"/>
        <w:numPr>
          <w:ilvl w:val="0"/>
          <w:numId w:val="1"/>
        </w:numPr>
        <w:jc w:val="both"/>
        <w:rPr>
          <w:color w:val="auto"/>
        </w:rPr>
      </w:pPr>
      <w:r w:rsidRPr="00D60698">
        <w:rPr>
          <w:color w:val="auto"/>
        </w:rPr>
        <w:t xml:space="preserve">En 1857, Louis </w:t>
      </w:r>
      <w:r w:rsidRPr="00D60698">
        <w:rPr>
          <w:b/>
          <w:bCs/>
          <w:color w:val="auto"/>
        </w:rPr>
        <w:t xml:space="preserve">Pasteur </w:t>
      </w:r>
      <w:r w:rsidRPr="00D60698">
        <w:rPr>
          <w:color w:val="auto"/>
        </w:rPr>
        <w:t xml:space="preserve">(1822-1895) démontre que la fermentation du sucre en acide lactique est due à un microorganisme. Il participe à la remise en cause de la théorie de </w:t>
      </w:r>
      <w:r w:rsidR="00693E17" w:rsidRPr="00D60698">
        <w:rPr>
          <w:color w:val="auto"/>
        </w:rPr>
        <w:t xml:space="preserve"> </w:t>
      </w:r>
    </w:p>
    <w:p w:rsidR="00D60698" w:rsidRDefault="00693E17" w:rsidP="00693E17">
      <w:pPr>
        <w:pStyle w:val="Default"/>
        <w:jc w:val="both"/>
        <w:rPr>
          <w:color w:val="auto"/>
        </w:rPr>
      </w:pPr>
      <w:r w:rsidRPr="00693E17">
        <w:rPr>
          <w:color w:val="auto"/>
        </w:rPr>
        <w:t xml:space="preserve">la </w:t>
      </w:r>
      <w:r w:rsidRPr="00693E17">
        <w:rPr>
          <w:b/>
          <w:bCs/>
          <w:color w:val="auto"/>
        </w:rPr>
        <w:t xml:space="preserve">génération spontanée </w:t>
      </w:r>
      <w:r w:rsidRPr="00693E17">
        <w:rPr>
          <w:color w:val="auto"/>
        </w:rPr>
        <w:t>(apparition d’organismes vivants à partir de matière non vivante).</w:t>
      </w:r>
    </w:p>
    <w:p w:rsidR="00693E17" w:rsidRPr="00693E17" w:rsidRDefault="00693E17" w:rsidP="00D60698">
      <w:pPr>
        <w:pStyle w:val="Default"/>
        <w:numPr>
          <w:ilvl w:val="0"/>
          <w:numId w:val="2"/>
        </w:numPr>
        <w:jc w:val="both"/>
        <w:rPr>
          <w:color w:val="auto"/>
        </w:rPr>
      </w:pPr>
      <w:r w:rsidRPr="00693E17">
        <w:rPr>
          <w:color w:val="auto"/>
        </w:rPr>
        <w:t xml:space="preserve">En 1876, Robert </w:t>
      </w:r>
      <w:r w:rsidRPr="00693E17">
        <w:rPr>
          <w:b/>
          <w:bCs/>
          <w:color w:val="auto"/>
        </w:rPr>
        <w:t xml:space="preserve">Koch </w:t>
      </w:r>
      <w:r w:rsidRPr="00693E17">
        <w:rPr>
          <w:color w:val="auto"/>
        </w:rPr>
        <w:t xml:space="preserve">(1843-1910) démontre que le charbon est dû à </w:t>
      </w:r>
      <w:r w:rsidRPr="00693E17">
        <w:rPr>
          <w:i/>
          <w:iCs/>
          <w:color w:val="auto"/>
        </w:rPr>
        <w:t>Bacillus anthracis</w:t>
      </w:r>
      <w:r w:rsidRPr="00693E17">
        <w:rPr>
          <w:color w:val="auto"/>
        </w:rPr>
        <w:t xml:space="preserve">. Il cultive des bactéries sur de la gélatine, puis découvre l’agent de la tuberculose (le bacille de Koch : </w:t>
      </w:r>
      <w:r w:rsidRPr="00693E17">
        <w:rPr>
          <w:i/>
          <w:iCs/>
          <w:color w:val="auto"/>
        </w:rPr>
        <w:t>Mycobacterium</w:t>
      </w:r>
      <w:r w:rsidR="008F48BE">
        <w:rPr>
          <w:i/>
          <w:iCs/>
          <w:color w:val="auto"/>
        </w:rPr>
        <w:t xml:space="preserve"> </w:t>
      </w:r>
      <w:r w:rsidRPr="00693E17">
        <w:rPr>
          <w:i/>
          <w:iCs/>
          <w:color w:val="auto"/>
        </w:rPr>
        <w:t>tuberculosis</w:t>
      </w:r>
      <w:r w:rsidRPr="00693E17">
        <w:rPr>
          <w:color w:val="auto"/>
        </w:rPr>
        <w:t xml:space="preserve">). Les postulats de Koch sont publiés pour la première fois en 1884. </w:t>
      </w:r>
    </w:p>
    <w:p w:rsidR="00693E17" w:rsidRPr="00693E17" w:rsidRDefault="00693E17" w:rsidP="00D60698">
      <w:pPr>
        <w:pStyle w:val="Default"/>
        <w:numPr>
          <w:ilvl w:val="0"/>
          <w:numId w:val="2"/>
        </w:numPr>
        <w:jc w:val="both"/>
        <w:rPr>
          <w:color w:val="auto"/>
        </w:rPr>
      </w:pPr>
      <w:r w:rsidRPr="00693E17">
        <w:rPr>
          <w:color w:val="auto"/>
        </w:rPr>
        <w:t xml:space="preserve">En 1884, Hans Christian </w:t>
      </w:r>
      <w:r w:rsidRPr="00693E17">
        <w:rPr>
          <w:b/>
          <w:bCs/>
          <w:color w:val="auto"/>
        </w:rPr>
        <w:t xml:space="preserve">Gram </w:t>
      </w:r>
      <w:r w:rsidRPr="00693E17">
        <w:rPr>
          <w:color w:val="auto"/>
        </w:rPr>
        <w:t xml:space="preserve">(1853-1928) développe une technique de coloration qui est encore aujourd’hui la plus utilisée dans l'étude et la classification des bactéries. </w:t>
      </w:r>
    </w:p>
    <w:p w:rsidR="00693E17" w:rsidRPr="00693E17" w:rsidRDefault="00693E17" w:rsidP="00D60698">
      <w:pPr>
        <w:pStyle w:val="Default"/>
        <w:numPr>
          <w:ilvl w:val="0"/>
          <w:numId w:val="2"/>
        </w:numPr>
        <w:jc w:val="both"/>
        <w:rPr>
          <w:color w:val="auto"/>
        </w:rPr>
      </w:pPr>
      <w:r w:rsidRPr="00693E17">
        <w:rPr>
          <w:color w:val="auto"/>
        </w:rPr>
        <w:t xml:space="preserve">La première édition du manuel de Bergey est publiée en 1923. </w:t>
      </w:r>
    </w:p>
    <w:p w:rsidR="00693E17" w:rsidRPr="00693E17" w:rsidRDefault="00693E17" w:rsidP="00D60698">
      <w:pPr>
        <w:pStyle w:val="Default"/>
        <w:numPr>
          <w:ilvl w:val="0"/>
          <w:numId w:val="2"/>
        </w:numPr>
        <w:jc w:val="both"/>
        <w:rPr>
          <w:color w:val="auto"/>
        </w:rPr>
      </w:pPr>
      <w:r w:rsidRPr="00693E17">
        <w:rPr>
          <w:color w:val="auto"/>
        </w:rPr>
        <w:t xml:space="preserve">En 1928, Griffith découvre la conjugaison bactérienne. </w:t>
      </w:r>
    </w:p>
    <w:p w:rsidR="00693E17" w:rsidRPr="00693E17" w:rsidRDefault="00693E17" w:rsidP="00D60698">
      <w:pPr>
        <w:pStyle w:val="Default"/>
        <w:numPr>
          <w:ilvl w:val="0"/>
          <w:numId w:val="2"/>
        </w:numPr>
        <w:jc w:val="both"/>
        <w:rPr>
          <w:color w:val="auto"/>
        </w:rPr>
      </w:pPr>
      <w:r w:rsidRPr="00693E17">
        <w:rPr>
          <w:color w:val="auto"/>
        </w:rPr>
        <w:t xml:space="preserve">En 1929, Fleming découvre la pénicilline. </w:t>
      </w:r>
    </w:p>
    <w:p w:rsidR="00693E17" w:rsidRPr="00693E17" w:rsidRDefault="00693E17" w:rsidP="00D60698">
      <w:pPr>
        <w:pStyle w:val="Default"/>
        <w:numPr>
          <w:ilvl w:val="0"/>
          <w:numId w:val="2"/>
        </w:numPr>
        <w:jc w:val="both"/>
        <w:rPr>
          <w:color w:val="auto"/>
        </w:rPr>
      </w:pPr>
      <w:r w:rsidRPr="00693E17">
        <w:rPr>
          <w:color w:val="auto"/>
        </w:rPr>
        <w:t xml:space="preserve">En 1952, Zinder et Lederberg découvrent la transduction généralisée. </w:t>
      </w:r>
    </w:p>
    <w:p w:rsidR="00693E17" w:rsidRPr="00693E17" w:rsidRDefault="00693E17" w:rsidP="00D60698">
      <w:pPr>
        <w:pStyle w:val="Default"/>
        <w:numPr>
          <w:ilvl w:val="0"/>
          <w:numId w:val="2"/>
        </w:numPr>
        <w:jc w:val="both"/>
        <w:rPr>
          <w:color w:val="auto"/>
        </w:rPr>
      </w:pPr>
      <w:r w:rsidRPr="00693E17">
        <w:rPr>
          <w:color w:val="auto"/>
        </w:rPr>
        <w:t xml:space="preserve">En 1961, Jacob et Monod proposent le modèle de l’opéron pour la régulation des gènes. </w:t>
      </w:r>
    </w:p>
    <w:p w:rsidR="00693E17" w:rsidRPr="00693E17" w:rsidRDefault="00693E17" w:rsidP="00693E17">
      <w:pPr>
        <w:pStyle w:val="Default"/>
        <w:jc w:val="both"/>
        <w:rPr>
          <w:color w:val="auto"/>
        </w:rPr>
      </w:pPr>
      <w:r w:rsidRPr="00693E17">
        <w:rPr>
          <w:b/>
          <w:bCs/>
          <w:color w:val="auto"/>
        </w:rPr>
        <w:lastRenderedPageBreak/>
        <w:t xml:space="preserve">2. Place des micro-organismes dans le monde vivant : </w:t>
      </w:r>
    </w:p>
    <w:p w:rsidR="00693E17" w:rsidRPr="00693E17" w:rsidRDefault="00693E17" w:rsidP="00D60698">
      <w:pPr>
        <w:pStyle w:val="Default"/>
        <w:ind w:firstLine="708"/>
        <w:jc w:val="both"/>
        <w:rPr>
          <w:color w:val="auto"/>
        </w:rPr>
      </w:pPr>
      <w:r w:rsidRPr="00693E17">
        <w:rPr>
          <w:color w:val="auto"/>
        </w:rPr>
        <w:t xml:space="preserve">Depuis leur découverte par Anthony van Leeuwenhoeck, la place des bactéries dans le monde vivant a beaucoup évoluée. Le botaniste suédois Carl van Linné (1735), élabora une première classification des organismes vivants en deux règnes Plantae et Animalia. En 1857, Karl van Nägeli proposa de classer les bactéries et les champignons dans le règne des Plantes. </w:t>
      </w:r>
    </w:p>
    <w:p w:rsidR="00693E17" w:rsidRPr="00693E17" w:rsidRDefault="00693E17" w:rsidP="00693E17">
      <w:pPr>
        <w:pStyle w:val="Default"/>
        <w:jc w:val="both"/>
        <w:rPr>
          <w:color w:val="auto"/>
        </w:rPr>
      </w:pPr>
    </w:p>
    <w:p w:rsidR="00F54FA8" w:rsidRPr="00F05D35" w:rsidRDefault="00F54FA8" w:rsidP="00F54FA8">
      <w:pPr>
        <w:pStyle w:val="Paragraphedeliste"/>
        <w:numPr>
          <w:ilvl w:val="1"/>
          <w:numId w:val="4"/>
        </w:numPr>
        <w:spacing w:after="0"/>
        <w:jc w:val="both"/>
        <w:rPr>
          <w:rFonts w:asciiTheme="majorBidi" w:hAnsiTheme="majorBidi" w:cstheme="majorBidi"/>
          <w:b/>
          <w:bCs/>
          <w:sz w:val="24"/>
          <w:szCs w:val="24"/>
        </w:rPr>
      </w:pPr>
      <w:r w:rsidRPr="00F05D35">
        <w:rPr>
          <w:rFonts w:asciiTheme="majorBidi" w:hAnsiTheme="majorBidi" w:cstheme="majorBidi"/>
          <w:b/>
          <w:bCs/>
          <w:sz w:val="24"/>
          <w:szCs w:val="24"/>
        </w:rPr>
        <w:t>Classification de Haeckel</w:t>
      </w:r>
    </w:p>
    <w:p w:rsidR="00F54FA8" w:rsidRDefault="00F54FA8" w:rsidP="008F48BE">
      <w:pPr>
        <w:spacing w:after="0" w:line="276" w:lineRule="auto"/>
        <w:ind w:firstLine="708"/>
        <w:jc w:val="both"/>
        <w:rPr>
          <w:rFonts w:asciiTheme="majorBidi" w:hAnsiTheme="majorBidi" w:cstheme="majorBidi"/>
          <w:sz w:val="24"/>
          <w:szCs w:val="24"/>
        </w:rPr>
      </w:pPr>
      <w:r w:rsidRPr="009871B3">
        <w:rPr>
          <w:rFonts w:asciiTheme="majorBidi" w:hAnsiTheme="majorBidi" w:cstheme="majorBidi"/>
          <w:sz w:val="24"/>
          <w:szCs w:val="24"/>
        </w:rPr>
        <w:t>En 1866, E. Haeckel divise le monde vivant en trois règnes, le règne animal, le règne végétal et le règne des protistes qui rassemble les algues, les protozoaires, les champignons et les bactéries.</w:t>
      </w:r>
    </w:p>
    <w:p w:rsidR="00F54FA8" w:rsidRDefault="00F54FA8" w:rsidP="00F54FA8">
      <w:pPr>
        <w:spacing w:after="0" w:line="276" w:lineRule="auto"/>
        <w:jc w:val="both"/>
        <w:rPr>
          <w:rFonts w:asciiTheme="majorBidi" w:hAnsiTheme="majorBidi" w:cstheme="majorBidi"/>
          <w:sz w:val="24"/>
          <w:szCs w:val="24"/>
        </w:rPr>
      </w:pPr>
    </w:p>
    <w:p w:rsidR="00F54FA8" w:rsidRPr="00D24F96" w:rsidRDefault="00F54FA8" w:rsidP="00F54FA8">
      <w:pPr>
        <w:pStyle w:val="Paragraphedeliste"/>
        <w:numPr>
          <w:ilvl w:val="1"/>
          <w:numId w:val="4"/>
        </w:numPr>
        <w:spacing w:after="0"/>
        <w:jc w:val="both"/>
        <w:rPr>
          <w:rFonts w:asciiTheme="majorBidi" w:hAnsiTheme="majorBidi" w:cstheme="majorBidi"/>
          <w:b/>
          <w:bCs/>
          <w:sz w:val="24"/>
          <w:szCs w:val="24"/>
        </w:rPr>
      </w:pPr>
      <w:r w:rsidRPr="00D24F96">
        <w:rPr>
          <w:rFonts w:asciiTheme="majorBidi" w:hAnsiTheme="majorBidi" w:cstheme="majorBidi"/>
          <w:b/>
          <w:bCs/>
          <w:sz w:val="24"/>
          <w:szCs w:val="24"/>
        </w:rPr>
        <w:t xml:space="preserve"> Distinction entre cellules eucaryotes et pr</w:t>
      </w:r>
      <w:r>
        <w:rPr>
          <w:rFonts w:asciiTheme="majorBidi" w:hAnsiTheme="majorBidi" w:cstheme="majorBidi"/>
          <w:b/>
          <w:bCs/>
          <w:sz w:val="24"/>
          <w:szCs w:val="24"/>
        </w:rPr>
        <w:t>ocaryotes selon Edward Chatton</w:t>
      </w:r>
    </w:p>
    <w:p w:rsidR="00F54FA8" w:rsidRPr="00F05D35" w:rsidRDefault="00F54FA8" w:rsidP="008F48BE">
      <w:pPr>
        <w:spacing w:after="0" w:line="276" w:lineRule="auto"/>
        <w:ind w:firstLine="708"/>
        <w:jc w:val="both"/>
        <w:rPr>
          <w:rFonts w:asciiTheme="majorBidi" w:hAnsiTheme="majorBidi" w:cstheme="majorBidi"/>
          <w:sz w:val="24"/>
          <w:szCs w:val="24"/>
        </w:rPr>
      </w:pPr>
      <w:r w:rsidRPr="00F05D35">
        <w:rPr>
          <w:rFonts w:asciiTheme="majorBidi" w:hAnsiTheme="majorBidi" w:cstheme="majorBidi"/>
          <w:sz w:val="24"/>
          <w:szCs w:val="24"/>
        </w:rPr>
        <w:t xml:space="preserve">En 1937 et grâce à l’invention du microscope électronique, Edward Chatton mis en opposition deux types de cellules, la cellule eucaryote (noyau est entouré d'une membrane et qui renferme des d'organites cellulaires) et la cellule procaryote (noyau sans membrane et dont l'organisation est très simple). </w:t>
      </w:r>
    </w:p>
    <w:p w:rsidR="00F54FA8" w:rsidRDefault="00F54FA8" w:rsidP="00F54FA8">
      <w:pPr>
        <w:spacing w:after="0" w:line="276" w:lineRule="auto"/>
        <w:jc w:val="both"/>
        <w:rPr>
          <w:rFonts w:asciiTheme="majorBidi" w:hAnsiTheme="majorBidi" w:cstheme="majorBidi"/>
          <w:sz w:val="24"/>
          <w:szCs w:val="24"/>
        </w:rPr>
      </w:pPr>
      <w:r w:rsidRPr="00F05D35">
        <w:rPr>
          <w:rFonts w:asciiTheme="majorBidi" w:hAnsiTheme="majorBidi" w:cstheme="majorBidi"/>
          <w:sz w:val="24"/>
          <w:szCs w:val="24"/>
        </w:rPr>
        <w:t xml:space="preserve">En 1938, H.F. Copeland sépare le règne des bactéries (ou "Monera") de celui des protistes. Cette définition des procaryotes fut renforcée en 1961 par Roger Stanier. </w:t>
      </w:r>
    </w:p>
    <w:p w:rsidR="00F54FA8" w:rsidRPr="00F05D35" w:rsidRDefault="00F54FA8" w:rsidP="00F54FA8">
      <w:pPr>
        <w:spacing w:after="0" w:line="276" w:lineRule="auto"/>
        <w:jc w:val="both"/>
        <w:rPr>
          <w:rFonts w:asciiTheme="majorBidi" w:hAnsiTheme="majorBidi" w:cstheme="majorBidi"/>
          <w:sz w:val="24"/>
          <w:szCs w:val="24"/>
        </w:rPr>
      </w:pPr>
    </w:p>
    <w:p w:rsidR="00F54FA8" w:rsidRPr="00D24F96" w:rsidRDefault="00F54FA8" w:rsidP="00F54FA8">
      <w:pPr>
        <w:pStyle w:val="Paragraphedeliste"/>
        <w:numPr>
          <w:ilvl w:val="1"/>
          <w:numId w:val="4"/>
        </w:numPr>
        <w:spacing w:after="0"/>
        <w:jc w:val="both"/>
        <w:rPr>
          <w:rFonts w:asciiTheme="majorBidi" w:hAnsiTheme="majorBidi" w:cstheme="majorBidi"/>
          <w:b/>
          <w:bCs/>
          <w:sz w:val="24"/>
          <w:szCs w:val="24"/>
        </w:rPr>
      </w:pPr>
      <w:r w:rsidRPr="00D24F96">
        <w:rPr>
          <w:rFonts w:asciiTheme="majorBidi" w:hAnsiTheme="majorBidi" w:cstheme="majorBidi"/>
          <w:b/>
          <w:bCs/>
          <w:sz w:val="24"/>
          <w:szCs w:val="24"/>
        </w:rPr>
        <w:t>Classification selon Murray</w:t>
      </w:r>
    </w:p>
    <w:p w:rsidR="00F54FA8" w:rsidRDefault="00F54FA8" w:rsidP="008F48BE">
      <w:pPr>
        <w:spacing w:after="0" w:line="276" w:lineRule="auto"/>
        <w:ind w:firstLine="708"/>
        <w:jc w:val="both"/>
        <w:rPr>
          <w:rFonts w:asciiTheme="majorBidi" w:hAnsiTheme="majorBidi" w:cstheme="majorBidi"/>
          <w:sz w:val="24"/>
          <w:szCs w:val="24"/>
        </w:rPr>
      </w:pPr>
      <w:r w:rsidRPr="00D24F96">
        <w:rPr>
          <w:rFonts w:asciiTheme="majorBidi" w:hAnsiTheme="majorBidi" w:cstheme="majorBidi"/>
          <w:sz w:val="24"/>
          <w:szCs w:val="24"/>
        </w:rPr>
        <w:t>En 1968, R.G.E. Murray, dans la continuité du travail d’E. Chatton, divise le monde vivant en deux règnes, celui des "Eucaryotae" et celui des "Procaryotae" (ou "Monera").</w:t>
      </w:r>
    </w:p>
    <w:p w:rsidR="00F54FA8" w:rsidRDefault="00F54FA8" w:rsidP="00F54FA8">
      <w:pPr>
        <w:spacing w:after="0" w:line="276" w:lineRule="auto"/>
        <w:jc w:val="both"/>
        <w:rPr>
          <w:rFonts w:asciiTheme="majorBidi" w:hAnsiTheme="majorBidi" w:cstheme="majorBidi"/>
          <w:sz w:val="24"/>
          <w:szCs w:val="24"/>
        </w:rPr>
      </w:pPr>
    </w:p>
    <w:p w:rsidR="00F54FA8" w:rsidRDefault="00F54FA8" w:rsidP="008F48BE">
      <w:pPr>
        <w:spacing w:after="0" w:line="276" w:lineRule="auto"/>
        <w:jc w:val="center"/>
        <w:rPr>
          <w:rFonts w:asciiTheme="majorBidi" w:hAnsiTheme="majorBidi" w:cstheme="majorBidi"/>
          <w:sz w:val="24"/>
          <w:szCs w:val="24"/>
        </w:rPr>
      </w:pPr>
      <w:r w:rsidRPr="00F54FA8">
        <w:rPr>
          <w:rFonts w:asciiTheme="majorBidi" w:hAnsiTheme="majorBidi" w:cstheme="majorBidi"/>
          <w:noProof/>
          <w:sz w:val="24"/>
          <w:szCs w:val="24"/>
          <w:lang w:eastAsia="fr-FR"/>
        </w:rPr>
        <w:drawing>
          <wp:inline distT="0" distB="0" distL="0" distR="0">
            <wp:extent cx="5354809" cy="2709836"/>
            <wp:effectExtent l="19050" t="19050" r="17291" b="14314"/>
            <wp:docPr id="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58762" cy="2711836"/>
                    </a:xfrm>
                    <a:prstGeom prst="rect">
                      <a:avLst/>
                    </a:prstGeom>
                    <a:ln>
                      <a:solidFill>
                        <a:sysClr val="windowText" lastClr="000000"/>
                      </a:solidFill>
                    </a:ln>
                  </pic:spPr>
                </pic:pic>
              </a:graphicData>
            </a:graphic>
          </wp:inline>
        </w:drawing>
      </w:r>
    </w:p>
    <w:p w:rsidR="00D60698" w:rsidRDefault="00D60698" w:rsidP="00693E17">
      <w:pPr>
        <w:spacing w:after="0" w:line="240" w:lineRule="auto"/>
        <w:jc w:val="both"/>
        <w:rPr>
          <w:rFonts w:ascii="Times New Roman" w:hAnsi="Times New Roman" w:cs="Times New Roman"/>
          <w:sz w:val="24"/>
          <w:szCs w:val="24"/>
        </w:rPr>
      </w:pPr>
    </w:p>
    <w:p w:rsidR="00F54FA8" w:rsidRPr="008F48BE" w:rsidRDefault="008F48BE" w:rsidP="008F48BE">
      <w:pPr>
        <w:spacing w:after="0"/>
        <w:jc w:val="both"/>
        <w:rPr>
          <w:rFonts w:asciiTheme="majorBidi" w:hAnsiTheme="majorBidi" w:cstheme="majorBidi"/>
          <w:b/>
          <w:bCs/>
          <w:sz w:val="28"/>
          <w:szCs w:val="28"/>
        </w:rPr>
      </w:pPr>
      <w:r>
        <w:rPr>
          <w:rFonts w:asciiTheme="majorBidi" w:hAnsiTheme="majorBidi" w:cstheme="majorBidi"/>
          <w:b/>
          <w:bCs/>
          <w:sz w:val="28"/>
          <w:szCs w:val="28"/>
        </w:rPr>
        <w:t xml:space="preserve">3. </w:t>
      </w:r>
      <w:r w:rsidRPr="008F48BE">
        <w:rPr>
          <w:rFonts w:asciiTheme="majorBidi" w:hAnsiTheme="majorBidi" w:cstheme="majorBidi"/>
          <w:b/>
          <w:bCs/>
          <w:sz w:val="28"/>
          <w:szCs w:val="28"/>
        </w:rPr>
        <w:t>P</w:t>
      </w:r>
      <w:r w:rsidR="00F54FA8" w:rsidRPr="008F48BE">
        <w:rPr>
          <w:rFonts w:asciiTheme="majorBidi" w:hAnsiTheme="majorBidi" w:cstheme="majorBidi"/>
          <w:b/>
          <w:bCs/>
          <w:sz w:val="28"/>
          <w:szCs w:val="28"/>
        </w:rPr>
        <w:t>rotistes</w:t>
      </w:r>
    </w:p>
    <w:p w:rsidR="00F54FA8" w:rsidRPr="00F05D35" w:rsidRDefault="008F48BE" w:rsidP="00F54FA8">
      <w:pPr>
        <w:spacing w:after="0" w:line="276" w:lineRule="auto"/>
        <w:jc w:val="both"/>
        <w:rPr>
          <w:rFonts w:asciiTheme="majorBidi" w:hAnsiTheme="majorBidi" w:cstheme="majorBidi"/>
          <w:sz w:val="24"/>
          <w:szCs w:val="24"/>
        </w:rPr>
      </w:pPr>
      <w:r>
        <w:rPr>
          <w:rFonts w:asciiTheme="majorBidi" w:hAnsiTheme="majorBidi" w:cstheme="majorBidi"/>
          <w:b/>
          <w:bCs/>
          <w:sz w:val="24"/>
          <w:szCs w:val="24"/>
        </w:rPr>
        <w:t>3</w:t>
      </w:r>
      <w:r w:rsidR="00F54FA8">
        <w:rPr>
          <w:rFonts w:asciiTheme="majorBidi" w:hAnsiTheme="majorBidi" w:cstheme="majorBidi"/>
          <w:b/>
          <w:bCs/>
          <w:sz w:val="24"/>
          <w:szCs w:val="24"/>
        </w:rPr>
        <w:t>.1.</w:t>
      </w:r>
      <w:r w:rsidR="00F54FA8" w:rsidRPr="00F05D35">
        <w:rPr>
          <w:rFonts w:asciiTheme="majorBidi" w:hAnsiTheme="majorBidi" w:cstheme="majorBidi"/>
          <w:b/>
          <w:bCs/>
          <w:sz w:val="24"/>
          <w:szCs w:val="24"/>
        </w:rPr>
        <w:t xml:space="preserve"> Définition : </w:t>
      </w:r>
      <w:r w:rsidR="00F54FA8" w:rsidRPr="00F05D35">
        <w:rPr>
          <w:rFonts w:asciiTheme="majorBidi" w:hAnsiTheme="majorBidi" w:cstheme="majorBidi"/>
          <w:sz w:val="24"/>
          <w:szCs w:val="24"/>
        </w:rPr>
        <w:t>Désigne les formes microscopiques, généralement unicellulaires, des règnes végétal et animal. Les protistes se composent : des bactéries, des protozoaires, des champignons (Mycètes) microscopique, et des algues. Les virus sont considérés comme des micro-organismes acellulaires qui dépendent entièrement des cellules hôtes infectées.</w:t>
      </w:r>
    </w:p>
    <w:p w:rsidR="00F54FA8" w:rsidRDefault="00F54FA8" w:rsidP="00F54FA8">
      <w:pPr>
        <w:spacing w:after="0" w:line="276" w:lineRule="auto"/>
        <w:jc w:val="both"/>
        <w:rPr>
          <w:rFonts w:asciiTheme="majorBidi" w:hAnsiTheme="majorBidi" w:cstheme="majorBidi"/>
          <w:sz w:val="24"/>
          <w:szCs w:val="24"/>
        </w:rPr>
      </w:pPr>
    </w:p>
    <w:p w:rsidR="00F54FA8" w:rsidRDefault="00655AE5" w:rsidP="00F54FA8">
      <w:pPr>
        <w:spacing w:after="0" w:line="276" w:lineRule="auto"/>
        <w:jc w:val="both"/>
        <w:rPr>
          <w:rFonts w:asciiTheme="majorBidi" w:hAnsiTheme="majorBidi" w:cstheme="majorBidi"/>
          <w:sz w:val="24"/>
          <w:szCs w:val="24"/>
        </w:rPr>
      </w:pPr>
      <w:r>
        <w:rPr>
          <w:rFonts w:asciiTheme="majorBidi" w:hAnsiTheme="majorBidi" w:cstheme="majorBidi"/>
          <w:b/>
          <w:bCs/>
          <w:sz w:val="24"/>
          <w:szCs w:val="24"/>
        </w:rPr>
        <w:lastRenderedPageBreak/>
        <w:t>3.2. P</w:t>
      </w:r>
      <w:r w:rsidR="00F54FA8" w:rsidRPr="00F05D35">
        <w:rPr>
          <w:rFonts w:asciiTheme="majorBidi" w:hAnsiTheme="majorBidi" w:cstheme="majorBidi"/>
          <w:b/>
          <w:bCs/>
          <w:sz w:val="24"/>
          <w:szCs w:val="24"/>
        </w:rPr>
        <w:t>rotistes supérieurs</w:t>
      </w:r>
      <w:r>
        <w:rPr>
          <w:rFonts w:asciiTheme="majorBidi" w:hAnsiTheme="majorBidi" w:cstheme="majorBidi"/>
          <w:b/>
          <w:bCs/>
          <w:sz w:val="24"/>
          <w:szCs w:val="24"/>
        </w:rPr>
        <w:t xml:space="preserve"> </w:t>
      </w:r>
      <w:r w:rsidR="00F54FA8" w:rsidRPr="00F05D35">
        <w:rPr>
          <w:rFonts w:asciiTheme="majorBidi" w:hAnsiTheme="majorBidi" w:cstheme="majorBidi"/>
          <w:b/>
          <w:bCs/>
          <w:sz w:val="24"/>
          <w:szCs w:val="24"/>
        </w:rPr>
        <w:t>(Eucaryotes) </w:t>
      </w:r>
      <w:r w:rsidR="00F54FA8">
        <w:rPr>
          <w:rFonts w:asciiTheme="majorBidi" w:hAnsiTheme="majorBidi" w:cstheme="majorBidi"/>
          <w:sz w:val="24"/>
          <w:szCs w:val="24"/>
        </w:rPr>
        <w:t>:</w:t>
      </w:r>
      <w:r w:rsidR="00F54FA8" w:rsidRPr="00455F9B">
        <w:rPr>
          <w:rFonts w:asciiTheme="majorBidi" w:hAnsiTheme="majorBidi" w:cstheme="majorBidi"/>
          <w:sz w:val="24"/>
          <w:szCs w:val="24"/>
        </w:rPr>
        <w:t xml:space="preserve"> On distingue 3 </w:t>
      </w:r>
      <w:r w:rsidR="00F54FA8">
        <w:rPr>
          <w:rFonts w:asciiTheme="majorBidi" w:hAnsiTheme="majorBidi" w:cstheme="majorBidi"/>
          <w:sz w:val="24"/>
          <w:szCs w:val="24"/>
        </w:rPr>
        <w:t xml:space="preserve">groupes de protistes eucaryotes </w:t>
      </w:r>
      <w:r w:rsidR="00F54FA8" w:rsidRPr="00455F9B">
        <w:rPr>
          <w:rFonts w:asciiTheme="majorBidi" w:hAnsiTheme="majorBidi" w:cstheme="majorBidi"/>
          <w:sz w:val="24"/>
          <w:szCs w:val="24"/>
        </w:rPr>
        <w:t>: les champignons, les algues et les protozoaires</w:t>
      </w:r>
      <w:r w:rsidR="00F54FA8">
        <w:rPr>
          <w:rFonts w:asciiTheme="majorBidi" w:hAnsiTheme="majorBidi" w:cstheme="majorBidi"/>
          <w:sz w:val="24"/>
          <w:szCs w:val="24"/>
        </w:rPr>
        <w:t>.</w:t>
      </w:r>
    </w:p>
    <w:p w:rsidR="00F54FA8" w:rsidRDefault="00F54FA8" w:rsidP="00F54FA8">
      <w:pPr>
        <w:spacing w:after="0" w:line="276" w:lineRule="auto"/>
        <w:jc w:val="both"/>
        <w:rPr>
          <w:rFonts w:asciiTheme="majorBidi" w:hAnsiTheme="majorBidi" w:cstheme="majorBidi"/>
          <w:sz w:val="24"/>
          <w:szCs w:val="24"/>
        </w:rPr>
      </w:pPr>
    </w:p>
    <w:p w:rsidR="00F54FA8" w:rsidRDefault="00F54FA8" w:rsidP="00F54FA8">
      <w:pPr>
        <w:spacing w:after="0" w:line="276" w:lineRule="auto"/>
        <w:jc w:val="both"/>
        <w:rPr>
          <w:rFonts w:asciiTheme="majorBidi" w:hAnsiTheme="majorBidi" w:cstheme="majorBidi"/>
          <w:sz w:val="24"/>
          <w:szCs w:val="24"/>
        </w:rPr>
      </w:pPr>
      <w:r>
        <w:rPr>
          <w:rFonts w:asciiTheme="majorBidi" w:hAnsiTheme="majorBidi" w:cstheme="majorBidi"/>
          <w:b/>
          <w:bCs/>
          <w:sz w:val="24"/>
          <w:szCs w:val="24"/>
        </w:rPr>
        <w:t xml:space="preserve">     3.2.1.</w:t>
      </w:r>
      <w:r w:rsidR="00655AE5">
        <w:rPr>
          <w:rFonts w:asciiTheme="majorBidi" w:hAnsiTheme="majorBidi" w:cstheme="majorBidi"/>
          <w:b/>
          <w:bCs/>
          <w:sz w:val="24"/>
          <w:szCs w:val="24"/>
        </w:rPr>
        <w:t xml:space="preserve"> C</w:t>
      </w:r>
      <w:r w:rsidRPr="00455F9B">
        <w:rPr>
          <w:rFonts w:asciiTheme="majorBidi" w:hAnsiTheme="majorBidi" w:cstheme="majorBidi"/>
          <w:b/>
          <w:bCs/>
          <w:sz w:val="24"/>
          <w:szCs w:val="24"/>
        </w:rPr>
        <w:t>hampignons</w:t>
      </w:r>
      <w:r>
        <w:rPr>
          <w:rFonts w:asciiTheme="majorBidi" w:hAnsiTheme="majorBidi" w:cstheme="majorBidi"/>
          <w:sz w:val="24"/>
          <w:szCs w:val="24"/>
        </w:rPr>
        <w:t xml:space="preserve"> : </w:t>
      </w:r>
      <w:r w:rsidRPr="00455F9B">
        <w:rPr>
          <w:rFonts w:asciiTheme="majorBidi" w:hAnsiTheme="majorBidi" w:cstheme="majorBidi"/>
          <w:sz w:val="24"/>
          <w:szCs w:val="24"/>
        </w:rPr>
        <w:t xml:space="preserve">Les champignons sont des </w:t>
      </w:r>
      <w:r>
        <w:rPr>
          <w:rFonts w:asciiTheme="majorBidi" w:hAnsiTheme="majorBidi" w:cstheme="majorBidi"/>
          <w:sz w:val="24"/>
          <w:szCs w:val="24"/>
        </w:rPr>
        <w:t>protistes</w:t>
      </w:r>
      <w:r w:rsidRPr="00455F9B">
        <w:rPr>
          <w:rFonts w:asciiTheme="majorBidi" w:hAnsiTheme="majorBidi" w:cstheme="majorBidi"/>
          <w:sz w:val="24"/>
          <w:szCs w:val="24"/>
        </w:rPr>
        <w:t xml:space="preserve"> immobiles et hétérotrophes (organismes qui ne peuvent pas élaborer leur propre matière organique autrement qu’à partir de matières organiques). On distingue deux catégories de mycètes :</w:t>
      </w:r>
    </w:p>
    <w:p w:rsidR="00F54FA8" w:rsidRDefault="00F54FA8" w:rsidP="00F54FA8">
      <w:pPr>
        <w:spacing w:after="0" w:line="276" w:lineRule="auto"/>
        <w:jc w:val="both"/>
        <w:rPr>
          <w:rFonts w:asciiTheme="majorBidi" w:hAnsiTheme="majorBidi" w:cstheme="majorBidi"/>
          <w:sz w:val="24"/>
          <w:szCs w:val="24"/>
        </w:rPr>
      </w:pPr>
    </w:p>
    <w:p w:rsidR="00F54FA8" w:rsidRPr="00AD15C9" w:rsidRDefault="00655AE5" w:rsidP="00F54FA8">
      <w:pPr>
        <w:pStyle w:val="Paragraphedeliste"/>
        <w:numPr>
          <w:ilvl w:val="0"/>
          <w:numId w:val="5"/>
        </w:numPr>
        <w:spacing w:after="0"/>
        <w:jc w:val="both"/>
        <w:rPr>
          <w:rFonts w:asciiTheme="majorBidi" w:hAnsiTheme="majorBidi" w:cstheme="majorBidi"/>
          <w:sz w:val="24"/>
          <w:szCs w:val="24"/>
        </w:rPr>
      </w:pPr>
      <w:r>
        <w:rPr>
          <w:rFonts w:asciiTheme="majorBidi" w:hAnsiTheme="majorBidi" w:cstheme="majorBidi"/>
          <w:b/>
          <w:bCs/>
          <w:sz w:val="24"/>
          <w:szCs w:val="24"/>
        </w:rPr>
        <w:t>M</w:t>
      </w:r>
      <w:r w:rsidR="00F54FA8" w:rsidRPr="00AD15C9">
        <w:rPr>
          <w:rFonts w:asciiTheme="majorBidi" w:hAnsiTheme="majorBidi" w:cstheme="majorBidi"/>
          <w:b/>
          <w:bCs/>
          <w:sz w:val="24"/>
          <w:szCs w:val="24"/>
        </w:rPr>
        <w:t>oisissures :</w:t>
      </w:r>
      <w:r>
        <w:rPr>
          <w:rFonts w:asciiTheme="majorBidi" w:hAnsiTheme="majorBidi" w:cstheme="majorBidi"/>
          <w:b/>
          <w:bCs/>
          <w:sz w:val="24"/>
          <w:szCs w:val="24"/>
        </w:rPr>
        <w:t xml:space="preserve"> </w:t>
      </w:r>
      <w:r w:rsidR="00F54FA8" w:rsidRPr="00AD15C9">
        <w:rPr>
          <w:rFonts w:asciiTheme="majorBidi" w:hAnsiTheme="majorBidi" w:cstheme="majorBidi"/>
          <w:sz w:val="24"/>
          <w:szCs w:val="24"/>
        </w:rPr>
        <w:t>Sont des êtres pluricellulaires qu’on renc</w:t>
      </w:r>
      <w:r>
        <w:rPr>
          <w:rFonts w:asciiTheme="majorBidi" w:hAnsiTheme="majorBidi" w:cstheme="majorBidi"/>
          <w:sz w:val="24"/>
          <w:szCs w:val="24"/>
        </w:rPr>
        <w:t>ontre sur les fruits, le pain, e</w:t>
      </w:r>
      <w:r w:rsidR="00F54FA8" w:rsidRPr="00AD15C9">
        <w:rPr>
          <w:rFonts w:asciiTheme="majorBidi" w:hAnsiTheme="majorBidi" w:cstheme="majorBidi"/>
          <w:sz w:val="24"/>
          <w:szCs w:val="24"/>
        </w:rPr>
        <w:t xml:space="preserve">lles </w:t>
      </w:r>
      <w:r>
        <w:rPr>
          <w:rFonts w:asciiTheme="majorBidi" w:hAnsiTheme="majorBidi" w:cstheme="majorBidi"/>
          <w:sz w:val="24"/>
          <w:szCs w:val="24"/>
        </w:rPr>
        <w:t xml:space="preserve">ne sont pas </w:t>
      </w:r>
      <w:r w:rsidR="00F54FA8">
        <w:rPr>
          <w:rFonts w:asciiTheme="majorBidi" w:hAnsiTheme="majorBidi" w:cstheme="majorBidi"/>
          <w:sz w:val="24"/>
          <w:szCs w:val="24"/>
        </w:rPr>
        <w:t>toutes nocives</w:t>
      </w:r>
      <w:r>
        <w:rPr>
          <w:rFonts w:asciiTheme="majorBidi" w:hAnsiTheme="majorBidi" w:cstheme="majorBidi"/>
          <w:sz w:val="24"/>
          <w:szCs w:val="24"/>
        </w:rPr>
        <w:t xml:space="preserve"> et</w:t>
      </w:r>
      <w:r w:rsidR="00F54FA8" w:rsidRPr="00AD15C9">
        <w:rPr>
          <w:rFonts w:asciiTheme="majorBidi" w:hAnsiTheme="majorBidi" w:cstheme="majorBidi"/>
          <w:sz w:val="24"/>
          <w:szCs w:val="24"/>
        </w:rPr>
        <w:t xml:space="preserve"> sont formées </w:t>
      </w:r>
      <w:r>
        <w:rPr>
          <w:rFonts w:asciiTheme="majorBidi" w:hAnsiTheme="majorBidi" w:cstheme="majorBidi"/>
          <w:sz w:val="24"/>
          <w:szCs w:val="24"/>
        </w:rPr>
        <w:t>de filaments appelés hyphes qui</w:t>
      </w:r>
      <w:r w:rsidR="00F54FA8" w:rsidRPr="00AD15C9">
        <w:rPr>
          <w:rFonts w:asciiTheme="majorBidi" w:hAnsiTheme="majorBidi" w:cstheme="majorBidi"/>
          <w:sz w:val="24"/>
          <w:szCs w:val="24"/>
        </w:rPr>
        <w:t xml:space="preserve"> à leur tour vont </w:t>
      </w:r>
      <w:r w:rsidR="00F54FA8">
        <w:rPr>
          <w:rFonts w:asciiTheme="majorBidi" w:hAnsiTheme="majorBidi" w:cstheme="majorBidi"/>
          <w:sz w:val="24"/>
          <w:szCs w:val="24"/>
        </w:rPr>
        <w:t xml:space="preserve">donner des mycéliums (thalle). </w:t>
      </w:r>
      <w:r w:rsidR="00F54FA8" w:rsidRPr="00AD15C9">
        <w:rPr>
          <w:rFonts w:asciiTheme="majorBidi" w:hAnsiTheme="majorBidi" w:cstheme="majorBidi"/>
          <w:sz w:val="24"/>
          <w:szCs w:val="24"/>
        </w:rPr>
        <w:t>Les champignons ont une paroi rigide formée principalement de chitin</w:t>
      </w:r>
      <w:r w:rsidR="00F54FA8">
        <w:rPr>
          <w:rFonts w:asciiTheme="majorBidi" w:hAnsiTheme="majorBidi" w:cstheme="majorBidi"/>
          <w:sz w:val="24"/>
          <w:szCs w:val="24"/>
        </w:rPr>
        <w:t>e, différents polysaccharides).</w:t>
      </w:r>
      <w:r w:rsidR="00F54FA8" w:rsidRPr="00AD15C9">
        <w:rPr>
          <w:rFonts w:asciiTheme="majorBidi" w:hAnsiTheme="majorBidi" w:cstheme="majorBidi"/>
          <w:sz w:val="24"/>
          <w:szCs w:val="24"/>
        </w:rPr>
        <w:t xml:space="preserve"> Un grand nombre de champignons sont pathogènes pour les végétaux (phytopathogènes). D’autres sont des pathogènes de l’homme et des animaux mais ne causent pas de gros dégâts (ex : mycoses digestives)</w:t>
      </w:r>
    </w:p>
    <w:p w:rsidR="00F54FA8" w:rsidRPr="00AD15C9" w:rsidRDefault="00655AE5" w:rsidP="00F54FA8">
      <w:pPr>
        <w:pStyle w:val="Paragraphedeliste"/>
        <w:numPr>
          <w:ilvl w:val="0"/>
          <w:numId w:val="5"/>
        </w:numPr>
        <w:spacing w:after="0"/>
        <w:jc w:val="both"/>
        <w:rPr>
          <w:rFonts w:asciiTheme="majorBidi" w:hAnsiTheme="majorBidi" w:cstheme="majorBidi"/>
          <w:b/>
          <w:bCs/>
          <w:sz w:val="24"/>
          <w:szCs w:val="24"/>
        </w:rPr>
      </w:pPr>
      <w:r>
        <w:rPr>
          <w:rFonts w:asciiTheme="majorBidi" w:hAnsiTheme="majorBidi" w:cstheme="majorBidi"/>
          <w:b/>
          <w:bCs/>
          <w:sz w:val="24"/>
          <w:szCs w:val="24"/>
        </w:rPr>
        <w:t>L</w:t>
      </w:r>
      <w:r w:rsidR="00F54FA8" w:rsidRPr="00AD15C9">
        <w:rPr>
          <w:rFonts w:asciiTheme="majorBidi" w:hAnsiTheme="majorBidi" w:cstheme="majorBidi"/>
          <w:b/>
          <w:bCs/>
          <w:sz w:val="24"/>
          <w:szCs w:val="24"/>
        </w:rPr>
        <w:t>evures :</w:t>
      </w:r>
      <w:r w:rsidR="00EA4F2A">
        <w:rPr>
          <w:rFonts w:asciiTheme="majorBidi" w:hAnsiTheme="majorBidi" w:cstheme="majorBidi"/>
          <w:b/>
          <w:bCs/>
          <w:sz w:val="24"/>
          <w:szCs w:val="24"/>
        </w:rPr>
        <w:t xml:space="preserve"> </w:t>
      </w:r>
      <w:r w:rsidR="00EA4F2A" w:rsidRPr="00EA4F2A">
        <w:rPr>
          <w:rFonts w:asciiTheme="majorBidi" w:hAnsiTheme="majorBidi" w:cstheme="majorBidi"/>
          <w:bCs/>
          <w:sz w:val="24"/>
          <w:szCs w:val="24"/>
        </w:rPr>
        <w:t>S</w:t>
      </w:r>
      <w:r w:rsidR="00F54FA8" w:rsidRPr="00AD15C9">
        <w:rPr>
          <w:rFonts w:asciiTheme="majorBidi" w:hAnsiTheme="majorBidi" w:cstheme="majorBidi"/>
          <w:sz w:val="24"/>
          <w:szCs w:val="24"/>
        </w:rPr>
        <w:t xml:space="preserve">ont des êtres unicellulaires (ex : </w:t>
      </w:r>
      <w:r w:rsidR="00F54FA8" w:rsidRPr="00EA4F2A">
        <w:rPr>
          <w:rFonts w:asciiTheme="majorBidi" w:hAnsiTheme="majorBidi" w:cstheme="majorBidi"/>
          <w:i/>
          <w:sz w:val="24"/>
          <w:szCs w:val="24"/>
        </w:rPr>
        <w:t>Saccharomyces cerevisiae</w:t>
      </w:r>
      <w:r w:rsidR="00F54FA8">
        <w:rPr>
          <w:rFonts w:asciiTheme="majorBidi" w:hAnsiTheme="majorBidi" w:cstheme="majorBidi"/>
          <w:sz w:val="24"/>
          <w:szCs w:val="24"/>
        </w:rPr>
        <w:t>) ;</w:t>
      </w:r>
      <w:r w:rsidR="00F54FA8" w:rsidRPr="00AD15C9">
        <w:rPr>
          <w:rFonts w:asciiTheme="majorBidi" w:hAnsiTheme="majorBidi" w:cstheme="majorBidi"/>
          <w:sz w:val="24"/>
          <w:szCs w:val="24"/>
        </w:rPr>
        <w:t xml:space="preserve"> c’est le microorganisme le plus utilisé dans le monde grâce </w:t>
      </w:r>
      <w:r w:rsidR="00EA4F2A">
        <w:rPr>
          <w:rFonts w:asciiTheme="majorBidi" w:hAnsiTheme="majorBidi" w:cstheme="majorBidi"/>
          <w:sz w:val="24"/>
          <w:szCs w:val="24"/>
        </w:rPr>
        <w:t xml:space="preserve">à </w:t>
      </w:r>
      <w:r w:rsidR="00F54FA8" w:rsidRPr="00AD15C9">
        <w:rPr>
          <w:rFonts w:asciiTheme="majorBidi" w:hAnsiTheme="majorBidi" w:cstheme="majorBidi"/>
          <w:sz w:val="24"/>
          <w:szCs w:val="24"/>
        </w:rPr>
        <w:t>son extraordinaire métabolisme</w:t>
      </w:r>
      <w:r w:rsidR="00F54FA8">
        <w:rPr>
          <w:rFonts w:asciiTheme="majorBidi" w:hAnsiTheme="majorBidi" w:cstheme="majorBidi"/>
          <w:sz w:val="24"/>
          <w:szCs w:val="24"/>
        </w:rPr>
        <w:t xml:space="preserve">. Ce sont des hétérotrophes qui </w:t>
      </w:r>
      <w:r w:rsidR="00F54FA8" w:rsidRPr="00AD15C9">
        <w:rPr>
          <w:rFonts w:asciiTheme="majorBidi" w:hAnsiTheme="majorBidi" w:cstheme="majorBidi"/>
          <w:sz w:val="24"/>
          <w:szCs w:val="24"/>
        </w:rPr>
        <w:t>possèdent une paroi rigide chitineuse.</w:t>
      </w:r>
    </w:p>
    <w:p w:rsidR="00F54FA8" w:rsidRDefault="00F54FA8" w:rsidP="00F54FA8">
      <w:pPr>
        <w:spacing w:after="0" w:line="276" w:lineRule="auto"/>
        <w:jc w:val="both"/>
        <w:rPr>
          <w:rFonts w:asciiTheme="majorBidi" w:hAnsiTheme="majorBidi" w:cstheme="majorBidi"/>
          <w:sz w:val="24"/>
          <w:szCs w:val="24"/>
        </w:rPr>
      </w:pPr>
    </w:p>
    <w:p w:rsidR="00F54FA8" w:rsidRDefault="00F54FA8" w:rsidP="00F54FA8">
      <w:pPr>
        <w:spacing w:after="0" w:line="276" w:lineRule="auto"/>
        <w:jc w:val="both"/>
        <w:rPr>
          <w:rFonts w:asciiTheme="majorBidi" w:hAnsiTheme="majorBidi" w:cstheme="majorBidi"/>
          <w:sz w:val="24"/>
          <w:szCs w:val="24"/>
        </w:rPr>
      </w:pPr>
      <w:r>
        <w:rPr>
          <w:rFonts w:asciiTheme="majorBidi" w:hAnsiTheme="majorBidi" w:cstheme="majorBidi"/>
          <w:b/>
          <w:bCs/>
          <w:sz w:val="24"/>
          <w:szCs w:val="24"/>
        </w:rPr>
        <w:t>3.2.2.</w:t>
      </w:r>
      <w:r w:rsidR="00EA4F2A">
        <w:rPr>
          <w:rFonts w:asciiTheme="majorBidi" w:hAnsiTheme="majorBidi" w:cstheme="majorBidi"/>
          <w:b/>
          <w:bCs/>
          <w:sz w:val="24"/>
          <w:szCs w:val="24"/>
        </w:rPr>
        <w:t xml:space="preserve"> A</w:t>
      </w:r>
      <w:r w:rsidRPr="00455F9B">
        <w:rPr>
          <w:rFonts w:asciiTheme="majorBidi" w:hAnsiTheme="majorBidi" w:cstheme="majorBidi"/>
          <w:b/>
          <w:bCs/>
          <w:sz w:val="24"/>
          <w:szCs w:val="24"/>
        </w:rPr>
        <w:t>lgues</w:t>
      </w:r>
      <w:r>
        <w:rPr>
          <w:rFonts w:asciiTheme="majorBidi" w:hAnsiTheme="majorBidi" w:cstheme="majorBidi"/>
          <w:b/>
          <w:bCs/>
          <w:sz w:val="24"/>
          <w:szCs w:val="24"/>
        </w:rPr>
        <w:t xml:space="preserve"> : </w:t>
      </w:r>
      <w:r w:rsidRPr="00455F9B">
        <w:rPr>
          <w:rFonts w:asciiTheme="majorBidi" w:hAnsiTheme="majorBidi" w:cstheme="majorBidi"/>
          <w:sz w:val="24"/>
          <w:szCs w:val="24"/>
        </w:rPr>
        <w:t>Les algues sont des êtres microscopiques (microalgue, contrair</w:t>
      </w:r>
      <w:r>
        <w:rPr>
          <w:rFonts w:asciiTheme="majorBidi" w:hAnsiTheme="majorBidi" w:cstheme="majorBidi"/>
          <w:sz w:val="24"/>
          <w:szCs w:val="24"/>
        </w:rPr>
        <w:t xml:space="preserve">ement aux macroalgues), </w:t>
      </w:r>
      <w:r w:rsidRPr="00455F9B">
        <w:rPr>
          <w:rFonts w:asciiTheme="majorBidi" w:hAnsiTheme="majorBidi" w:cstheme="majorBidi"/>
          <w:sz w:val="24"/>
          <w:szCs w:val="24"/>
        </w:rPr>
        <w:t>sont des organismes phototrophes. Elles réalisent la photosynthèse de types végé</w:t>
      </w:r>
      <w:r>
        <w:rPr>
          <w:rFonts w:asciiTheme="majorBidi" w:hAnsiTheme="majorBidi" w:cstheme="majorBidi"/>
          <w:sz w:val="24"/>
          <w:szCs w:val="24"/>
        </w:rPr>
        <w:t>tale (produisent de l’oxygène) et</w:t>
      </w:r>
      <w:r w:rsidRPr="00455F9B">
        <w:rPr>
          <w:rFonts w:asciiTheme="majorBidi" w:hAnsiTheme="majorBidi" w:cstheme="majorBidi"/>
          <w:sz w:val="24"/>
          <w:szCs w:val="24"/>
        </w:rPr>
        <w:t xml:space="preserve"> peuvent être uni</w:t>
      </w:r>
      <w:r>
        <w:rPr>
          <w:rFonts w:asciiTheme="majorBidi" w:hAnsiTheme="majorBidi" w:cstheme="majorBidi"/>
          <w:sz w:val="24"/>
          <w:szCs w:val="24"/>
        </w:rPr>
        <w:t xml:space="preserve">cellulaires ou pluricellulaires, sont mobiles ou immobiles, </w:t>
      </w:r>
      <w:r w:rsidRPr="00455F9B">
        <w:rPr>
          <w:rFonts w:asciiTheme="majorBidi" w:hAnsiTheme="majorBidi" w:cstheme="majorBidi"/>
          <w:sz w:val="24"/>
          <w:szCs w:val="24"/>
        </w:rPr>
        <w:t xml:space="preserve">ont une paroi de nature cellulosique </w:t>
      </w:r>
      <w:r>
        <w:rPr>
          <w:rFonts w:asciiTheme="majorBidi" w:hAnsiTheme="majorBidi" w:cstheme="majorBidi"/>
          <w:sz w:val="24"/>
          <w:szCs w:val="24"/>
        </w:rPr>
        <w:t>et</w:t>
      </w:r>
      <w:r w:rsidRPr="00455F9B">
        <w:rPr>
          <w:rFonts w:asciiTheme="majorBidi" w:hAnsiTheme="majorBidi" w:cstheme="majorBidi"/>
          <w:sz w:val="24"/>
          <w:szCs w:val="24"/>
        </w:rPr>
        <w:t xml:space="preserve"> appartiennent à l’écosystème marin : eau douce, eau de mer</w:t>
      </w:r>
      <w:r>
        <w:rPr>
          <w:rFonts w:asciiTheme="majorBidi" w:hAnsiTheme="majorBidi" w:cstheme="majorBidi"/>
          <w:sz w:val="24"/>
          <w:szCs w:val="24"/>
        </w:rPr>
        <w:t>.</w:t>
      </w:r>
    </w:p>
    <w:p w:rsidR="00F54FA8" w:rsidRPr="00455F9B" w:rsidRDefault="00F54FA8" w:rsidP="00F54FA8">
      <w:pPr>
        <w:spacing w:after="0" w:line="276" w:lineRule="auto"/>
        <w:jc w:val="both"/>
        <w:rPr>
          <w:rFonts w:asciiTheme="majorBidi" w:hAnsiTheme="majorBidi" w:cstheme="majorBidi"/>
          <w:b/>
          <w:bCs/>
          <w:sz w:val="24"/>
          <w:szCs w:val="24"/>
        </w:rPr>
      </w:pPr>
      <w:bookmarkStart w:id="0" w:name="_GoBack"/>
      <w:bookmarkEnd w:id="0"/>
    </w:p>
    <w:p w:rsidR="00F54FA8" w:rsidRDefault="00F54FA8" w:rsidP="00F54FA8">
      <w:pPr>
        <w:spacing w:after="0" w:line="276" w:lineRule="auto"/>
        <w:jc w:val="both"/>
        <w:rPr>
          <w:rFonts w:asciiTheme="majorBidi" w:hAnsiTheme="majorBidi" w:cstheme="majorBidi"/>
          <w:sz w:val="24"/>
          <w:szCs w:val="24"/>
        </w:rPr>
      </w:pPr>
      <w:r>
        <w:rPr>
          <w:rFonts w:asciiTheme="majorBidi" w:hAnsiTheme="majorBidi" w:cstheme="majorBidi"/>
          <w:b/>
          <w:bCs/>
          <w:sz w:val="24"/>
          <w:szCs w:val="24"/>
        </w:rPr>
        <w:t>3.2.3.</w:t>
      </w:r>
      <w:r w:rsidR="00EA4F2A">
        <w:rPr>
          <w:rFonts w:asciiTheme="majorBidi" w:hAnsiTheme="majorBidi" w:cstheme="majorBidi"/>
          <w:b/>
          <w:bCs/>
          <w:sz w:val="24"/>
          <w:szCs w:val="24"/>
        </w:rPr>
        <w:t xml:space="preserve"> P</w:t>
      </w:r>
      <w:r w:rsidRPr="00455F9B">
        <w:rPr>
          <w:rFonts w:asciiTheme="majorBidi" w:hAnsiTheme="majorBidi" w:cstheme="majorBidi"/>
          <w:b/>
          <w:bCs/>
          <w:sz w:val="24"/>
          <w:szCs w:val="24"/>
        </w:rPr>
        <w:t>rotozoaires</w:t>
      </w:r>
      <w:r>
        <w:rPr>
          <w:rFonts w:asciiTheme="majorBidi" w:hAnsiTheme="majorBidi" w:cstheme="majorBidi"/>
          <w:sz w:val="24"/>
          <w:szCs w:val="24"/>
        </w:rPr>
        <w:t xml:space="preserve"> : </w:t>
      </w:r>
      <w:r w:rsidRPr="00455F9B">
        <w:rPr>
          <w:rFonts w:asciiTheme="majorBidi" w:hAnsiTheme="majorBidi" w:cstheme="majorBidi"/>
          <w:sz w:val="24"/>
          <w:szCs w:val="24"/>
        </w:rPr>
        <w:t>Sont constitués d’une cellule similaire à celle de la cellule animale (eucaryote). Leur cellule ne prés</w:t>
      </w:r>
      <w:r w:rsidR="00EA4F2A">
        <w:rPr>
          <w:rFonts w:asciiTheme="majorBidi" w:hAnsiTheme="majorBidi" w:cstheme="majorBidi"/>
          <w:sz w:val="24"/>
          <w:szCs w:val="24"/>
        </w:rPr>
        <w:t>ente donc pas de paroi. La plu</w:t>
      </w:r>
      <w:r w:rsidRPr="00455F9B">
        <w:rPr>
          <w:rFonts w:asciiTheme="majorBidi" w:hAnsiTheme="majorBidi" w:cstheme="majorBidi"/>
          <w:sz w:val="24"/>
          <w:szCs w:val="24"/>
        </w:rPr>
        <w:t>part des protozoaires sont mobiles (cils, flagelle, pseudopodes : prolongements rétractiles du cytoplasme).</w:t>
      </w:r>
    </w:p>
    <w:p w:rsidR="00F54FA8" w:rsidRDefault="00F54FA8" w:rsidP="00F54FA8">
      <w:pPr>
        <w:spacing w:after="0" w:line="276" w:lineRule="auto"/>
        <w:jc w:val="both"/>
        <w:rPr>
          <w:rFonts w:asciiTheme="majorBidi" w:hAnsiTheme="majorBidi" w:cstheme="majorBidi"/>
          <w:b/>
          <w:bCs/>
          <w:sz w:val="28"/>
          <w:szCs w:val="28"/>
        </w:rPr>
      </w:pPr>
    </w:p>
    <w:p w:rsidR="00F54FA8" w:rsidRDefault="00F54FA8" w:rsidP="00F54FA8">
      <w:pPr>
        <w:spacing w:after="0" w:line="276" w:lineRule="auto"/>
        <w:jc w:val="both"/>
        <w:rPr>
          <w:rFonts w:asciiTheme="majorBidi" w:hAnsiTheme="majorBidi" w:cstheme="majorBidi"/>
          <w:sz w:val="24"/>
          <w:szCs w:val="24"/>
        </w:rPr>
      </w:pPr>
      <w:r w:rsidRPr="00F05D35">
        <w:rPr>
          <w:rFonts w:asciiTheme="majorBidi" w:hAnsiTheme="majorBidi" w:cstheme="majorBidi"/>
          <w:b/>
          <w:bCs/>
          <w:sz w:val="24"/>
          <w:szCs w:val="24"/>
        </w:rPr>
        <w:t>3.3.</w:t>
      </w:r>
      <w:r w:rsidR="00EA4F2A">
        <w:rPr>
          <w:rFonts w:asciiTheme="majorBidi" w:hAnsiTheme="majorBidi" w:cstheme="majorBidi"/>
          <w:b/>
          <w:bCs/>
          <w:sz w:val="24"/>
          <w:szCs w:val="24"/>
        </w:rPr>
        <w:t xml:space="preserve"> P</w:t>
      </w:r>
      <w:r>
        <w:rPr>
          <w:rFonts w:asciiTheme="majorBidi" w:hAnsiTheme="majorBidi" w:cstheme="majorBidi"/>
          <w:b/>
          <w:bCs/>
          <w:sz w:val="24"/>
          <w:szCs w:val="24"/>
        </w:rPr>
        <w:t>rotistes inférieurs (</w:t>
      </w:r>
      <w:r w:rsidRPr="00F05D35">
        <w:rPr>
          <w:rFonts w:asciiTheme="majorBidi" w:hAnsiTheme="majorBidi" w:cstheme="majorBidi"/>
          <w:b/>
          <w:bCs/>
          <w:sz w:val="24"/>
          <w:szCs w:val="24"/>
        </w:rPr>
        <w:t>Procaryotes</w:t>
      </w:r>
      <w:r>
        <w:rPr>
          <w:rFonts w:asciiTheme="majorBidi" w:hAnsiTheme="majorBidi" w:cstheme="majorBidi"/>
          <w:b/>
          <w:bCs/>
          <w:sz w:val="24"/>
          <w:szCs w:val="24"/>
        </w:rPr>
        <w:t xml:space="preserve">) : </w:t>
      </w:r>
      <w:r w:rsidR="00EA4F2A" w:rsidRPr="00EA4F2A">
        <w:rPr>
          <w:rFonts w:asciiTheme="majorBidi" w:hAnsiTheme="majorBidi" w:cstheme="majorBidi"/>
          <w:bCs/>
          <w:sz w:val="24"/>
          <w:szCs w:val="24"/>
        </w:rPr>
        <w:t>S</w:t>
      </w:r>
      <w:r w:rsidRPr="00721D6E">
        <w:rPr>
          <w:rFonts w:asciiTheme="majorBidi" w:hAnsiTheme="majorBidi" w:cstheme="majorBidi"/>
          <w:sz w:val="24"/>
          <w:szCs w:val="24"/>
        </w:rPr>
        <w:t>ont des micro-organismes qui ne possèdent pas de noyau. Ils ne possèdent pas, également, certains organites tels que l’appareil d</w:t>
      </w:r>
      <w:r>
        <w:rPr>
          <w:rFonts w:asciiTheme="majorBidi" w:hAnsiTheme="majorBidi" w:cstheme="majorBidi"/>
          <w:sz w:val="24"/>
          <w:szCs w:val="24"/>
        </w:rPr>
        <w:t xml:space="preserve">e Golgi. </w:t>
      </w:r>
    </w:p>
    <w:p w:rsidR="00F54FA8" w:rsidRPr="00F05D35" w:rsidRDefault="00F54FA8" w:rsidP="00F54FA8">
      <w:pPr>
        <w:spacing w:after="0" w:line="276" w:lineRule="auto"/>
        <w:jc w:val="both"/>
        <w:rPr>
          <w:rFonts w:asciiTheme="majorBidi" w:hAnsiTheme="majorBidi" w:cstheme="majorBidi"/>
        </w:rPr>
      </w:pPr>
    </w:p>
    <w:p w:rsidR="00F54FA8" w:rsidRDefault="00F54FA8" w:rsidP="00F54FA8">
      <w:pPr>
        <w:spacing w:after="0" w:line="276" w:lineRule="auto"/>
        <w:jc w:val="both"/>
        <w:rPr>
          <w:rFonts w:asciiTheme="majorBidi" w:hAnsiTheme="majorBidi" w:cstheme="majorBidi"/>
          <w:sz w:val="24"/>
          <w:szCs w:val="24"/>
        </w:rPr>
      </w:pPr>
      <w:r>
        <w:rPr>
          <w:rFonts w:asciiTheme="majorBidi" w:hAnsiTheme="majorBidi" w:cstheme="majorBidi"/>
          <w:b/>
          <w:bCs/>
          <w:sz w:val="24"/>
          <w:szCs w:val="24"/>
        </w:rPr>
        <w:t xml:space="preserve">3.3.1. </w:t>
      </w:r>
      <w:r w:rsidR="00EA4F2A">
        <w:rPr>
          <w:rFonts w:asciiTheme="majorBidi" w:hAnsiTheme="majorBidi" w:cstheme="majorBidi"/>
          <w:b/>
          <w:bCs/>
          <w:sz w:val="24"/>
          <w:szCs w:val="24"/>
        </w:rPr>
        <w:t>B</w:t>
      </w:r>
      <w:r w:rsidRPr="00721D6E">
        <w:rPr>
          <w:rFonts w:asciiTheme="majorBidi" w:hAnsiTheme="majorBidi" w:cstheme="majorBidi"/>
          <w:b/>
          <w:bCs/>
          <w:sz w:val="24"/>
          <w:szCs w:val="24"/>
        </w:rPr>
        <w:t>actéries</w:t>
      </w:r>
      <w:r>
        <w:rPr>
          <w:rFonts w:asciiTheme="majorBidi" w:hAnsiTheme="majorBidi" w:cstheme="majorBidi"/>
          <w:b/>
          <w:bCs/>
          <w:sz w:val="24"/>
          <w:szCs w:val="24"/>
        </w:rPr>
        <w:t xml:space="preserve"> : </w:t>
      </w:r>
      <w:r w:rsidR="00EA4F2A">
        <w:rPr>
          <w:rFonts w:asciiTheme="majorBidi" w:hAnsiTheme="majorBidi" w:cstheme="majorBidi"/>
          <w:sz w:val="24"/>
          <w:szCs w:val="24"/>
        </w:rPr>
        <w:t>S</w:t>
      </w:r>
      <w:r w:rsidRPr="00721D6E">
        <w:rPr>
          <w:rFonts w:asciiTheme="majorBidi" w:hAnsiTheme="majorBidi" w:cstheme="majorBidi"/>
          <w:sz w:val="24"/>
          <w:szCs w:val="24"/>
        </w:rPr>
        <w:t>ont des organismes unicellulaires relativement simples dont le matériel génétique, représenté par un seul chromosome circulaire, n’est pas contenu dans une enveloppe nucléaire. C’est pourquoi ces cellules sont dites</w:t>
      </w:r>
      <w:r>
        <w:rPr>
          <w:rFonts w:asciiTheme="majorBidi" w:hAnsiTheme="majorBidi" w:cstheme="majorBidi"/>
          <w:sz w:val="24"/>
          <w:szCs w:val="24"/>
        </w:rPr>
        <w:t xml:space="preserve"> p</w:t>
      </w:r>
      <w:r w:rsidRPr="00721D6E">
        <w:rPr>
          <w:rFonts w:asciiTheme="majorBidi" w:hAnsiTheme="majorBidi" w:cstheme="majorBidi"/>
          <w:sz w:val="24"/>
          <w:szCs w:val="24"/>
        </w:rPr>
        <w:t>rocaryotes, d’ap</w:t>
      </w:r>
      <w:r w:rsidR="00EA4F2A">
        <w:rPr>
          <w:rFonts w:asciiTheme="majorBidi" w:hAnsiTheme="majorBidi" w:cstheme="majorBidi"/>
          <w:sz w:val="24"/>
          <w:szCs w:val="24"/>
        </w:rPr>
        <w:t>rès deux mots grecs signifiant «</w:t>
      </w:r>
      <w:r w:rsidRPr="00721D6E">
        <w:rPr>
          <w:rFonts w:asciiTheme="majorBidi" w:hAnsiTheme="majorBidi" w:cstheme="majorBidi"/>
          <w:sz w:val="24"/>
          <w:szCs w:val="24"/>
        </w:rPr>
        <w:t>prénoyau ».</w:t>
      </w:r>
    </w:p>
    <w:p w:rsidR="00F54FA8" w:rsidRDefault="00F54FA8" w:rsidP="00F54FA8">
      <w:pPr>
        <w:spacing w:after="0" w:line="276" w:lineRule="auto"/>
        <w:jc w:val="both"/>
        <w:rPr>
          <w:rFonts w:asciiTheme="majorBidi" w:hAnsiTheme="majorBidi" w:cstheme="majorBidi"/>
          <w:sz w:val="24"/>
          <w:szCs w:val="24"/>
        </w:rPr>
      </w:pPr>
    </w:p>
    <w:p w:rsidR="00EA4F2A" w:rsidRDefault="00F54FA8" w:rsidP="00F54FA8">
      <w:pPr>
        <w:spacing w:after="0" w:line="276" w:lineRule="auto"/>
        <w:jc w:val="both"/>
        <w:rPr>
          <w:rFonts w:asciiTheme="majorBidi" w:hAnsiTheme="majorBidi" w:cstheme="majorBidi"/>
        </w:rPr>
      </w:pPr>
      <w:r>
        <w:rPr>
          <w:rFonts w:asciiTheme="majorBidi" w:hAnsiTheme="majorBidi" w:cstheme="majorBidi"/>
          <w:b/>
          <w:bCs/>
          <w:sz w:val="24"/>
          <w:szCs w:val="24"/>
        </w:rPr>
        <w:t>3.4</w:t>
      </w:r>
      <w:r w:rsidR="00EA4F2A">
        <w:rPr>
          <w:rFonts w:asciiTheme="majorBidi" w:hAnsiTheme="majorBidi" w:cstheme="majorBidi"/>
          <w:b/>
          <w:bCs/>
          <w:sz w:val="24"/>
          <w:szCs w:val="24"/>
        </w:rPr>
        <w:t>. V</w:t>
      </w:r>
      <w:r w:rsidRPr="00F05D35">
        <w:rPr>
          <w:rFonts w:asciiTheme="majorBidi" w:hAnsiTheme="majorBidi" w:cstheme="majorBidi"/>
          <w:b/>
          <w:bCs/>
          <w:sz w:val="24"/>
          <w:szCs w:val="24"/>
        </w:rPr>
        <w:t>irus</w:t>
      </w:r>
      <w:r w:rsidRPr="00F05D35">
        <w:rPr>
          <w:rFonts w:asciiTheme="majorBidi" w:hAnsiTheme="majorBidi" w:cstheme="majorBidi"/>
          <w:b/>
          <w:bCs/>
        </w:rPr>
        <w:t> </w:t>
      </w:r>
    </w:p>
    <w:p w:rsidR="00F54FA8" w:rsidRPr="00EA4F2A" w:rsidRDefault="00EA4F2A" w:rsidP="00EA4F2A">
      <w:pPr>
        <w:spacing w:after="0" w:line="276" w:lineRule="auto"/>
        <w:ind w:firstLine="708"/>
        <w:jc w:val="both"/>
        <w:rPr>
          <w:rFonts w:asciiTheme="majorBidi" w:hAnsiTheme="majorBidi" w:cstheme="majorBidi"/>
        </w:rPr>
      </w:pPr>
      <w:r>
        <w:rPr>
          <w:rFonts w:asciiTheme="majorBidi" w:hAnsiTheme="majorBidi" w:cstheme="majorBidi"/>
          <w:sz w:val="24"/>
          <w:szCs w:val="24"/>
        </w:rPr>
        <w:t>S</w:t>
      </w:r>
      <w:r w:rsidR="00F54FA8" w:rsidRPr="00721D6E">
        <w:rPr>
          <w:rFonts w:asciiTheme="majorBidi" w:hAnsiTheme="majorBidi" w:cstheme="majorBidi"/>
          <w:sz w:val="24"/>
          <w:szCs w:val="24"/>
        </w:rPr>
        <w:t>ont les plus petits</w:t>
      </w:r>
      <w:r>
        <w:rPr>
          <w:rFonts w:asciiTheme="majorBidi" w:hAnsiTheme="majorBidi" w:cstheme="majorBidi"/>
          <w:sz w:val="24"/>
          <w:szCs w:val="24"/>
        </w:rPr>
        <w:t xml:space="preserve"> et</w:t>
      </w:r>
      <w:r w:rsidR="00F54FA8" w:rsidRPr="00721D6E">
        <w:rPr>
          <w:rFonts w:asciiTheme="majorBidi" w:hAnsiTheme="majorBidi" w:cstheme="majorBidi"/>
          <w:sz w:val="24"/>
          <w:szCs w:val="24"/>
        </w:rPr>
        <w:t xml:space="preserve"> </w:t>
      </w:r>
      <w:r>
        <w:rPr>
          <w:rFonts w:asciiTheme="majorBidi" w:hAnsiTheme="majorBidi" w:cstheme="majorBidi"/>
          <w:sz w:val="24"/>
          <w:szCs w:val="24"/>
        </w:rPr>
        <w:t xml:space="preserve">ils </w:t>
      </w:r>
      <w:r w:rsidR="00F54FA8" w:rsidRPr="00721D6E">
        <w:rPr>
          <w:rFonts w:asciiTheme="majorBidi" w:hAnsiTheme="majorBidi" w:cstheme="majorBidi"/>
          <w:sz w:val="24"/>
          <w:szCs w:val="24"/>
        </w:rPr>
        <w:t>ne sont pas des organismes vivants. Leur taille est de l’ordre de q</w:t>
      </w:r>
      <w:r w:rsidR="00F54FA8">
        <w:rPr>
          <w:rFonts w:asciiTheme="majorBidi" w:hAnsiTheme="majorBidi" w:cstheme="majorBidi"/>
          <w:sz w:val="24"/>
          <w:szCs w:val="24"/>
        </w:rPr>
        <w:t>ue</w:t>
      </w:r>
      <w:r w:rsidR="00F54FA8" w:rsidRPr="00721D6E">
        <w:rPr>
          <w:rFonts w:asciiTheme="majorBidi" w:hAnsiTheme="majorBidi" w:cstheme="majorBidi"/>
          <w:sz w:val="24"/>
          <w:szCs w:val="24"/>
        </w:rPr>
        <w:t>lq</w:t>
      </w:r>
      <w:r w:rsidR="00F54FA8">
        <w:rPr>
          <w:rFonts w:asciiTheme="majorBidi" w:hAnsiTheme="majorBidi" w:cstheme="majorBidi"/>
          <w:sz w:val="24"/>
          <w:szCs w:val="24"/>
        </w:rPr>
        <w:t>ues</w:t>
      </w:r>
      <w:r w:rsidR="00F54FA8" w:rsidRPr="00721D6E">
        <w:rPr>
          <w:rFonts w:asciiTheme="majorBidi" w:hAnsiTheme="majorBidi" w:cstheme="majorBidi"/>
          <w:sz w:val="24"/>
          <w:szCs w:val="24"/>
        </w:rPr>
        <w:t xml:space="preserve"> nanomètres, ils ne sont observables qu’au microscope électronique. Ce sont des parasites obligatoires de toutes cellules vivantes des animaux, des végétaux et des bactéries. Leur croissance et leur multiplication ne peuvent s’effectuer qu’à l’intérieur d’une cellule vivante, ce qui entraine en générale, la destruction de la cellule- hôte. Les virus parasites des bactéries sont appelés : bactériophages</w:t>
      </w:r>
      <w:r>
        <w:rPr>
          <w:rFonts w:asciiTheme="majorBidi" w:hAnsiTheme="majorBidi" w:cstheme="majorBidi"/>
          <w:sz w:val="24"/>
          <w:szCs w:val="24"/>
        </w:rPr>
        <w:t>.</w:t>
      </w:r>
    </w:p>
    <w:p w:rsidR="00F54FA8" w:rsidRDefault="00F54FA8" w:rsidP="00F54FA8">
      <w:pPr>
        <w:spacing w:after="0" w:line="276" w:lineRule="auto"/>
        <w:jc w:val="both"/>
        <w:rPr>
          <w:rFonts w:asciiTheme="majorBidi" w:hAnsiTheme="majorBidi" w:cstheme="majorBidi"/>
          <w:sz w:val="24"/>
          <w:szCs w:val="24"/>
        </w:rPr>
      </w:pPr>
    </w:p>
    <w:p w:rsidR="00F54FA8" w:rsidRPr="00D62E3B" w:rsidRDefault="00F54FA8" w:rsidP="00EA4F2A">
      <w:pPr>
        <w:pStyle w:val="Paragraphedeliste"/>
        <w:numPr>
          <w:ilvl w:val="0"/>
          <w:numId w:val="4"/>
        </w:numPr>
        <w:spacing w:after="0" w:line="240" w:lineRule="auto"/>
        <w:contextualSpacing w:val="0"/>
        <w:jc w:val="both"/>
        <w:rPr>
          <w:rFonts w:asciiTheme="majorBidi" w:hAnsiTheme="majorBidi" w:cstheme="majorBidi"/>
          <w:b/>
          <w:bCs/>
          <w:sz w:val="24"/>
          <w:szCs w:val="24"/>
        </w:rPr>
      </w:pPr>
      <w:r w:rsidRPr="00D62E3B">
        <w:rPr>
          <w:rFonts w:asciiTheme="majorBidi" w:hAnsiTheme="majorBidi" w:cstheme="majorBidi"/>
          <w:b/>
          <w:bCs/>
          <w:sz w:val="24"/>
          <w:szCs w:val="24"/>
        </w:rPr>
        <w:t>Caractéristiques générales de la cellule eucaryote et de la cellule procaryote</w:t>
      </w:r>
    </w:p>
    <w:p w:rsidR="00F54FA8" w:rsidRDefault="00F54FA8" w:rsidP="00EA4F2A">
      <w:pPr>
        <w:spacing w:after="0" w:line="240" w:lineRule="auto"/>
        <w:ind w:firstLine="708"/>
        <w:jc w:val="both"/>
        <w:rPr>
          <w:rFonts w:asciiTheme="majorBidi" w:hAnsiTheme="majorBidi" w:cstheme="majorBidi"/>
          <w:sz w:val="24"/>
          <w:szCs w:val="24"/>
        </w:rPr>
      </w:pPr>
      <w:r w:rsidRPr="00EB035C">
        <w:rPr>
          <w:rFonts w:asciiTheme="majorBidi" w:hAnsiTheme="majorBidi" w:cstheme="majorBidi"/>
          <w:sz w:val="24"/>
          <w:szCs w:val="24"/>
        </w:rPr>
        <w:t xml:space="preserve">On distingue en effet, la cellule eucaryote caractéristique des plantes et des animaux, des protistes supérieurs et la cellule procaryote caractéristique des protistes inférieurs et en particulier des bactéries. </w:t>
      </w:r>
    </w:p>
    <w:p w:rsidR="00F54FA8" w:rsidRDefault="00F54FA8" w:rsidP="00F54FA8">
      <w:pPr>
        <w:spacing w:after="0"/>
        <w:ind w:left="360"/>
        <w:jc w:val="both"/>
        <w:rPr>
          <w:rFonts w:asciiTheme="majorBidi" w:hAnsiTheme="majorBidi" w:cstheme="majorBidi"/>
          <w:sz w:val="24"/>
          <w:szCs w:val="24"/>
        </w:rPr>
      </w:pPr>
      <w:r w:rsidRPr="00EB035C">
        <w:rPr>
          <w:rFonts w:asciiTheme="majorBidi" w:hAnsiTheme="majorBidi" w:cstheme="majorBidi"/>
          <w:sz w:val="24"/>
          <w:szCs w:val="24"/>
        </w:rPr>
        <w:t>- La cellule eucaryote comprend un « vrai » noyau entouré d’une enveloppe nucléaire, contenant deux jeux semblables de chromosomes (homologues) : elle est diploïde.</w:t>
      </w:r>
    </w:p>
    <w:p w:rsidR="00F54FA8" w:rsidRDefault="00F54FA8" w:rsidP="00F54FA8">
      <w:pPr>
        <w:ind w:left="360"/>
        <w:jc w:val="both"/>
        <w:rPr>
          <w:rFonts w:asciiTheme="majorBidi" w:hAnsiTheme="majorBidi" w:cstheme="majorBidi"/>
          <w:sz w:val="24"/>
          <w:szCs w:val="24"/>
        </w:rPr>
      </w:pPr>
      <w:r w:rsidRPr="00EB035C">
        <w:rPr>
          <w:rFonts w:asciiTheme="majorBidi" w:hAnsiTheme="majorBidi" w:cstheme="majorBidi"/>
          <w:sz w:val="24"/>
          <w:szCs w:val="24"/>
        </w:rPr>
        <w:t xml:space="preserve"> - La cellule procaryote ne possède pas un « vrai » noyau mais un appareil nucléaire diffus, non isolé par une membrane, avec un seul chromosome, porteur de la grande majorité des informations génétiques de la cellule : elle est haploïde.</w:t>
      </w:r>
    </w:p>
    <w:p w:rsidR="00F54FA8" w:rsidRDefault="00F54FA8" w:rsidP="00F54FA8">
      <w:pPr>
        <w:ind w:left="360"/>
        <w:jc w:val="both"/>
        <w:rPr>
          <w:rFonts w:asciiTheme="majorBidi" w:hAnsiTheme="majorBidi" w:cstheme="majorBidi"/>
          <w:sz w:val="24"/>
          <w:szCs w:val="24"/>
        </w:rPr>
      </w:pPr>
    </w:p>
    <w:p w:rsidR="00F54FA8" w:rsidRPr="00D62E3B" w:rsidRDefault="00F54FA8" w:rsidP="00F54FA8">
      <w:pPr>
        <w:ind w:left="360"/>
        <w:jc w:val="both"/>
        <w:rPr>
          <w:rFonts w:ascii="Times New Roman" w:hAnsi="Times New Roman" w:cs="Times New Roman"/>
          <w:sz w:val="24"/>
          <w:szCs w:val="24"/>
        </w:rPr>
      </w:pPr>
      <w:r w:rsidRPr="00D62E3B">
        <w:rPr>
          <w:rFonts w:ascii="Times New Roman" w:hAnsi="Times New Roman" w:cs="Times New Roman"/>
          <w:b/>
          <w:sz w:val="24"/>
          <w:szCs w:val="24"/>
        </w:rPr>
        <w:t>Tableau 01:</w:t>
      </w:r>
      <w:r w:rsidRPr="00D62E3B">
        <w:rPr>
          <w:rFonts w:ascii="Times New Roman" w:hAnsi="Times New Roman" w:cs="Times New Roman"/>
          <w:sz w:val="24"/>
          <w:szCs w:val="24"/>
        </w:rPr>
        <w:t xml:space="preserve"> Le tableau suivant résume les caractéristiques des eucaryotes et des procaryotes tout en faisant apparaitre les caractères de différenciation.</w:t>
      </w:r>
    </w:p>
    <w:p w:rsidR="00D62E3B" w:rsidRDefault="00D62E3B" w:rsidP="00F54FA8">
      <w:pPr>
        <w:ind w:left="360"/>
        <w:jc w:val="both"/>
        <w:rPr>
          <w:rFonts w:asciiTheme="majorBidi" w:hAnsiTheme="majorBidi" w:cstheme="majorBidi"/>
          <w:sz w:val="24"/>
          <w:szCs w:val="24"/>
        </w:rPr>
      </w:pPr>
      <w:r>
        <w:rPr>
          <w:rFonts w:asciiTheme="majorBidi" w:hAnsiTheme="majorBidi" w:cstheme="majorBidi"/>
          <w:noProof/>
          <w:sz w:val="24"/>
          <w:szCs w:val="24"/>
          <w:lang w:eastAsia="fr-FR"/>
        </w:rPr>
        <w:drawing>
          <wp:inline distT="0" distB="0" distL="0" distR="0">
            <wp:extent cx="5586925" cy="5648178"/>
            <wp:effectExtent l="19050" t="0" r="0" b="0"/>
            <wp:docPr id="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5598369" cy="5659748"/>
                    </a:xfrm>
                    <a:prstGeom prst="rect">
                      <a:avLst/>
                    </a:prstGeom>
                    <a:noFill/>
                    <a:ln w="9525">
                      <a:noFill/>
                      <a:miter lim="800000"/>
                      <a:headEnd/>
                      <a:tailEnd/>
                    </a:ln>
                  </pic:spPr>
                </pic:pic>
              </a:graphicData>
            </a:graphic>
          </wp:inline>
        </w:drawing>
      </w:r>
    </w:p>
    <w:p w:rsidR="00473EAB" w:rsidRPr="00693E17" w:rsidRDefault="00473EAB" w:rsidP="00693E17">
      <w:pPr>
        <w:autoSpaceDE w:val="0"/>
        <w:autoSpaceDN w:val="0"/>
        <w:adjustRightInd w:val="0"/>
        <w:spacing w:after="0" w:line="240" w:lineRule="auto"/>
        <w:jc w:val="both"/>
        <w:rPr>
          <w:rFonts w:ascii="Times New Roman" w:hAnsi="Times New Roman" w:cs="Times New Roman"/>
          <w:sz w:val="24"/>
          <w:szCs w:val="24"/>
        </w:rPr>
      </w:pPr>
    </w:p>
    <w:sectPr w:rsidR="00473EAB" w:rsidRPr="00693E17" w:rsidSect="004C44F1">
      <w:head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158E" w:rsidRDefault="00CC158E" w:rsidP="008F48BE">
      <w:pPr>
        <w:spacing w:after="0" w:line="240" w:lineRule="auto"/>
      </w:pPr>
      <w:r>
        <w:separator/>
      </w:r>
    </w:p>
  </w:endnote>
  <w:endnote w:type="continuationSeparator" w:id="1">
    <w:p w:rsidR="00CC158E" w:rsidRDefault="00CC158E" w:rsidP="008F48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158E" w:rsidRDefault="00CC158E" w:rsidP="008F48BE">
      <w:pPr>
        <w:spacing w:after="0" w:line="240" w:lineRule="auto"/>
      </w:pPr>
      <w:r>
        <w:separator/>
      </w:r>
    </w:p>
  </w:footnote>
  <w:footnote w:type="continuationSeparator" w:id="1">
    <w:p w:rsidR="00CC158E" w:rsidRDefault="00CC158E" w:rsidP="008F48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8BE" w:rsidRDefault="008F48BE" w:rsidP="008F48BE">
    <w:pPr>
      <w:pStyle w:val="En-tte"/>
      <w:rPr>
        <w:rFonts w:asciiTheme="majorBidi" w:hAnsiTheme="majorBidi" w:cstheme="majorBidi"/>
        <w:b/>
        <w:bCs/>
      </w:rPr>
    </w:pPr>
    <w:r>
      <w:rPr>
        <w:rFonts w:asciiTheme="majorBidi" w:hAnsiTheme="majorBidi" w:cstheme="majorBidi"/>
        <w:b/>
        <w:bCs/>
      </w:rPr>
      <w:t>TD de M</w:t>
    </w:r>
    <w:r w:rsidRPr="005B0E1E">
      <w:rPr>
        <w:rFonts w:asciiTheme="majorBidi" w:hAnsiTheme="majorBidi" w:cstheme="majorBidi"/>
        <w:b/>
        <w:bCs/>
      </w:rPr>
      <w:t xml:space="preserve">icrobiologie </w:t>
    </w:r>
    <w:r>
      <w:rPr>
        <w:rFonts w:asciiTheme="majorBidi" w:hAnsiTheme="majorBidi" w:cstheme="majorBidi"/>
        <w:b/>
        <w:bCs/>
      </w:rPr>
      <w:t>G</w:t>
    </w:r>
    <w:r w:rsidRPr="005B0E1E">
      <w:rPr>
        <w:rFonts w:asciiTheme="majorBidi" w:hAnsiTheme="majorBidi" w:cstheme="majorBidi"/>
        <w:b/>
        <w:bCs/>
      </w:rPr>
      <w:t>énérale</w:t>
    </w:r>
    <w:r>
      <w:rPr>
        <w:rFonts w:asciiTheme="majorBidi" w:hAnsiTheme="majorBidi" w:cstheme="majorBidi"/>
        <w:b/>
        <w:bCs/>
      </w:rPr>
      <w:t xml:space="preserve">                                 Centre universitaire Abdelhafid Boussouf-mila</w:t>
    </w:r>
  </w:p>
  <w:p w:rsidR="008F48BE" w:rsidRPr="00B21A63" w:rsidRDefault="008F48BE" w:rsidP="008F48BE">
    <w:pPr>
      <w:pStyle w:val="En-tte"/>
      <w:rPr>
        <w:rFonts w:asciiTheme="majorBidi" w:hAnsiTheme="majorBidi" w:cstheme="majorBidi"/>
        <w:b/>
        <w:bCs/>
      </w:rPr>
    </w:pPr>
    <w:r>
      <w:rPr>
        <w:rFonts w:asciiTheme="majorBidi" w:hAnsiTheme="majorBidi" w:cstheme="majorBidi"/>
        <w:b/>
        <w:bCs/>
      </w:rPr>
      <w:t>2</w:t>
    </w:r>
    <w:r w:rsidRPr="005B0E1E">
      <w:rPr>
        <w:rFonts w:asciiTheme="majorBidi" w:hAnsiTheme="majorBidi" w:cstheme="majorBidi"/>
        <w:b/>
        <w:bCs/>
        <w:vertAlign w:val="superscript"/>
      </w:rPr>
      <w:t>ème</w:t>
    </w:r>
    <w:r>
      <w:rPr>
        <w:rFonts w:asciiTheme="majorBidi" w:hAnsiTheme="majorBidi" w:cstheme="majorBidi"/>
        <w:b/>
        <w:bCs/>
      </w:rPr>
      <w:t xml:space="preserve"> Année Sciences Biologiques et Agricoles                                                          Département SNV</w:t>
    </w:r>
  </w:p>
  <w:p w:rsidR="008F48BE" w:rsidRDefault="008F48BE">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775BF"/>
    <w:multiLevelType w:val="hybridMultilevel"/>
    <w:tmpl w:val="58C877FA"/>
    <w:lvl w:ilvl="0" w:tplc="2098B9C6">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0FD49A5"/>
    <w:multiLevelType w:val="hybridMultilevel"/>
    <w:tmpl w:val="082AAE2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18775C3"/>
    <w:multiLevelType w:val="hybridMultilevel"/>
    <w:tmpl w:val="45D6A5A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D3A3257"/>
    <w:multiLevelType w:val="hybridMultilevel"/>
    <w:tmpl w:val="19926B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6691062"/>
    <w:multiLevelType w:val="multilevel"/>
    <w:tmpl w:val="A75E60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473EAB"/>
    <w:rsid w:val="00473EAB"/>
    <w:rsid w:val="004C44F1"/>
    <w:rsid w:val="005E2F8D"/>
    <w:rsid w:val="00655AE5"/>
    <w:rsid w:val="00693E17"/>
    <w:rsid w:val="00726350"/>
    <w:rsid w:val="008D3D3A"/>
    <w:rsid w:val="008F48BE"/>
    <w:rsid w:val="00940130"/>
    <w:rsid w:val="00AF21B0"/>
    <w:rsid w:val="00C51F65"/>
    <w:rsid w:val="00CC158E"/>
    <w:rsid w:val="00D60698"/>
    <w:rsid w:val="00D62E3B"/>
    <w:rsid w:val="00EA4F2A"/>
    <w:rsid w:val="00F54FA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4F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473EAB"/>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Textedebulles">
    <w:name w:val="Balloon Text"/>
    <w:basedOn w:val="Normal"/>
    <w:link w:val="TextedebullesCar"/>
    <w:uiPriority w:val="99"/>
    <w:semiHidden/>
    <w:unhideWhenUsed/>
    <w:rsid w:val="00473EA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73EAB"/>
    <w:rPr>
      <w:rFonts w:ascii="Tahoma" w:hAnsi="Tahoma" w:cs="Tahoma"/>
      <w:sz w:val="16"/>
      <w:szCs w:val="16"/>
    </w:rPr>
  </w:style>
  <w:style w:type="paragraph" w:styleId="Paragraphedeliste">
    <w:name w:val="List Paragraph"/>
    <w:basedOn w:val="Normal"/>
    <w:uiPriority w:val="34"/>
    <w:qFormat/>
    <w:rsid w:val="00D60698"/>
    <w:pPr>
      <w:spacing w:after="200" w:line="276" w:lineRule="auto"/>
      <w:ind w:left="720"/>
      <w:contextualSpacing/>
    </w:pPr>
    <w:rPr>
      <w:rFonts w:eastAsiaTheme="minorEastAsia"/>
      <w:kern w:val="0"/>
      <w:lang w:eastAsia="fr-FR"/>
    </w:rPr>
  </w:style>
  <w:style w:type="paragraph" w:styleId="En-tte">
    <w:name w:val="header"/>
    <w:basedOn w:val="Normal"/>
    <w:link w:val="En-tteCar"/>
    <w:uiPriority w:val="99"/>
    <w:unhideWhenUsed/>
    <w:rsid w:val="008F48BE"/>
    <w:pPr>
      <w:tabs>
        <w:tab w:val="center" w:pos="4536"/>
        <w:tab w:val="right" w:pos="9072"/>
      </w:tabs>
      <w:spacing w:after="0" w:line="240" w:lineRule="auto"/>
    </w:pPr>
  </w:style>
  <w:style w:type="character" w:customStyle="1" w:styleId="En-tteCar">
    <w:name w:val="En-tête Car"/>
    <w:basedOn w:val="Policepardfaut"/>
    <w:link w:val="En-tte"/>
    <w:uiPriority w:val="99"/>
    <w:rsid w:val="008F48BE"/>
  </w:style>
  <w:style w:type="paragraph" w:styleId="Pieddepage">
    <w:name w:val="footer"/>
    <w:basedOn w:val="Normal"/>
    <w:link w:val="PieddepageCar"/>
    <w:uiPriority w:val="99"/>
    <w:semiHidden/>
    <w:unhideWhenUsed/>
    <w:rsid w:val="008F48BE"/>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8F48B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1162</Words>
  <Characters>6396</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2024-01-27T13:53:00Z</dcterms:created>
  <dcterms:modified xsi:type="dcterms:W3CDTF">2024-01-27T13:53:00Z</dcterms:modified>
</cp:coreProperties>
</file>